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A00000"/>
          <w:sz w:val="18"/>
        </w:rPr>
        <w:t>PRIVILEGED &amp; CONFIDENTIAL — ATTORNEY-CLIENT COMMUNICATION / ATTORNEY WORK PRODUCT</w:t>
        <w:br/>
        <w:t>Prepared in Anticipation of Mediation — Fed. R. Evid. 408 / Ohio Evid. R. 408 — Do Not Forward</w:t>
      </w:r>
    </w:p>
    <w:p>
      <w:pPr>
        <w:jc w:val="center"/>
      </w:pPr>
      <w:r>
        <w:rPr>
          <w:b/>
          <w:sz w:val="32"/>
        </w:rPr>
        <w:t>MEMORANDUM</w:t>
      </w:r>
    </w:p>
    <w:tbl>
      <w:tblPr>
        <w:tblStyle w:val="TableGrid"/>
        <w:tblW w:type="auto" w:w="0"/>
        <w:jc w:val="center"/>
        <w:tblLook w:firstColumn="1" w:firstRow="1" w:lastColumn="0" w:lastRow="0" w:noHBand="0" w:noVBand="1" w:val="04A0"/>
      </w:tblPr>
      <w:tblGrid>
        <w:gridCol w:w="4680"/>
        <w:gridCol w:w="4680"/>
      </w:tblGrid>
      <w:tr>
        <w:tc>
          <w:tcPr>
            <w:tcW w:type="dxa" w:w="1296"/>
          </w:tcPr>
          <w:p>
            <w:r/>
            <w:r>
              <w:rPr>
                <w:sz w:val="19"/>
              </w:rPr>
              <w:t>TO:</w:t>
            </w:r>
          </w:p>
        </w:tc>
        <w:tc>
          <w:tcPr>
            <w:tcW w:type="dxa" w:w="8064"/>
          </w:tcPr>
          <w:p>
            <w:r/>
            <w:r>
              <w:rPr>
                <w:sz w:val="19"/>
              </w:rPr>
              <w:t>Board Litigation Committee, Greenfield Manufacturing, Inc.</w:t>
              <w:br/>
              <w:t>cc: Patricia Navarro, General Counsel</w:t>
            </w:r>
          </w:p>
        </w:tc>
      </w:tr>
      <w:tr>
        <w:tc>
          <w:tcPr>
            <w:tcW w:type="dxa" w:w="1296"/>
          </w:tcPr>
          <w:p>
            <w:r/>
            <w:r>
              <w:rPr>
                <w:sz w:val="19"/>
              </w:rPr>
              <w:t>FROM:</w:t>
            </w:r>
          </w:p>
        </w:tc>
        <w:tc>
          <w:tcPr>
            <w:tcW w:type="dxa" w:w="8064"/>
          </w:tcPr>
          <w:p>
            <w:r/>
            <w:r>
              <w:rPr>
                <w:sz w:val="19"/>
              </w:rPr>
              <w:t>Defense litigation team (draft for review and sign-off by Raymond K. Delaney, Hargrove, Foss &amp; Delaney LLP)</w:t>
            </w:r>
          </w:p>
        </w:tc>
      </w:tr>
      <w:tr>
        <w:tc>
          <w:tcPr>
            <w:tcW w:type="dxa" w:w="1296"/>
          </w:tcPr>
          <w:p>
            <w:r/>
            <w:r>
              <w:rPr>
                <w:sz w:val="19"/>
              </w:rPr>
              <w:t>DATE:</w:t>
            </w:r>
          </w:p>
        </w:tc>
        <w:tc>
          <w:tcPr>
            <w:tcW w:type="dxa" w:w="8064"/>
          </w:tcPr>
          <w:p>
            <w:r/>
            <w:r>
              <w:rPr>
                <w:sz w:val="19"/>
              </w:rPr>
              <w:t>March 3, 2025</w:t>
            </w:r>
          </w:p>
        </w:tc>
      </w:tr>
      <w:tr>
        <w:tc>
          <w:tcPr>
            <w:tcW w:type="dxa" w:w="1296"/>
          </w:tcPr>
          <w:p>
            <w:r/>
            <w:r>
              <w:rPr>
                <w:sz w:val="19"/>
              </w:rPr>
              <w:t>RE:</w:t>
            </w:r>
          </w:p>
        </w:tc>
        <w:tc>
          <w:tcPr>
            <w:tcW w:type="dxa" w:w="8064"/>
          </w:tcPr>
          <w:p>
            <w:r/>
            <w:r>
              <w:rPr>
                <w:sz w:val="19"/>
              </w:rPr>
              <w:t>Pre-Mediation Settlement Valuation, Recommended Ranges, and Opening Offer Strategy — Holt v. Greenfield Manufacturing, Inc., No. 2:23-cv-04187 (S.D. Ohio). Mediation: March 14, 2025 (Hon. Carolyn Whitfield, Ret.). Trial: June 9, 2025.</w:t>
            </w:r>
          </w:p>
        </w:tc>
      </w:tr>
    </w:tbl>
    <w:p>
      <w:pPr>
        <w:spacing w:after="40"/>
      </w:pPr>
    </w:p>
    <w:p>
      <w:pPr>
        <w:pStyle w:val="Heading1"/>
      </w:pPr>
      <w:r>
        <w:t>I. Bottom Line</w:t>
      </w:r>
    </w:p>
    <w:p>
      <w:r>
        <w:rPr>
          <w:i w:val="0"/>
        </w:rPr>
        <w:t>This case is worth considerably more than the defense mediation brief suggests, and considerably less than Plaintiffs' $9.5 million demand. We recommend settling at mediation, and we recommend the Committee (and Ridgeline) authorize accordingly:</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3A5F"/>
          </w:tcPr>
          <w:p>
            <w:r/>
            <w:r>
              <w:rPr>
                <w:b/>
                <w:color w:val="FFFFFF"/>
                <w:sz w:val="19"/>
              </w:rPr>
              <w:t>Item</w:t>
            </w:r>
          </w:p>
        </w:tc>
        <w:tc>
          <w:tcPr>
            <w:tcW w:type="dxa" w:w="5616"/>
            <w:shd w:val="clear" w:color="auto" w:fill="1F3A5F"/>
          </w:tcPr>
          <w:p>
            <w:r/>
            <w:r>
              <w:rPr>
                <w:b/>
                <w:color w:val="FFFFFF"/>
                <w:sz w:val="19"/>
              </w:rPr>
              <w:t>Recommendation</w:t>
            </w:r>
          </w:p>
        </w:tc>
      </w:tr>
      <w:tr>
        <w:tc>
          <w:tcPr>
            <w:tcW w:type="dxa" w:w="3744"/>
          </w:tcPr>
          <w:p>
            <w:r/>
            <w:r>
              <w:rPr>
                <w:sz w:val="19"/>
              </w:rPr>
              <w:t>Probability-weighted trial value (compensatory, Greenfield's share)</w:t>
            </w:r>
          </w:p>
        </w:tc>
        <w:tc>
          <w:tcPr>
            <w:tcW w:type="dxa" w:w="5616"/>
          </w:tcPr>
          <w:p>
            <w:r/>
            <w:r>
              <w:rPr>
                <w:sz w:val="19"/>
              </w:rPr>
              <w:t>≈ $3.4M (range of likely verdict outcomes: $0 – $7.5M)</w:t>
            </w:r>
          </w:p>
        </w:tc>
      </w:tr>
      <w:tr>
        <w:tc>
          <w:tcPr>
            <w:tcW w:type="dxa" w:w="3744"/>
          </w:tcPr>
          <w:p>
            <w:r/>
            <w:r>
              <w:rPr>
                <w:sz w:val="19"/>
              </w:rPr>
              <w:t>Probability-weighted uninsured punitive exposure</w:t>
            </w:r>
          </w:p>
        </w:tc>
        <w:tc>
          <w:tcPr>
            <w:tcW w:type="dxa" w:w="5616"/>
          </w:tcPr>
          <w:p>
            <w:r/>
            <w:r>
              <w:rPr>
                <w:sz w:val="19"/>
              </w:rPr>
              <w:t>≈ $1.0M expected; realistic adverse case $5M – $13M (uninsurable in Ohio — see § V.D)</w:t>
            </w:r>
          </w:p>
        </w:tc>
      </w:tr>
      <w:tr>
        <w:tc>
          <w:tcPr>
            <w:tcW w:type="dxa" w:w="3744"/>
          </w:tcPr>
          <w:p>
            <w:r/>
            <w:r>
              <w:rPr>
                <w:sz w:val="19"/>
              </w:rPr>
              <w:t>All-in risk-adjusted value (before publicity/Halcyon risk)</w:t>
            </w:r>
          </w:p>
        </w:tc>
        <w:tc>
          <w:tcPr>
            <w:tcW w:type="dxa" w:w="5616"/>
          </w:tcPr>
          <w:p>
            <w:r/>
            <w:r>
              <w:rPr>
                <w:sz w:val="19"/>
              </w:rPr>
              <w:t>≈ $4.4M</w:t>
            </w:r>
          </w:p>
        </w:tc>
      </w:tr>
      <w:tr>
        <w:tc>
          <w:tcPr>
            <w:tcW w:type="dxa" w:w="3744"/>
          </w:tcPr>
          <w:p>
            <w:r/>
            <w:r>
              <w:rPr>
                <w:sz w:val="19"/>
              </w:rPr>
              <w:t>Target settlement range</w:t>
            </w:r>
          </w:p>
        </w:tc>
        <w:tc>
          <w:tcPr>
            <w:tcW w:type="dxa" w:w="5616"/>
          </w:tcPr>
          <w:p>
            <w:r/>
            <w:r>
              <w:rPr>
                <w:sz w:val="19"/>
              </w:rPr>
              <w:t>$4.25M – $5.25M</w:t>
            </w:r>
          </w:p>
        </w:tc>
      </w:tr>
      <w:tr>
        <w:tc>
          <w:tcPr>
            <w:tcW w:type="dxa" w:w="3744"/>
          </w:tcPr>
          <w:p>
            <w:r/>
            <w:r>
              <w:rPr>
                <w:sz w:val="19"/>
              </w:rPr>
              <w:t>Recommended authority at mediation</w:t>
            </w:r>
          </w:p>
        </w:tc>
        <w:tc>
          <w:tcPr>
            <w:tcW w:type="dxa" w:w="5616"/>
          </w:tcPr>
          <w:p>
            <w:r/>
            <w:r>
              <w:rPr>
                <w:sz w:val="19"/>
              </w:rPr>
              <w:t>Up to $5.5M, with a pre-cleared path to $6.0M only via mediator's proposal (see § VIII)</w:t>
            </w:r>
          </w:p>
        </w:tc>
      </w:tr>
      <w:tr>
        <w:tc>
          <w:tcPr>
            <w:tcW w:type="dxa" w:w="3744"/>
          </w:tcPr>
          <w:p>
            <w:r/>
            <w:r>
              <w:rPr>
                <w:sz w:val="19"/>
              </w:rPr>
              <w:t>Opening offer</w:t>
            </w:r>
          </w:p>
        </w:tc>
        <w:tc>
          <w:tcPr>
            <w:tcW w:type="dxa" w:w="5616"/>
          </w:tcPr>
          <w:p>
            <w:r/>
            <w:r>
              <w:rPr>
                <w:sz w:val="19"/>
              </w:rPr>
              <w:t>$1.5M (if the defense brief is revised as recommended) or $1.8M (if the brief is served with its current $1.8M–$2.5M range)</w:t>
            </w:r>
          </w:p>
        </w:tc>
      </w:tr>
      <w:tr>
        <w:tc>
          <w:tcPr>
            <w:tcW w:type="dxa" w:w="3744"/>
          </w:tcPr>
          <w:p>
            <w:r/>
            <w:r>
              <w:rPr>
                <w:sz w:val="19"/>
              </w:rPr>
              <w:t>Litigation reserve</w:t>
            </w:r>
          </w:p>
        </w:tc>
        <w:tc>
          <w:tcPr>
            <w:tcW w:type="dxa" w:w="5616"/>
          </w:tcPr>
          <w:p>
            <w:r/>
            <w:r>
              <w:rPr>
                <w:sz w:val="19"/>
              </w:rPr>
              <w:t>Increase from $3.2M to at least $4.5M (gross), with a corresponding insurance receivable per auditor guidance</w:t>
            </w:r>
          </w:p>
        </w:tc>
      </w:tr>
    </w:tbl>
    <w:p>
      <w:pPr>
        <w:spacing w:after="40"/>
      </w:pPr>
    </w:p>
    <w:p>
      <w:r>
        <w:rPr>
          <w:i w:val="0"/>
        </w:rPr>
        <w:t>Why settle now: (1) the October 2019 Reedley/Mitchum emails make a majority-fault finding against Greenfield more likely than not and put punitive damages squarely before the jury; (2) punitive damages cannot be insured in Ohio, so trial converts a fully insured risk into an uninsured one for the Company; (3) a settlement inside the $10M Ridgeline primary layer costs the Company nothing out of pocket, because the $250,000 SIR is already exhausted; and (4) a public trial built around the internal emails is the main threat to the Halcyon contract. That last factor stays inside this memo and must not be mentioned in mediation.</w:t>
      </w:r>
    </w:p>
    <w:p>
      <w:r>
        <w:rPr>
          <w:i w:val="0"/>
        </w:rPr>
        <w:t>Three corrections to the current defense position that the Committee should know before setting authority:</w:t>
      </w:r>
    </w:p>
    <w:p>
      <w:pPr>
        <w:pStyle w:val="ListBullet"/>
      </w:pPr>
      <w:r>
        <w:rPr>
          <w:b/>
        </w:rPr>
        <w:t>Non-economic cap.</w:t>
      </w:r>
      <w:r>
        <w:t xml:space="preserve"> The defense mediation brief argues that Mr. Holt's non-economic damages are capped at $350,000 under R.C. 2315.18. That is wrong on these facts. The statute removes the cap for "permanent and substantial physical deformity, loss of use of a limb, or loss of a bodily organ system" (R.C. 2315.18(B)(3)). A traumatic below-elbow amputation of the dominant arm falls squarely inside that exception. The brief's entire $1.8M–$2.5M valuation depends on the cap. Before a retired judge, that argument will cost us credibility and should be removed.</w:t>
      </w:r>
    </w:p>
    <w:p>
      <w:pPr>
        <w:pStyle w:val="ListBullet"/>
      </w:pPr>
      <w:r>
        <w:rPr>
          <w:b/>
        </w:rPr>
        <w:t>Dr. Cho's arithmetic.</w:t>
      </w:r>
      <w:r>
        <w:t xml:space="preserve"> The defense economist's $1,687,200 total leaves out her own fringe-benefit loss. Her summary table labels $563,700 as "Future Lost Earning Capacity incl. Fringe Benefits," but that is the wage figure alone. Her fringe stream ($7,788/yr × 24 yrs at 3.5%) has a present value of about $125,000, which puts her corrected total at about $1.81M. Plaintiff's counsel will find this.</w:t>
      </w:r>
    </w:p>
    <w:p>
      <w:pPr>
        <w:pStyle w:val="ListBullet"/>
      </w:pPr>
      <w:r>
        <w:rPr>
          <w:b/>
        </w:rPr>
        <w:t>Standards compliance.</w:t>
      </w:r>
      <w:r>
        <w:t xml:space="preserve"> Kwan Opinion 1 says the GP-7500 complied with ANSI B11.2-2013. Greenfield's own lead design engineer wrote in 2019 that it did not (GF-DOC-004471–73, -004476–78). Dr. Kwan says a single-channel interlock is allowed "when supported by an appropriate risk assessment," but the VP of Engineering wrote "I do not think we need a separate risk assessment at this time" (GF-DOC-004479). Standards compliance is a weak defense in this record.</w:t>
      </w:r>
    </w:p>
    <w:p>
      <w:pPr>
        <w:pStyle w:val="Heading1"/>
      </w:pPr>
      <w:r>
        <w:t>II. Case Snapshot</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1F3A5F"/>
          </w:tcPr>
          <w:p>
            <w:r/>
            <w:r>
              <w:rPr>
                <w:b/>
                <w:color w:val="FFFFFF"/>
                <w:sz w:val="19"/>
              </w:rPr>
              <w:t>Element</w:t>
            </w:r>
          </w:p>
        </w:tc>
        <w:tc>
          <w:tcPr>
            <w:tcW w:type="dxa" w:w="7344"/>
            <w:shd w:val="clear" w:color="auto" w:fill="1F3A5F"/>
          </w:tcPr>
          <w:p>
            <w:r/>
            <w:r>
              <w:rPr>
                <w:b/>
                <w:color w:val="FFFFFF"/>
                <w:sz w:val="19"/>
              </w:rPr>
              <w:t>Facts</w:t>
            </w:r>
          </w:p>
        </w:tc>
      </w:tr>
      <w:tr>
        <w:tc>
          <w:tcPr>
            <w:tcW w:type="dxa" w:w="2016"/>
          </w:tcPr>
          <w:p>
            <w:r/>
            <w:r>
              <w:rPr>
                <w:sz w:val="19"/>
              </w:rPr>
              <w:t>Plaintiffs</w:t>
            </w:r>
          </w:p>
        </w:tc>
        <w:tc>
          <w:tcPr>
            <w:tcW w:type="dxa" w:w="7344"/>
          </w:tcPr>
          <w:p>
            <w:r/>
            <w:r>
              <w:rPr>
                <w:sz w:val="19"/>
              </w:rPr>
              <w:t>Marcus Holt (38, journeyman ironworker, $87,400/yr, married, two children aged 7 and 11); Jennifer Holt (loss of consortium)</w:t>
            </w:r>
          </w:p>
        </w:tc>
      </w:tr>
      <w:tr>
        <w:tc>
          <w:tcPr>
            <w:tcW w:type="dxa" w:w="2016"/>
          </w:tcPr>
          <w:p>
            <w:r/>
            <w:r>
              <w:rPr>
                <w:sz w:val="19"/>
              </w:rPr>
              <w:t>Injury</w:t>
            </w:r>
          </w:p>
        </w:tc>
        <w:tc>
          <w:tcPr>
            <w:tcW w:type="dxa" w:w="7344"/>
          </w:tcPr>
          <w:p>
            <w:r/>
            <w:r>
              <w:rPr>
                <w:sz w:val="19"/>
              </w:rPr>
              <w:t>Crush injury on June 18, 2023 → through-wrist amputation, then revision to trans-radial (below-elbow) amputation of the left (dominant) arm; 11 days inpatient; 78% whole-person impairment; phantom-limb pain; adjustment disorder/PTSD symptoms; permanently unable to work as an ironworker</w:t>
            </w:r>
          </w:p>
        </w:tc>
      </w:tr>
      <w:tr>
        <w:tc>
          <w:tcPr>
            <w:tcW w:type="dxa" w:w="2016"/>
          </w:tcPr>
          <w:p>
            <w:r/>
            <w:r>
              <w:rPr>
                <w:sz w:val="19"/>
              </w:rPr>
              <w:t>Mechanism</w:t>
            </w:r>
          </w:p>
        </w:tc>
        <w:tc>
          <w:tcPr>
            <w:tcW w:type="dxa" w:w="7344"/>
          </w:tcPr>
          <w:p>
            <w:r/>
            <w:r>
              <w:rPr>
                <w:sz w:val="19"/>
              </w:rPr>
              <w:t>Undisputed: the ram re-descended during the return stroke without a new two-hand activation (Kwan Report § V: "not disputed by any party")</w:t>
            </w:r>
          </w:p>
        </w:tc>
      </w:tr>
      <w:tr>
        <w:tc>
          <w:tcPr>
            <w:tcW w:type="dxa" w:w="2016"/>
          </w:tcPr>
          <w:p>
            <w:r/>
            <w:r>
              <w:rPr>
                <w:sz w:val="19"/>
              </w:rPr>
              <w:t>Plaintiff theory</w:t>
            </w:r>
          </w:p>
        </w:tc>
        <w:tc>
          <w:tcPr>
            <w:tcW w:type="dxa" w:w="7344"/>
          </w:tcPr>
          <w:p>
            <w:r/>
            <w:r>
              <w:rPr>
                <w:sz w:val="19"/>
              </w:rPr>
              <w:t>Single-point-of-failure hydraulic interlock (valve V-101 / HV-7500-DC04); design defect under R.C. 2307.75; conscious disregard shown by the deferral of the 2019 fix</w:t>
            </w:r>
          </w:p>
        </w:tc>
      </w:tr>
      <w:tr>
        <w:tc>
          <w:tcPr>
            <w:tcW w:type="dxa" w:w="2016"/>
          </w:tcPr>
          <w:p>
            <w:r/>
            <w:r>
              <w:rPr>
                <w:sz w:val="19"/>
              </w:rPr>
              <w:t>Defense theory</w:t>
            </w:r>
          </w:p>
        </w:tc>
        <w:tc>
          <w:tcPr>
            <w:tcW w:type="dxa" w:w="7344"/>
          </w:tcPr>
          <w:p>
            <w:r/>
            <w:r>
              <w:rPr>
                <w:sz w:val="19"/>
              </w:rPr>
              <w:t>Apex (Briggs) swapped the OEM fixed guard (1" gap, interlocked) for a ShieldTech guard (4.5" gap, not interlocked) in Aug. 2022; this is the sole or dominant proximate cause</w:t>
            </w:r>
          </w:p>
        </w:tc>
      </w:tr>
      <w:tr>
        <w:tc>
          <w:tcPr>
            <w:tcW w:type="dxa" w:w="2016"/>
          </w:tcPr>
          <w:p>
            <w:r/>
            <w:r>
              <w:rPr>
                <w:sz w:val="19"/>
              </w:rPr>
              <w:t>Prior notice</w:t>
            </w:r>
          </w:p>
        </w:tc>
        <w:tc>
          <w:tcPr>
            <w:tcW w:type="dxa" w:w="7344"/>
          </w:tcPr>
          <w:p>
            <w:r/>
            <w:r>
              <w:rPr>
                <w:sz w:val="19"/>
              </w:rPr>
              <w:t>7 re-cycle field reports (2017–Feb. 2023), 3 with injuries. Reedley's Oct. 2019 recommendation: $385/unit, 6 weeks, plus a field retrofit bulletin. Deferred to the "Phase 2" refresh. The fix went into production Sept. 1, 2023 (ECO-2023-0047, actual cost ≈ $392/unit). No bulletin or retrofit was ever issued.</w:t>
            </w:r>
          </w:p>
        </w:tc>
      </w:tr>
      <w:tr>
        <w:tc>
          <w:tcPr>
            <w:tcW w:type="dxa" w:w="2016"/>
          </w:tcPr>
          <w:p>
            <w:r/>
            <w:r>
              <w:rPr>
                <w:sz w:val="19"/>
              </w:rPr>
              <w:t>Insurance</w:t>
            </w:r>
          </w:p>
        </w:tc>
        <w:tc>
          <w:tcPr>
            <w:tcW w:type="dxa" w:w="7344"/>
          </w:tcPr>
          <w:p>
            <w:r/>
            <w:r>
              <w:rPr>
                <w:sz w:val="19"/>
              </w:rPr>
              <w:t>Ridgeline primary $10M per occurrence (defense costs outside limits; SIR exhausted; no reservation of rights on compensatory damages); Beacon $25M follow-form excess; punitive exclusion applies to both layers</w:t>
            </w:r>
          </w:p>
        </w:tc>
      </w:tr>
      <w:tr>
        <w:tc>
          <w:tcPr>
            <w:tcW w:type="dxa" w:w="2016"/>
          </w:tcPr>
          <w:p>
            <w:r/>
            <w:r>
              <w:rPr>
                <w:sz w:val="19"/>
              </w:rPr>
              <w:t>Lien</w:t>
            </w:r>
          </w:p>
        </w:tc>
        <w:tc>
          <w:tcPr>
            <w:tcW w:type="dxa" w:w="7344"/>
          </w:tcPr>
          <w:p>
            <w:r/>
            <w:r>
              <w:rPr>
                <w:sz w:val="19"/>
              </w:rPr>
              <w:t>Buckeye Mutual workers' compensation subrogation lien: $481,800 ($418,600 medical + $63,200 TTD)</w:t>
            </w:r>
          </w:p>
        </w:tc>
      </w:tr>
      <w:tr>
        <w:tc>
          <w:tcPr>
            <w:tcW w:type="dxa" w:w="2016"/>
          </w:tcPr>
          <w:p>
            <w:r/>
            <w:r>
              <w:rPr>
                <w:sz w:val="19"/>
              </w:rPr>
              <w:t>Posture</w:t>
            </w:r>
          </w:p>
        </w:tc>
        <w:tc>
          <w:tcPr>
            <w:tcW w:type="dxa" w:w="7344"/>
          </w:tcPr>
          <w:p>
            <w:r/>
            <w:r>
              <w:rPr>
                <w:sz w:val="19"/>
              </w:rPr>
              <w:t>Discovery closed Dec. 20, 2024; cross-Daubert motions pending on the engineering experts; bifurcation of punitive damages not yet ruled on; defense costs to date ≈ $387K, with $150K–$225K more through trial</w:t>
            </w:r>
          </w:p>
        </w:tc>
      </w:tr>
    </w:tbl>
    <w:p>
      <w:pPr>
        <w:spacing w:after="40"/>
      </w:pPr>
    </w:p>
    <w:p>
      <w:pPr>
        <w:pStyle w:val="Heading1"/>
      </w:pPr>
      <w:r>
        <w:t>III. Liability Assessment</w:t>
      </w:r>
    </w:p>
    <w:p>
      <w:pPr>
        <w:pStyle w:val="Heading2"/>
      </w:pPr>
      <w:r>
        <w:t>A. Design Defect — Plaintiffs Are Likely to Establish It</w:t>
      </w:r>
    </w:p>
    <w:p>
      <w:r>
        <w:rPr>
          <w:i w:val="0"/>
        </w:rPr>
        <w:t>We rate the probability of a design-defect finding at roughly 80–85%. The drivers:</w:t>
      </w:r>
    </w:p>
    <w:p>
      <w:pPr>
        <w:pStyle w:val="ListBullet"/>
      </w:pPr>
      <w:r>
        <w:rPr>
          <w:b/>
        </w:rPr>
        <w:t>Internal admissions.</w:t>
      </w:r>
      <w:r>
        <w:t xml:space="preserve"> Reedley's Oct. 7 and Oct. 11, 2019 emails say the single-valve architecture "does not meet" ANSI B11.2-2013 control-reliability requirements. He calls those provisions "not merely advisory." He predicts "a crush amputation." He warns that fixing the problem after an incident "could be seen as an acknowledgment that the original design was deficient." A jury will read these as admissions by Greenfield's own engineer. They also directly contradict the brief's argument that the redundancy language is a "should," not a "shall."</w:t>
      </w:r>
    </w:p>
    <w:p>
      <w:pPr>
        <w:pStyle w:val="ListBullet"/>
      </w:pPr>
      <w:r>
        <w:rPr>
          <w:b/>
        </w:rPr>
        <w:t>Risk-utility (R.C. 2307.75(B)–(F)).</w:t>
      </w:r>
      <w:r>
        <w:t xml:space="preserve"> The alternative design was cheap (≈0.27% of price), simple, and later adopted. Under Fed. R. Evid. 407, the post-incident ECO is generally inadmissible to prove defect. But the 2019 emails are pre-incident and fully admissible, and they establish feasibility and cost on their own. If Greenfield disputes feasibility, or keeps describing the change as "routine continuous improvement" (as the defense brief does), it risks opening the door to the ECO for feasibility or impeachment. We recommend conceding feasibility.</w:t>
      </w:r>
    </w:p>
    <w:p>
      <w:pPr>
        <w:pStyle w:val="ListBullet"/>
      </w:pPr>
      <w:r>
        <w:rPr>
          <w:b/>
        </w:rPr>
        <w:t>Defense expert gap.</w:t>
      </w:r>
      <w:r>
        <w:t xml:space="preserve"> Dr. Kwan does not analyze the valve failure, the field reports, or the emails, even though he lists them as materials reviewed. That leaves him open to a "no root-cause analysis" attack, and possibly to a Daubert challenge by Plaintiffs.</w:t>
      </w:r>
    </w:p>
    <w:p>
      <w:pPr>
        <w:pStyle w:val="Heading2"/>
      </w:pPr>
      <w:r>
        <w:t>B. Causation and the Apex Modification — Our Strongest Issue, But Not a Complete Defense</w:t>
      </w:r>
    </w:p>
    <w:p>
      <w:r>
        <w:rPr>
          <w:i w:val="0"/>
        </w:rPr>
        <w:t>The guard swap is real and helps us. Briggs admits he removed the OEM guard for production convenience. He did not contact Greenfield or ShieldTech, "eyeballed" the gap, and gave Holt only an informal orientation. Kwan found the ShieldTech guard was not wired to the guard-in-place sensor, so the press could cycle with no guard at all. These facts support a large allocation to Apex. They are unlikely to produce a "sole proximate cause" defense verdict, for these reasons:</w:t>
      </w:r>
    </w:p>
    <w:p>
      <w:pPr>
        <w:pStyle w:val="ListBullet"/>
      </w:pPr>
      <w:r>
        <w:rPr>
          <w:b/>
        </w:rPr>
        <w:t>Unanswered workflow question.</w:t>
      </w:r>
      <w:r>
        <w:t xml:space="preserve"> Kwan says the 1" OEM gap blocked hand entry "during all phases of the press cycle." If so, the jury will ask how operators loaded and unloaded parts, and Vasquez says the guard was built to allow retrieval. We need a clear answer from Greenfield engineering on how parts are loaded and removed with the OEM guard installed, with exemplar demonstration, before trial. As the record stands, this is the pivot point of the causation fight.</w:t>
      </w:r>
    </w:p>
    <w:p>
      <w:pPr>
        <w:pStyle w:val="ListBullet"/>
      </w:pPr>
      <w:r>
        <w:rPr>
          <w:b/>
        </w:rPr>
        <w:t>Foreseeability of the modification.</w:t>
      </w:r>
      <w:r>
        <w:t xml:space="preserve"> Mitchum's Oct. 9, 2019 email lists "improved guarding options" as a Phase 2 item. Briggs testified that the OEM guard would not accept larger brackets. Plaintiffs will argue that customer guard substitution was foreseeable and that Greenfield knew its guard was a pain point. That undercuts any alteration or modification defense.</w:t>
      </w:r>
    </w:p>
    <w:p>
      <w:pPr>
        <w:pStyle w:val="ListBullet"/>
      </w:pPr>
      <w:r>
        <w:rPr>
          <w:b/>
        </w:rPr>
        <w:t>Post-sale warning.</w:t>
      </w:r>
      <w:r>
        <w:t xml:space="preserve"> Greenfield sent no bulletin to its roughly 1,850 customers, including Apex, despite Reedley's written recommendation. Briggs says he never received one. This supports a separate post-marketing warning theory. Note that the defense brief cites R.C. 2307.76(A)(2) as the modification defense. That subsection appears to be the post-marketing warning provision, which cuts against us. The citation should be verified and corrected.</w:t>
      </w:r>
    </w:p>
    <w:p>
      <w:pPr>
        <w:pStyle w:val="ListBullet"/>
      </w:pPr>
      <w:r>
        <w:rPr>
          <w:b/>
        </w:rPr>
        <w:t>Kwan misquotes Briggs.</w:t>
      </w:r>
      <w:r>
        <w:t xml:space="preserve"> Kwan's report says Briggs "read the Owner's Manual warning" and said Apex "needed to get the job done." The excerpted transcript says the opposite: Briggs "may have glanced at it" and "can't say for certain." Unless that testimony appears elsewhere in the 94-page transcript, Kwan will be impeached on it. Verify before mediation.</w:t>
      </w:r>
    </w:p>
    <w:p>
      <w:pPr>
        <w:pStyle w:val="ListBullet"/>
      </w:pPr>
      <w:r>
        <w:rPr>
          <w:b/>
        </w:rPr>
        <w:t>Brewer is distinguishable.</w:t>
      </w:r>
      <w:r>
        <w:t xml:space="preserve"> The defense brief rests heavily on Brewer. The comparables analysis shows Brewer had no evidence of prior notice, no internal documents, and no amputation. The Daubert motion is the one real swing factor: if the Vasquez "hazard even with OEM guard" opinion is excluded, causation tilts meaningfully toward us. Our honest estimate is that the motion is more likely to be denied, or granted only in part, than granted in full (about 25–30% chance of full exclusion).</w:t>
      </w:r>
    </w:p>
    <w:p>
      <w:pPr>
        <w:pStyle w:val="Heading2"/>
      </w:pPr>
      <w:r>
        <w:t>C. Comparative Fault Allocation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1F3A5F"/>
          </w:tcPr>
          <w:p>
            <w:r/>
            <w:r>
              <w:rPr>
                <w:b/>
                <w:color w:val="FFFFFF"/>
                <w:sz w:val="19"/>
              </w:rPr>
              <w:t>Party</w:t>
            </w:r>
          </w:p>
        </w:tc>
        <w:tc>
          <w:tcPr>
            <w:tcW w:type="dxa" w:w="1728"/>
            <w:shd w:val="clear" w:color="auto" w:fill="1F3A5F"/>
          </w:tcPr>
          <w:p>
            <w:r/>
            <w:r>
              <w:rPr>
                <w:b/>
                <w:color w:val="FFFFFF"/>
                <w:sz w:val="19"/>
              </w:rPr>
              <w:t>Defense brief</w:t>
            </w:r>
          </w:p>
        </w:tc>
        <w:tc>
          <w:tcPr>
            <w:tcW w:type="dxa" w:w="2592"/>
            <w:shd w:val="clear" w:color="auto" w:fill="1F3A5F"/>
          </w:tcPr>
          <w:p>
            <w:r/>
            <w:r>
              <w:rPr>
                <w:b/>
                <w:color w:val="FFFFFF"/>
                <w:sz w:val="19"/>
              </w:rPr>
              <w:t>Comparables workbook (internal)</w:t>
            </w:r>
          </w:p>
        </w:tc>
        <w:tc>
          <w:tcPr>
            <w:tcW w:type="dxa" w:w="3024"/>
            <w:shd w:val="clear" w:color="auto" w:fill="1F3A5F"/>
          </w:tcPr>
          <w:p>
            <w:r/>
            <w:r>
              <w:rPr>
                <w:b/>
                <w:color w:val="FFFFFF"/>
                <w:sz w:val="19"/>
              </w:rPr>
              <w:t>Our realistic trial range</w:t>
            </w:r>
          </w:p>
        </w:tc>
      </w:tr>
      <w:tr>
        <w:tc>
          <w:tcPr>
            <w:tcW w:type="dxa" w:w="2016"/>
          </w:tcPr>
          <w:p>
            <w:r/>
            <w:r>
              <w:rPr>
                <w:sz w:val="19"/>
              </w:rPr>
              <w:t>Greenfield</w:t>
            </w:r>
          </w:p>
        </w:tc>
        <w:tc>
          <w:tcPr>
            <w:tcW w:type="dxa" w:w="1728"/>
          </w:tcPr>
          <w:p>
            <w:r/>
            <w:r>
              <w:rPr>
                <w:sz w:val="19"/>
              </w:rPr>
              <w:t>15%–25%</w:t>
            </w:r>
          </w:p>
        </w:tc>
        <w:tc>
          <w:tcPr>
            <w:tcW w:type="dxa" w:w="2592"/>
          </w:tcPr>
          <w:p>
            <w:r/>
            <w:r>
              <w:rPr>
                <w:sz w:val="19"/>
              </w:rPr>
              <w:t>40%–60%</w:t>
            </w:r>
          </w:p>
        </w:tc>
        <w:tc>
          <w:tcPr>
            <w:tcW w:type="dxa" w:w="3024"/>
          </w:tcPr>
          <w:p>
            <w:r/>
            <w:r>
              <w:rPr>
                <w:sz w:val="19"/>
              </w:rPr>
              <w:t>40%–70% (most likely ≈ 55–65%)</w:t>
            </w:r>
          </w:p>
        </w:tc>
      </w:tr>
      <w:tr>
        <w:tc>
          <w:tcPr>
            <w:tcW w:type="dxa" w:w="2016"/>
          </w:tcPr>
          <w:p>
            <w:r/>
            <w:r>
              <w:rPr>
                <w:sz w:val="19"/>
              </w:rPr>
              <w:t>Apex (non-party employer)</w:t>
            </w:r>
          </w:p>
        </w:tc>
        <w:tc>
          <w:tcPr>
            <w:tcW w:type="dxa" w:w="1728"/>
          </w:tcPr>
          <w:p>
            <w:r/>
            <w:r>
              <w:rPr>
                <w:sz w:val="19"/>
              </w:rPr>
              <w:t>55%–70%</w:t>
            </w:r>
          </w:p>
        </w:tc>
        <w:tc>
          <w:tcPr>
            <w:tcW w:type="dxa" w:w="2592"/>
          </w:tcPr>
          <w:p>
            <w:r/>
            <w:r>
              <w:rPr>
                <w:sz w:val="19"/>
              </w:rPr>
              <w:t>25%–45%</w:t>
            </w:r>
          </w:p>
        </w:tc>
        <w:tc>
          <w:tcPr>
            <w:tcW w:type="dxa" w:w="3024"/>
          </w:tcPr>
          <w:p>
            <w:r/>
            <w:r>
              <w:rPr>
                <w:sz w:val="19"/>
              </w:rPr>
              <w:t>25%–50%</w:t>
            </w:r>
          </w:p>
        </w:tc>
      </w:tr>
      <w:tr>
        <w:tc>
          <w:tcPr>
            <w:tcW w:type="dxa" w:w="2016"/>
          </w:tcPr>
          <w:p>
            <w:r/>
            <w:r>
              <w:rPr>
                <w:sz w:val="19"/>
              </w:rPr>
              <w:t>Holt</w:t>
            </w:r>
          </w:p>
        </w:tc>
        <w:tc>
          <w:tcPr>
            <w:tcW w:type="dxa" w:w="1728"/>
          </w:tcPr>
          <w:p>
            <w:r/>
            <w:r>
              <w:rPr>
                <w:sz w:val="19"/>
              </w:rPr>
              <w:t>10%–15%</w:t>
            </w:r>
          </w:p>
        </w:tc>
        <w:tc>
          <w:tcPr>
            <w:tcW w:type="dxa" w:w="2592"/>
          </w:tcPr>
          <w:p>
            <w:r/>
            <w:r>
              <w:rPr>
                <w:sz w:val="19"/>
              </w:rPr>
              <w:t>5%–15%</w:t>
            </w:r>
          </w:p>
        </w:tc>
        <w:tc>
          <w:tcPr>
            <w:tcW w:type="dxa" w:w="3024"/>
          </w:tcPr>
          <w:p>
            <w:r/>
            <w:r>
              <w:rPr>
                <w:sz w:val="19"/>
              </w:rPr>
              <w:t>0%–10%</w:t>
            </w:r>
          </w:p>
        </w:tc>
      </w:tr>
    </w:tbl>
    <w:p>
      <w:pPr>
        <w:spacing w:after="40"/>
      </w:pPr>
    </w:p>
    <w:p>
      <w:r>
        <w:rPr>
          <w:i w:val="0"/>
        </w:rPr>
        <w:t>Holt's own fault will be small. He did not modify the guard, used the two-hand control, and retrieved the part in the ordinary way. Our assessment of 15–25% for Greenfield is not credible to a jury that sees the emails. We also need to confirm that the non-party allocation to Apex under R.C. 2307.23 was properly pleaded as an affirmative defense and preserved.</w:t>
      </w:r>
    </w:p>
    <w:p>
      <w:r>
        <w:rPr>
          <w:b/>
        </w:rPr>
        <w:t xml:space="preserve">The 50% threshold. </w:t>
      </w:r>
      <w:r>
        <w:rPr>
          <w:i w:val="0"/>
        </w:rPr>
        <w:t>The 50% line matters a great deal. Under R.C. 2307.22, a defendant found more than 50% at fault is jointly and severally liable for all economic damages, which means Greenfield would also absorb Apex's share, because Apex is immune as a complying workers' compensation employer. At 50% or below, Greenfield pays only its proportionate share. Non-economic damages are several-only in either case. The punitive cap is also tied to compensatory damages awarded against Greenfield, so a lower allocation shrinks punitive exposure too.</w:t>
      </w:r>
    </w:p>
    <w:p>
      <w:r>
        <w:rPr>
          <w:b/>
        </w:rPr>
        <w:t xml:space="preserve">Contribution from Apex is unlikely. </w:t>
      </w:r>
      <w:r>
        <w:rPr>
          <w:i w:val="0"/>
        </w:rPr>
        <w:t>The defense brief "reserves" contribution against Apex under R.C. 2307.25. Workers' compensation immunity generally bars contribution claims against a complying employer unless there is a contractual indemnity. We have seen no indemnity provision in the Apex purchase documents. The Committee should not count on any recovery from Apex, and the brief should not imply that recovery is available.</w:t>
      </w:r>
    </w:p>
    <w:p>
      <w:pPr>
        <w:pStyle w:val="Heading1"/>
      </w:pPr>
      <w:r>
        <w:t>IV. Damages Assessment</w:t>
      </w:r>
    </w:p>
    <w:p>
      <w:pPr>
        <w:pStyle w:val="Heading2"/>
      </w:pPr>
      <w:r>
        <w:t>A. Economic Damages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F3A5F"/>
          </w:tcPr>
          <w:p>
            <w:r/>
            <w:r>
              <w:rPr>
                <w:b/>
                <w:color w:val="FFFFFF"/>
                <w:sz w:val="19"/>
              </w:rPr>
              <w:t>Component</w:t>
            </w:r>
          </w:p>
        </w:tc>
        <w:tc>
          <w:tcPr>
            <w:tcW w:type="dxa" w:w="1584"/>
            <w:shd w:val="clear" w:color="auto" w:fill="1F3A5F"/>
          </w:tcPr>
          <w:p>
            <w:r/>
            <w:r>
              <w:rPr>
                <w:b/>
                <w:color w:val="FFFFFF"/>
                <w:sz w:val="19"/>
              </w:rPr>
              <w:t>Aldrich (Pl.)</w:t>
            </w:r>
          </w:p>
        </w:tc>
        <w:tc>
          <w:tcPr>
            <w:tcW w:type="dxa" w:w="1872"/>
            <w:shd w:val="clear" w:color="auto" w:fill="1F3A5F"/>
          </w:tcPr>
          <w:p>
            <w:r/>
            <w:r>
              <w:rPr>
                <w:b/>
                <w:color w:val="FFFFFF"/>
                <w:sz w:val="19"/>
              </w:rPr>
              <w:t>Cho (Def.) as reported</w:t>
            </w:r>
          </w:p>
        </w:tc>
        <w:tc>
          <w:tcPr>
            <w:tcW w:type="dxa" w:w="1584"/>
            <w:shd w:val="clear" w:color="auto" w:fill="1F3A5F"/>
          </w:tcPr>
          <w:p>
            <w:r/>
            <w:r>
              <w:rPr>
                <w:b/>
                <w:color w:val="FFFFFF"/>
                <w:sz w:val="19"/>
              </w:rPr>
              <w:t>Cho corrected</w:t>
            </w:r>
          </w:p>
        </w:tc>
        <w:tc>
          <w:tcPr>
            <w:tcW w:type="dxa" w:w="1728"/>
            <w:shd w:val="clear" w:color="auto" w:fill="1F3A5F"/>
          </w:tcPr>
          <w:p>
            <w:r/>
            <w:r>
              <w:rPr>
                <w:b/>
                <w:color w:val="FFFFFF"/>
                <w:sz w:val="19"/>
              </w:rPr>
              <w:t>Our likely jury figure</w:t>
            </w:r>
          </w:p>
        </w:tc>
      </w:tr>
      <w:tr>
        <w:tc>
          <w:tcPr>
            <w:tcW w:type="dxa" w:w="2592"/>
          </w:tcPr>
          <w:p>
            <w:r/>
            <w:r>
              <w:rPr>
                <w:sz w:val="19"/>
              </w:rPr>
              <w:t>Past medical</w:t>
            </w:r>
          </w:p>
        </w:tc>
        <w:tc>
          <w:tcPr>
            <w:tcW w:type="dxa" w:w="1584"/>
          </w:tcPr>
          <w:p>
            <w:r/>
            <w:r>
              <w:rPr>
                <w:sz w:val="19"/>
              </w:rPr>
              <w:t>$363,700</w:t>
            </w:r>
          </w:p>
        </w:tc>
        <w:tc>
          <w:tcPr>
            <w:tcW w:type="dxa" w:w="1872"/>
          </w:tcPr>
          <w:p>
            <w:r/>
            <w:r>
              <w:rPr>
                <w:sz w:val="19"/>
              </w:rPr>
              <w:t>$363,700</w:t>
            </w:r>
          </w:p>
        </w:tc>
        <w:tc>
          <w:tcPr>
            <w:tcW w:type="dxa" w:w="1584"/>
          </w:tcPr>
          <w:p>
            <w:r/>
            <w:r>
              <w:rPr>
                <w:sz w:val="19"/>
              </w:rPr>
              <w:t>$363,700</w:t>
            </w:r>
          </w:p>
        </w:tc>
        <w:tc>
          <w:tcPr>
            <w:tcW w:type="dxa" w:w="1728"/>
          </w:tcPr>
          <w:p>
            <w:r/>
            <w:r>
              <w:rPr>
                <w:sz w:val="19"/>
              </w:rPr>
              <w:t>$363,700</w:t>
            </w:r>
          </w:p>
        </w:tc>
      </w:tr>
      <w:tr>
        <w:tc>
          <w:tcPr>
            <w:tcW w:type="dxa" w:w="2592"/>
          </w:tcPr>
          <w:p>
            <w:r/>
            <w:r>
              <w:rPr>
                <w:sz w:val="19"/>
              </w:rPr>
              <w:t>Past lost wages</w:t>
            </w:r>
          </w:p>
        </w:tc>
        <w:tc>
          <w:tcPr>
            <w:tcW w:type="dxa" w:w="1584"/>
          </w:tcPr>
          <w:p>
            <w:r/>
            <w:r>
              <w:rPr>
                <w:sz w:val="19"/>
              </w:rPr>
              <w:t>$138,400</w:t>
            </w:r>
          </w:p>
        </w:tc>
        <w:tc>
          <w:tcPr>
            <w:tcW w:type="dxa" w:w="1872"/>
          </w:tcPr>
          <w:p>
            <w:r/>
            <w:r>
              <w:rPr>
                <w:sz w:val="19"/>
              </w:rPr>
              <w:t>$138,400</w:t>
            </w:r>
          </w:p>
        </w:tc>
        <w:tc>
          <w:tcPr>
            <w:tcW w:type="dxa" w:w="1584"/>
          </w:tcPr>
          <w:p>
            <w:r/>
            <w:r>
              <w:rPr>
                <w:sz w:val="19"/>
              </w:rPr>
              <w:t>$138,400</w:t>
            </w:r>
          </w:p>
        </w:tc>
        <w:tc>
          <w:tcPr>
            <w:tcW w:type="dxa" w:w="1728"/>
          </w:tcPr>
          <w:p>
            <w:r/>
            <w:r>
              <w:rPr>
                <w:sz w:val="19"/>
              </w:rPr>
              <w:t>$138,400</w:t>
            </w:r>
          </w:p>
        </w:tc>
      </w:tr>
      <w:tr>
        <w:tc>
          <w:tcPr>
            <w:tcW w:type="dxa" w:w="2592"/>
          </w:tcPr>
          <w:p>
            <w:r/>
            <w:r>
              <w:rPr>
                <w:sz w:val="19"/>
              </w:rPr>
              <w:t>Future medical (PV)</w:t>
            </w:r>
          </w:p>
        </w:tc>
        <w:tc>
          <w:tcPr>
            <w:tcW w:type="dxa" w:w="1584"/>
          </w:tcPr>
          <w:p>
            <w:r/>
            <w:r>
              <w:rPr>
                <w:sz w:val="19"/>
              </w:rPr>
              <w:t>$814,300</w:t>
            </w:r>
          </w:p>
        </w:tc>
        <w:tc>
          <w:tcPr>
            <w:tcW w:type="dxa" w:w="1872"/>
          </w:tcPr>
          <w:p>
            <w:r/>
            <w:r>
              <w:rPr>
                <w:sz w:val="19"/>
              </w:rPr>
              <w:t>$621,400</w:t>
            </w:r>
          </w:p>
        </w:tc>
        <w:tc>
          <w:tcPr>
            <w:tcW w:type="dxa" w:w="1584"/>
          </w:tcPr>
          <w:p>
            <w:r/>
            <w:r>
              <w:rPr>
                <w:sz w:val="19"/>
              </w:rPr>
              <w:t>$621,400</w:t>
            </w:r>
          </w:p>
        </w:tc>
        <w:tc>
          <w:tcPr>
            <w:tcW w:type="dxa" w:w="1728"/>
          </w:tcPr>
          <w:p>
            <w:r/>
            <w:r>
              <w:rPr>
                <w:sz w:val="19"/>
              </w:rPr>
              <w:t>≈ $700,000</w:t>
            </w:r>
          </w:p>
        </w:tc>
      </w:tr>
      <w:tr>
        <w:tc>
          <w:tcPr>
            <w:tcW w:type="dxa" w:w="2592"/>
          </w:tcPr>
          <w:p>
            <w:r/>
            <w:r>
              <w:rPr>
                <w:sz w:val="19"/>
              </w:rPr>
              <w:t>Future lost earning capacity (PV)</w:t>
            </w:r>
          </w:p>
        </w:tc>
        <w:tc>
          <w:tcPr>
            <w:tcW w:type="dxa" w:w="1584"/>
          </w:tcPr>
          <w:p>
            <w:r/>
            <w:r>
              <w:rPr>
                <w:sz w:val="19"/>
              </w:rPr>
              <w:t>$892,600</w:t>
            </w:r>
          </w:p>
        </w:tc>
        <w:tc>
          <w:tcPr>
            <w:tcW w:type="dxa" w:w="1872"/>
          </w:tcPr>
          <w:p>
            <w:r/>
            <w:r>
              <w:rPr>
                <w:sz w:val="19"/>
              </w:rPr>
              <w:t>$563,700</w:t>
            </w:r>
          </w:p>
        </w:tc>
        <w:tc>
          <w:tcPr>
            <w:tcW w:type="dxa" w:w="1584"/>
          </w:tcPr>
          <w:p>
            <w:r/>
            <w:r>
              <w:rPr>
                <w:sz w:val="19"/>
              </w:rPr>
              <w:t>$563,700</w:t>
            </w:r>
          </w:p>
        </w:tc>
        <w:tc>
          <w:tcPr>
            <w:tcW w:type="dxa" w:w="1728"/>
          </w:tcPr>
          <w:p>
            <w:r/>
            <w:r>
              <w:rPr>
                <w:sz w:val="19"/>
              </w:rPr>
              <w:t>≈ $730,000</w:t>
            </w:r>
          </w:p>
        </w:tc>
      </w:tr>
      <w:tr>
        <w:tc>
          <w:tcPr>
            <w:tcW w:type="dxa" w:w="2592"/>
          </w:tcPr>
          <w:p>
            <w:r/>
            <w:r>
              <w:rPr>
                <w:sz w:val="19"/>
              </w:rPr>
              <w:t>Future fringe benefits (PV)</w:t>
            </w:r>
          </w:p>
        </w:tc>
        <w:tc>
          <w:tcPr>
            <w:tcW w:type="dxa" w:w="1584"/>
          </w:tcPr>
          <w:p>
            <w:r/>
            <w:r>
              <w:rPr>
                <w:sz w:val="19"/>
              </w:rPr>
              <w:t>$196,400</w:t>
            </w:r>
          </w:p>
        </w:tc>
        <w:tc>
          <w:tcPr>
            <w:tcW w:type="dxa" w:w="1872"/>
          </w:tcPr>
          <w:p>
            <w:r/>
            <w:r>
              <w:rPr>
                <w:sz w:val="19"/>
              </w:rPr>
              <w:t>omitted</w:t>
            </w:r>
          </w:p>
        </w:tc>
        <w:tc>
          <w:tcPr>
            <w:tcW w:type="dxa" w:w="1584"/>
          </w:tcPr>
          <w:p>
            <w:r/>
            <w:r>
              <w:rPr>
                <w:sz w:val="19"/>
              </w:rPr>
              <w:t>≈ $125,100</w:t>
            </w:r>
          </w:p>
        </w:tc>
        <w:tc>
          <w:tcPr>
            <w:tcW w:type="dxa" w:w="1728"/>
          </w:tcPr>
          <w:p>
            <w:r/>
            <w:r>
              <w:rPr>
                <w:sz w:val="19"/>
              </w:rPr>
              <w:t>≈ $160,000</w:t>
            </w:r>
          </w:p>
        </w:tc>
      </w:tr>
      <w:tr>
        <w:tc>
          <w:tcPr>
            <w:tcW w:type="dxa" w:w="2592"/>
          </w:tcPr>
          <w:p>
            <w:r/>
            <w:r>
              <w:rPr>
                <w:b/>
                <w:sz w:val="19"/>
              </w:rPr>
              <w:t>Total</w:t>
            </w:r>
          </w:p>
        </w:tc>
        <w:tc>
          <w:tcPr>
            <w:tcW w:type="dxa" w:w="1584"/>
          </w:tcPr>
          <w:p>
            <w:r/>
            <w:r>
              <w:rPr>
                <w:b/>
                <w:sz w:val="19"/>
              </w:rPr>
              <w:t>$2,405,400</w:t>
            </w:r>
          </w:p>
        </w:tc>
        <w:tc>
          <w:tcPr>
            <w:tcW w:type="dxa" w:w="1872"/>
          </w:tcPr>
          <w:p>
            <w:r/>
            <w:r>
              <w:rPr>
                <w:b/>
                <w:sz w:val="19"/>
              </w:rPr>
              <w:t>$1,687,200</w:t>
            </w:r>
          </w:p>
        </w:tc>
        <w:tc>
          <w:tcPr>
            <w:tcW w:type="dxa" w:w="1584"/>
          </w:tcPr>
          <w:p>
            <w:r/>
            <w:r>
              <w:rPr>
                <w:b/>
                <w:sz w:val="19"/>
              </w:rPr>
              <w:t>≈ $1,812,300</w:t>
            </w:r>
          </w:p>
        </w:tc>
        <w:tc>
          <w:tcPr>
            <w:tcW w:type="dxa" w:w="1728"/>
          </w:tcPr>
          <w:p>
            <w:r/>
            <w:r>
              <w:rPr>
                <w:b/>
                <w:sz w:val="19"/>
              </w:rPr>
              <w:t>≈ $2.1M</w:t>
            </w:r>
          </w:p>
        </w:tc>
      </w:tr>
    </w:tbl>
    <w:p>
      <w:pPr>
        <w:spacing w:after="40"/>
      </w:pPr>
    </w:p>
    <w:p>
      <w:r>
        <w:rPr>
          <w:i w:val="0"/>
        </w:rPr>
        <w:t>Assessment of the disputed inputs:</w:t>
      </w:r>
    </w:p>
    <w:p>
      <w:pPr>
        <w:pStyle w:val="ListBullet"/>
      </w:pPr>
      <w:r>
        <w:rPr>
          <w:b/>
        </w:rPr>
        <w:t>Discount rate (2.5% vs. 3.5%).</w:t>
      </w:r>
      <w:r>
        <w:t xml:space="preserve"> Cho's figure is better supported: current long-term Treasury and TIPS yields, and a 2024 practitioner survey with a 3.2% median. Aldrich's own report cites nominal yields of 4.0–4.5%, which undermines Plaintiffs' brief, where "2.2–2.8%" appears to confuse the nominal rate with the net rate. Expect a jury to land between the two.</w:t>
      </w:r>
    </w:p>
    <w:p>
      <w:pPr>
        <w:pStyle w:val="ListBullet"/>
      </w:pPr>
      <w:r>
        <w:rPr>
          <w:b/>
        </w:rPr>
        <w:t>Residual earnings ($42K vs. $52K).</w:t>
      </w:r>
      <w:r>
        <w:t xml:space="preserve"> Cho has the stronger evidence (a CRC vocational assessment and transferable estimating and inspection skills). But $52,000 assumes a successful transition to a skilled role, and a jury may discount that because of the visible disability and the psychiatric diagnosis.</w:t>
      </w:r>
    </w:p>
    <w:p>
      <w:pPr>
        <w:pStyle w:val="ListBullet"/>
      </w:pPr>
      <w:r>
        <w:rPr>
          <w:b/>
        </w:rPr>
        <w:t>Work-life (27 vs. 24 years).</w:t>
      </w:r>
      <w:r>
        <w:t xml:space="preserve"> Aldrich's reasoning is intuitively stronger: Holt will not be an ironworker, so ironworker attrition tables fit poorly. Cho's rationale that "physical toll persists" is plausible but thin.</w:t>
      </w:r>
    </w:p>
    <w:p>
      <w:pPr>
        <w:pStyle w:val="ListBullet"/>
      </w:pPr>
      <w:r>
        <w:rPr>
          <w:b/>
        </w:rPr>
        <w:t>Prosthetics.</w:t>
      </w:r>
      <w:r>
        <w:t xml:space="preserve"> The disagreement is narrow and is worth about $176,000 undiscounted. Cho's initial-fitting versus replacement distinction is sound. We treat this item as roughly a split.</w:t>
      </w:r>
    </w:p>
    <w:p>
      <w:r>
        <w:rPr>
          <w:i/>
        </w:rPr>
        <w:t>Record anomaly to fix before mediation: Aldrich says billed past medical charges ($363,700) exceed workers' compensation payments, yet Buckeye reports $418,600 in medical benefits paid. The paid amount cannot exceed the billed amount unless the lien includes items outside the tabulation, such as mileage, pharmacy, or post-cutoff payments. Ask for Buckeye's itemized payment ledger. The answer affects both the lien negotiation and Aldrich's credibility.</w:t>
      </w:r>
    </w:p>
    <w:p>
      <w:pPr>
        <w:pStyle w:val="Heading2"/>
      </w:pPr>
      <w:r>
        <w:t>B. Non-Economic Damages — Uncapped for Mr. Holt</w:t>
      </w:r>
    </w:p>
    <w:p>
      <w:r>
        <w:rPr>
          <w:i w:val="0"/>
        </w:rPr>
        <w:t>Because the R.C. 2315.18(B)(3) exception applies, a jury may award whatever the evidence supports, subject only to remittitur. Consider the profile: a 38-year-old father, dominant-arm amputation, phantom-limb pain, visible disfigurement, about 40 years of remaining life, and a sympathetic narrative ("coached Little League"). In the Southern District of Ohio, we assess a realistic jury range of $2.5M–$6.0M for Mr. Holt, most likely around $4.0M. That range is consistent with Garza ($6.4M gross settlement: same injury, same district, employer modification) and Novak ($8.7M verdict; above-elbow amputation).</w:t>
      </w:r>
    </w:p>
    <w:p>
      <w:r>
        <w:rPr>
          <w:i w:val="0"/>
        </w:rPr>
        <w:t>Jennifer Holt's consortium claim is her own claim and does not arise from her own physical injury. The better reading is that the general cap applies to it: the greater of $250,000 or three times her economic loss, with a $350,000 maximum per plaintiff. This point is not free from doubt. We value the claim at $100,000–$350,000, most likely $250,000. The defense brief's $50,000–$100,000 is low but defensible as an opening position.</w:t>
      </w:r>
    </w:p>
    <w:p>
      <w:pPr>
        <w:pStyle w:val="Heading2"/>
      </w:pPr>
      <w:r>
        <w:t>C. Gross Compensatory Verdict Range (100% Basis)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F3A5F"/>
          </w:tcPr>
          <w:p>
            <w:r/>
            <w:r>
              <w:rPr>
                <w:b/>
                <w:color w:val="FFFFFF"/>
                <w:sz w:val="19"/>
              </w:rPr>
              <w:t>Scenario</w:t>
            </w:r>
          </w:p>
        </w:tc>
        <w:tc>
          <w:tcPr>
            <w:tcW w:type="dxa" w:w="1584"/>
            <w:shd w:val="clear" w:color="auto" w:fill="1F3A5F"/>
          </w:tcPr>
          <w:p>
            <w:r/>
            <w:r>
              <w:rPr>
                <w:b/>
                <w:color w:val="FFFFFF"/>
                <w:sz w:val="19"/>
              </w:rPr>
              <w:t>Economic</w:t>
            </w:r>
          </w:p>
        </w:tc>
        <w:tc>
          <w:tcPr>
            <w:tcW w:type="dxa" w:w="2016"/>
            <w:shd w:val="clear" w:color="auto" w:fill="1F3A5F"/>
          </w:tcPr>
          <w:p>
            <w:r/>
            <w:r>
              <w:rPr>
                <w:b/>
                <w:color w:val="FFFFFF"/>
                <w:sz w:val="19"/>
              </w:rPr>
              <w:t>Non-econ (Marcus)</w:t>
            </w:r>
          </w:p>
        </w:tc>
        <w:tc>
          <w:tcPr>
            <w:tcW w:type="dxa" w:w="1584"/>
            <w:shd w:val="clear" w:color="auto" w:fill="1F3A5F"/>
          </w:tcPr>
          <w:p>
            <w:r/>
            <w:r>
              <w:rPr>
                <w:b/>
                <w:color w:val="FFFFFF"/>
                <w:sz w:val="19"/>
              </w:rPr>
              <w:t>Consortium</w:t>
            </w:r>
          </w:p>
        </w:tc>
        <w:tc>
          <w:tcPr>
            <w:tcW w:type="dxa" w:w="2016"/>
            <w:shd w:val="clear" w:color="auto" w:fill="1F3A5F"/>
          </w:tcPr>
          <w:p>
            <w:r/>
            <w:r>
              <w:rPr>
                <w:b/>
                <w:color w:val="FFFFFF"/>
                <w:sz w:val="19"/>
              </w:rPr>
              <w:t>Gross compensatory</w:t>
            </w:r>
          </w:p>
        </w:tc>
      </w:tr>
      <w:tr>
        <w:tc>
          <w:tcPr>
            <w:tcW w:type="dxa" w:w="2160"/>
          </w:tcPr>
          <w:p>
            <w:r/>
            <w:r>
              <w:rPr>
                <w:sz w:val="19"/>
              </w:rPr>
              <w:t>Defense-favorable</w:t>
            </w:r>
          </w:p>
        </w:tc>
        <w:tc>
          <w:tcPr>
            <w:tcW w:type="dxa" w:w="1584"/>
          </w:tcPr>
          <w:p>
            <w:r/>
            <w:r>
              <w:rPr>
                <w:sz w:val="19"/>
              </w:rPr>
              <w:t>$1.81M</w:t>
            </w:r>
          </w:p>
        </w:tc>
        <w:tc>
          <w:tcPr>
            <w:tcW w:type="dxa" w:w="2016"/>
          </w:tcPr>
          <w:p>
            <w:r/>
            <w:r>
              <w:rPr>
                <w:sz w:val="19"/>
              </w:rPr>
              <w:t>$2.5M</w:t>
            </w:r>
          </w:p>
        </w:tc>
        <w:tc>
          <w:tcPr>
            <w:tcW w:type="dxa" w:w="1584"/>
          </w:tcPr>
          <w:p>
            <w:r/>
            <w:r>
              <w:rPr>
                <w:sz w:val="19"/>
              </w:rPr>
              <w:t>$0.15M</w:t>
            </w:r>
          </w:p>
        </w:tc>
        <w:tc>
          <w:tcPr>
            <w:tcW w:type="dxa" w:w="2016"/>
          </w:tcPr>
          <w:p>
            <w:r/>
            <w:r>
              <w:rPr>
                <w:sz w:val="19"/>
              </w:rPr>
              <w:t>≈ $4.5M</w:t>
            </w:r>
          </w:p>
        </w:tc>
      </w:tr>
      <w:tr>
        <w:tc>
          <w:tcPr>
            <w:tcW w:type="dxa" w:w="2160"/>
          </w:tcPr>
          <w:p>
            <w:r/>
            <w:r>
              <w:rPr>
                <w:sz w:val="19"/>
              </w:rPr>
              <w:t>Most likely</w:t>
            </w:r>
          </w:p>
        </w:tc>
        <w:tc>
          <w:tcPr>
            <w:tcW w:type="dxa" w:w="1584"/>
          </w:tcPr>
          <w:p>
            <w:r/>
            <w:r>
              <w:rPr>
                <w:sz w:val="19"/>
              </w:rPr>
              <w:t>$2.1M</w:t>
            </w:r>
          </w:p>
        </w:tc>
        <w:tc>
          <w:tcPr>
            <w:tcW w:type="dxa" w:w="2016"/>
          </w:tcPr>
          <w:p>
            <w:r/>
            <w:r>
              <w:rPr>
                <w:sz w:val="19"/>
              </w:rPr>
              <w:t>$4.0M</w:t>
            </w:r>
          </w:p>
        </w:tc>
        <w:tc>
          <w:tcPr>
            <w:tcW w:type="dxa" w:w="1584"/>
          </w:tcPr>
          <w:p>
            <w:r/>
            <w:r>
              <w:rPr>
                <w:sz w:val="19"/>
              </w:rPr>
              <w:t>$0.25M</w:t>
            </w:r>
          </w:p>
        </w:tc>
        <w:tc>
          <w:tcPr>
            <w:tcW w:type="dxa" w:w="2016"/>
          </w:tcPr>
          <w:p>
            <w:r/>
            <w:r>
              <w:rPr>
                <w:sz w:val="19"/>
              </w:rPr>
              <w:t>≈ $6.35M</w:t>
            </w:r>
          </w:p>
        </w:tc>
      </w:tr>
      <w:tr>
        <w:tc>
          <w:tcPr>
            <w:tcW w:type="dxa" w:w="2160"/>
          </w:tcPr>
          <w:p>
            <w:r/>
            <w:r>
              <w:rPr>
                <w:sz w:val="19"/>
              </w:rPr>
              <w:t>Plaintiff-favorable</w:t>
            </w:r>
          </w:p>
        </w:tc>
        <w:tc>
          <w:tcPr>
            <w:tcW w:type="dxa" w:w="1584"/>
          </w:tcPr>
          <w:p>
            <w:r/>
            <w:r>
              <w:rPr>
                <w:sz w:val="19"/>
              </w:rPr>
              <w:t>$2.41M</w:t>
            </w:r>
          </w:p>
        </w:tc>
        <w:tc>
          <w:tcPr>
            <w:tcW w:type="dxa" w:w="2016"/>
          </w:tcPr>
          <w:p>
            <w:r/>
            <w:r>
              <w:rPr>
                <w:sz w:val="19"/>
              </w:rPr>
              <w:t>$6.0M</w:t>
            </w:r>
          </w:p>
        </w:tc>
        <w:tc>
          <w:tcPr>
            <w:tcW w:type="dxa" w:w="1584"/>
          </w:tcPr>
          <w:p>
            <w:r/>
            <w:r>
              <w:rPr>
                <w:sz w:val="19"/>
              </w:rPr>
              <w:t>$0.35M</w:t>
            </w:r>
          </w:p>
        </w:tc>
        <w:tc>
          <w:tcPr>
            <w:tcW w:type="dxa" w:w="2016"/>
          </w:tcPr>
          <w:p>
            <w:r/>
            <w:r>
              <w:rPr>
                <w:sz w:val="19"/>
              </w:rPr>
              <w:t>≈ $8.75M</w:t>
            </w:r>
          </w:p>
        </w:tc>
      </w:tr>
    </w:tbl>
    <w:p>
      <w:pPr>
        <w:spacing w:after="40"/>
      </w:pPr>
    </w:p>
    <w:p>
      <w:pPr>
        <w:pStyle w:val="Heading1"/>
      </w:pPr>
      <w:r>
        <w:t>V. Punitive Damages and Insurance</w:t>
      </w:r>
    </w:p>
    <w:p>
      <w:pPr>
        <w:pStyle w:val="Heading2"/>
      </w:pPr>
      <w:r>
        <w:t>A. Likelihood of Submission and Award</w:t>
      </w:r>
    </w:p>
    <w:p>
      <w:r>
        <w:rPr>
          <w:i w:val="0"/>
        </w:rPr>
        <w:t>To obtain punitive damages against a manufacturer in a product-liability action, Plaintiffs must show by clear and convincing evidence that Greenfield acted with flagrant or conscious disregard for the safety of persons likely to be harmed (R.C. 2315.21; R.C. 2307.80). The factors in R.C. 2307.80 include the likelihood and seriousness of harm, the manufacturer's awareness of the risk, and its conduct after learning of the risk. On this record, summary judgment on punitive damages is unlikely. What the jury will see:</w:t>
      </w:r>
    </w:p>
    <w:p>
      <w:pPr>
        <w:pStyle w:val="ListBullet"/>
      </w:pPr>
      <w:r>
        <w:t>Reedley specifically predicted the injury that occurred ("a crush amputation").</w:t>
      </w:r>
    </w:p>
    <w:p>
      <w:pPr>
        <w:pStyle w:val="ListBullet"/>
      </w:pPr>
      <w:r>
        <w:t>By October 2019, Greenfield already knew of all three injury reports (the emails list the 2018 laceration, the 2018 bruised hand, and the 2019 fractured wrist). Mitchum deferred the fix anyway.</w:t>
      </w:r>
    </w:p>
    <w:p>
      <w:pPr>
        <w:pStyle w:val="ListBullet"/>
      </w:pPr>
      <w:r>
        <w:t>Mitchum declined a risk assessment and deferred the $385 fix mainly for budget-cycle and delivery reasons. The fix stayed deferred for almost four years, and no retrofit bulletin ever went to existing customers.</w:t>
      </w:r>
    </w:p>
    <w:p>
      <w:r>
        <w:rPr>
          <w:i w:val="0"/>
        </w:rPr>
        <w:t>Mitigating points: the "Phase 2" delay can be attributed partly to supply-chain disruption; there were no prior amputations; the failure rate was below 0.4%; and Mitchum's emails are measured and acknowledge the reports. Plaintiffs have also overstated their case. Their brief's quotations from the emails (e.g., "We got lucky") do not appear in the produced text. Vasquez misquotes Reedley and Mitchum and says more operators were injured after October 2019, but the emails show all three injuries came before that. These points are good impeachment material. However, the corrected record is, if anything, worse for Greenfield on the knowledge question, so we should use them carefully.</w:t>
      </w:r>
    </w:p>
    <w:p>
      <w:r>
        <w:rPr>
          <w:i w:val="0"/>
        </w:rPr>
        <w:t>Our estimates: if Greenfield is found more than 50% at fault, about a 35% chance of a punitive award; if 50% or less, about 15%. A likely award would be 0.5×–1.0× compensatory damages. The statutory cap is 2× the compensatory damages awarded against Greenfield (R.C. 2315.21(D)(2)(a)). Attorney fees can be added to a punitive award. Seeking bifurcation (R.C. 2315.21(B), or Fed. R. Civ. P. 42(b) if the court treats the Ohio rule as procedural) is essential if the case goes to trial.</w:t>
      </w:r>
    </w:p>
    <w:p>
      <w:pPr>
        <w:pStyle w:val="Heading2"/>
      </w:pPr>
      <w:r>
        <w:t>B. Punitive Damages Are Uninsured</w:t>
      </w:r>
    </w:p>
    <w:p>
      <w:r>
        <w:rPr>
          <w:i w:val="0"/>
        </w:rPr>
        <w:t>Both the Ridgeline and Beacon policies exclude punitive damages. Ohio public policy, including R.C. 3937.182(B), generally bars insurance coverage for punitive damages. Every punitive dollar would therefore come from the Company. Coverage counsel's written opinion is still outstanding and should be delivered before March 14. Plaintiffs' brief frames the demand as being "within" the $35M tower, which obscures the fact that the tower does not cover the exposure that matters most to the Company.</w:t>
      </w:r>
    </w:p>
    <w:p>
      <w:pPr>
        <w:pStyle w:val="Heading2"/>
      </w:pPr>
      <w:r>
        <w:t>C. Carrier Dynamics and Counsel Conflict</w:t>
      </w:r>
    </w:p>
    <w:p>
      <w:pPr>
        <w:pStyle w:val="ListBullet"/>
      </w:pPr>
      <w:r>
        <w:rPr>
          <w:b/>
        </w:rPr>
        <w:t>Put Ridgeline on notice.</w:t>
      </w:r>
      <w:r>
        <w:t xml:space="preserve"> Ridgeline funds any settlement and controls consent. Because the Company's uninsured punitive exposure is the main reason to settle, the Company's interest in settling is stronger than the carrier's. We recommend the Company send Ridgeline, with a copy to Beacon, a written request to settle within limits in the target range. The letter should cite the uninsured punitive exposure and the adverse-verdict scenarios in § VI. This protects the Company's rights if Ridgeline declines a reasonable within-limits settlement and a larger verdict follows.</w:t>
      </w:r>
    </w:p>
    <w:p>
      <w:pPr>
        <w:pStyle w:val="ListBullet"/>
      </w:pPr>
      <w:r>
        <w:rPr>
          <w:b/>
        </w:rPr>
        <w:t>Independent coverage counsel.</w:t>
      </w:r>
      <w:r>
        <w:t xml:space="preserve"> Hargrove, Foss &amp; Delaney serves as both defense counsel and coverage counsel. Punitive-damages coverage is the kind of issue on which the Company's interests and the carrier's may diverge. We recommend the Committee retain independent coverage counsel to advise on the punitive exclusion and the settlement-demand letter. This recommendation is made in candor, not reluctance.</w:t>
      </w:r>
    </w:p>
    <w:p>
      <w:pPr>
        <w:pStyle w:val="ListBullet"/>
      </w:pPr>
      <w:r>
        <w:rPr>
          <w:b/>
        </w:rPr>
        <w:t>Prejudgment interest.</w:t>
      </w:r>
      <w:r>
        <w:t xml:space="preserve"> R.C. 1343.03(C) allows prejudgment interest on a tort judgment when a party failed to make a good-faith effort to settle. A token offer at mediation creates this risk, and it is one more reason the opening offer must be credible.</w:t>
      </w:r>
    </w:p>
    <w:p>
      <w:pPr>
        <w:pStyle w:val="Heading1"/>
      </w:pPr>
      <w:r>
        <w:t>VI. Probability-Weighted Valuation</w:t>
      </w:r>
    </w:p>
    <w:p>
      <w:r>
        <w:rPr>
          <w:i w:val="0"/>
        </w:rPr>
        <w:t>This model uses the "most likely" damages from § IV.C ($2.1M economic; $4.0M non-economic; $0.25M consortium) and applies R.C. 2307.22 to each fault scenario.</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val="clear" w:color="auto" w:fill="1F3A5F"/>
          </w:tcPr>
          <w:p>
            <w:r/>
            <w:r>
              <w:rPr>
                <w:b/>
                <w:color w:val="FFFFFF"/>
                <w:sz w:val="19"/>
              </w:rPr>
              <w:t>Outcome</w:t>
            </w:r>
          </w:p>
        </w:tc>
        <w:tc>
          <w:tcPr>
            <w:tcW w:type="dxa" w:w="720"/>
            <w:shd w:val="clear" w:color="auto" w:fill="1F3A5F"/>
          </w:tcPr>
          <w:p>
            <w:r/>
            <w:r>
              <w:rPr>
                <w:b/>
                <w:color w:val="FFFFFF"/>
                <w:sz w:val="19"/>
              </w:rPr>
              <w:t>Prob.</w:t>
            </w:r>
          </w:p>
        </w:tc>
        <w:tc>
          <w:tcPr>
            <w:tcW w:type="dxa" w:w="2304"/>
            <w:shd w:val="clear" w:color="auto" w:fill="1F3A5F"/>
          </w:tcPr>
          <w:p>
            <w:r/>
            <w:r>
              <w:rPr>
                <w:b/>
                <w:color w:val="FFFFFF"/>
                <w:sz w:val="19"/>
              </w:rPr>
              <w:t>Greenfield compensatory exposure</w:t>
            </w:r>
          </w:p>
        </w:tc>
        <w:tc>
          <w:tcPr>
            <w:tcW w:type="dxa" w:w="1152"/>
            <w:shd w:val="clear" w:color="auto" w:fill="1F3A5F"/>
          </w:tcPr>
          <w:p>
            <w:r/>
            <w:r>
              <w:rPr>
                <w:b/>
                <w:color w:val="FFFFFF"/>
                <w:sz w:val="19"/>
              </w:rPr>
              <w:t>Weighted</w:t>
            </w:r>
          </w:p>
        </w:tc>
        <w:tc>
          <w:tcPr>
            <w:tcW w:type="dxa" w:w="1584"/>
            <w:shd w:val="clear" w:color="auto" w:fill="1F3A5F"/>
          </w:tcPr>
          <w:p>
            <w:r/>
            <w:r>
              <w:rPr>
                <w:b/>
                <w:color w:val="FFFFFF"/>
                <w:sz w:val="19"/>
              </w:rPr>
              <w:t>Punitive (prob. × ~1.0×)</w:t>
            </w:r>
          </w:p>
        </w:tc>
        <w:tc>
          <w:tcPr>
            <w:tcW w:type="dxa" w:w="1152"/>
            <w:shd w:val="clear" w:color="auto" w:fill="1F3A5F"/>
          </w:tcPr>
          <w:p>
            <w:r/>
            <w:r>
              <w:rPr>
                <w:b/>
                <w:color w:val="FFFFFF"/>
                <w:sz w:val="19"/>
              </w:rPr>
              <w:t>Weighted</w:t>
            </w:r>
          </w:p>
        </w:tc>
      </w:tr>
      <w:tr>
        <w:tc>
          <w:tcPr>
            <w:tcW w:type="dxa" w:w="2880"/>
          </w:tcPr>
          <w:p>
            <w:r/>
            <w:r>
              <w:rPr>
                <w:sz w:val="19"/>
              </w:rPr>
              <w:t>Defense verdict (sole cause / no defect)</w:t>
            </w:r>
          </w:p>
        </w:tc>
        <w:tc>
          <w:tcPr>
            <w:tcW w:type="dxa" w:w="720"/>
          </w:tcPr>
          <w:p>
            <w:r/>
            <w:r>
              <w:rPr>
                <w:sz w:val="19"/>
              </w:rPr>
              <w:t>15%</w:t>
            </w:r>
          </w:p>
        </w:tc>
        <w:tc>
          <w:tcPr>
            <w:tcW w:type="dxa" w:w="2304"/>
          </w:tcPr>
          <w:p>
            <w:r/>
            <w:r>
              <w:rPr>
                <w:sz w:val="19"/>
              </w:rPr>
              <w:t>$0</w:t>
            </w:r>
          </w:p>
        </w:tc>
        <w:tc>
          <w:tcPr>
            <w:tcW w:type="dxa" w:w="1152"/>
          </w:tcPr>
          <w:p>
            <w:r/>
            <w:r>
              <w:rPr>
                <w:sz w:val="19"/>
              </w:rPr>
              <w:t>$0</w:t>
            </w:r>
          </w:p>
        </w:tc>
        <w:tc>
          <w:tcPr>
            <w:tcW w:type="dxa" w:w="1584"/>
          </w:tcPr>
          <w:p>
            <w:r/>
            <w:r>
              <w:rPr>
                <w:sz w:val="19"/>
              </w:rPr>
              <w:t>—</w:t>
            </w:r>
          </w:p>
        </w:tc>
        <w:tc>
          <w:tcPr>
            <w:tcW w:type="dxa" w:w="1152"/>
          </w:tcPr>
          <w:p>
            <w:r/>
            <w:r>
              <w:rPr>
                <w:sz w:val="19"/>
              </w:rPr>
              <w:t>$0</w:t>
            </w:r>
          </w:p>
        </w:tc>
      </w:tr>
      <w:tr>
        <w:tc>
          <w:tcPr>
            <w:tcW w:type="dxa" w:w="2880"/>
          </w:tcPr>
          <w:p>
            <w:r/>
            <w:r>
              <w:rPr>
                <w:sz w:val="19"/>
              </w:rPr>
              <w:t>Liability; Greenfield ≤50% (≈40%; Holt 10%)</w:t>
            </w:r>
          </w:p>
        </w:tc>
        <w:tc>
          <w:tcPr>
            <w:tcW w:type="dxa" w:w="720"/>
          </w:tcPr>
          <w:p>
            <w:r/>
            <w:r>
              <w:rPr>
                <w:sz w:val="19"/>
              </w:rPr>
              <w:t>30%</w:t>
            </w:r>
          </w:p>
        </w:tc>
        <w:tc>
          <w:tcPr>
            <w:tcW w:type="dxa" w:w="2304"/>
          </w:tcPr>
          <w:p>
            <w:r/>
            <w:r>
              <w:rPr>
                <w:sz w:val="19"/>
              </w:rPr>
              <w:t>≈ $2.5M (several only)</w:t>
            </w:r>
          </w:p>
        </w:tc>
        <w:tc>
          <w:tcPr>
            <w:tcW w:type="dxa" w:w="1152"/>
          </w:tcPr>
          <w:p>
            <w:r/>
            <w:r>
              <w:rPr>
                <w:sz w:val="19"/>
              </w:rPr>
              <w:t>$0.76M</w:t>
            </w:r>
          </w:p>
        </w:tc>
        <w:tc>
          <w:tcPr>
            <w:tcW w:type="dxa" w:w="1584"/>
          </w:tcPr>
          <w:p>
            <w:r/>
            <w:r>
              <w:rPr>
                <w:sz w:val="19"/>
              </w:rPr>
              <w:t>15% × $2.5M</w:t>
            </w:r>
          </w:p>
        </w:tc>
        <w:tc>
          <w:tcPr>
            <w:tcW w:type="dxa" w:w="1152"/>
          </w:tcPr>
          <w:p>
            <w:r/>
            <w:r>
              <w:rPr>
                <w:sz w:val="19"/>
              </w:rPr>
              <w:t>$0.11M</w:t>
            </w:r>
          </w:p>
        </w:tc>
      </w:tr>
      <w:tr>
        <w:tc>
          <w:tcPr>
            <w:tcW w:type="dxa" w:w="2880"/>
          </w:tcPr>
          <w:p>
            <w:r/>
            <w:r>
              <w:rPr>
                <w:sz w:val="19"/>
              </w:rPr>
              <w:t>Liability; Greenfield &gt;50% (≈65%; Holt 5%)</w:t>
            </w:r>
          </w:p>
        </w:tc>
        <w:tc>
          <w:tcPr>
            <w:tcW w:type="dxa" w:w="720"/>
          </w:tcPr>
          <w:p>
            <w:r/>
            <w:r>
              <w:rPr>
                <w:sz w:val="19"/>
              </w:rPr>
              <w:t>55%</w:t>
            </w:r>
          </w:p>
        </w:tc>
        <w:tc>
          <w:tcPr>
            <w:tcW w:type="dxa" w:w="2304"/>
          </w:tcPr>
          <w:p>
            <w:r/>
            <w:r>
              <w:rPr>
                <w:sz w:val="19"/>
              </w:rPr>
              <w:t>≈ $4.75M (joint &amp; several economic)</w:t>
            </w:r>
          </w:p>
        </w:tc>
        <w:tc>
          <w:tcPr>
            <w:tcW w:type="dxa" w:w="1152"/>
          </w:tcPr>
          <w:p>
            <w:r/>
            <w:r>
              <w:rPr>
                <w:sz w:val="19"/>
              </w:rPr>
              <w:t>$2.61M</w:t>
            </w:r>
          </w:p>
        </w:tc>
        <w:tc>
          <w:tcPr>
            <w:tcW w:type="dxa" w:w="1584"/>
          </w:tcPr>
          <w:p>
            <w:r/>
            <w:r>
              <w:rPr>
                <w:sz w:val="19"/>
              </w:rPr>
              <w:t>35% × $4.75M</w:t>
            </w:r>
          </w:p>
        </w:tc>
        <w:tc>
          <w:tcPr>
            <w:tcW w:type="dxa" w:w="1152"/>
          </w:tcPr>
          <w:p>
            <w:r/>
            <w:r>
              <w:rPr>
                <w:sz w:val="19"/>
              </w:rPr>
              <w:t>$0.91M</w:t>
            </w:r>
          </w:p>
        </w:tc>
      </w:tr>
      <w:tr>
        <w:tc>
          <w:tcPr>
            <w:tcW w:type="dxa" w:w="2880"/>
          </w:tcPr>
          <w:p>
            <w:r/>
            <w:r>
              <w:rPr>
                <w:b/>
                <w:sz w:val="19"/>
              </w:rPr>
              <w:t>Expected value</w:t>
            </w:r>
          </w:p>
        </w:tc>
        <w:tc>
          <w:tcPr>
            <w:tcW w:type="dxa" w:w="720"/>
          </w:tcPr>
          <w:p>
            <w:r/>
            <w:r>
              <w:rPr>
                <w:b/>
                <w:sz w:val="19"/>
              </w:rPr>
              <w:t>100%</w:t>
            </w:r>
          </w:p>
        </w:tc>
        <w:tc>
          <w:tcPr>
            <w:tcW w:type="dxa" w:w="2304"/>
          </w:tcPr>
          <w:p>
            <w:r/>
            <w:r>
              <w:rPr>
                <w:b/>
                <w:sz w:val="19"/>
              </w:rPr>
            </w:r>
          </w:p>
        </w:tc>
        <w:tc>
          <w:tcPr>
            <w:tcW w:type="dxa" w:w="1152"/>
          </w:tcPr>
          <w:p>
            <w:r/>
            <w:r>
              <w:rPr>
                <w:b/>
                <w:sz w:val="19"/>
              </w:rPr>
              <w:t>≈ $3.37M</w:t>
            </w:r>
          </w:p>
        </w:tc>
        <w:tc>
          <w:tcPr>
            <w:tcW w:type="dxa" w:w="1584"/>
          </w:tcPr>
          <w:p>
            <w:r/>
            <w:r>
              <w:rPr>
                <w:b/>
                <w:sz w:val="19"/>
              </w:rPr>
            </w:r>
          </w:p>
        </w:tc>
        <w:tc>
          <w:tcPr>
            <w:tcW w:type="dxa" w:w="1152"/>
          </w:tcPr>
          <w:p>
            <w:r/>
            <w:r>
              <w:rPr>
                <w:b/>
                <w:sz w:val="19"/>
              </w:rPr>
              <w:t>≈ $1.02M</w:t>
            </w:r>
          </w:p>
        </w:tc>
      </w:tr>
    </w:tbl>
    <w:p>
      <w:pPr>
        <w:spacing w:after="40"/>
      </w:pPr>
    </w:p>
    <w:p>
      <w:r>
        <w:rPr>
          <w:i w:val="0"/>
        </w:rPr>
        <w:t>Sensitivity. With plaintiff-favorable damages and a 70% allocation to Greenfield, compensatory exposure is about $6.7M. Add punitive damages at 1× and the total is about $13.4M, of which about $6.7M is uninsured. At the 2× cap, the total approaches $20M. With defense-favorable damages, the ≤50% scenario falls to about $1.8M. If Greenfield wins the Daubert motion in full, we would move roughly 15 points of probability from the "&gt;50%" scenario to "defense verdict" and "≤50%," and the expected value would fall to about $3.2M all-in.</w:t>
      </w:r>
    </w:p>
    <w:p>
      <w:r>
        <w:rPr>
          <w:i w:val="0"/>
        </w:rPr>
        <w:t>The risk-adjusted all-in value is about $4.4M before counting (i) publicity and Halcyon risk, (ii) post-trial and appeal costs, (iii) prejudgment-interest risk, and (iv) the asymmetry between insured and uninsured dollars from the Company's point of view. These factors justify paying somewhat above the expected value, which is why the target is $4.25M–$5.25M.</w:t>
      </w:r>
    </w:p>
    <w:p>
      <w:pPr>
        <w:pStyle w:val="Heading2"/>
      </w:pPr>
      <w:r>
        <w:t>Comparable Outcomes (Adjusted to Holt)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A5F"/>
          </w:tcPr>
          <w:p>
            <w:r/>
            <w:r>
              <w:rPr>
                <w:b/>
                <w:color w:val="FFFFFF"/>
                <w:sz w:val="19"/>
              </w:rPr>
              <w:t>Case</w:t>
            </w:r>
          </w:p>
        </w:tc>
        <w:tc>
          <w:tcPr>
            <w:tcW w:type="dxa" w:w="1728"/>
            <w:shd w:val="clear" w:color="auto" w:fill="1F3A5F"/>
          </w:tcPr>
          <w:p>
            <w:r/>
            <w:r>
              <w:rPr>
                <w:b/>
                <w:color w:val="FFFFFF"/>
                <w:sz w:val="19"/>
              </w:rPr>
              <w:t>Outcome</w:t>
            </w:r>
          </w:p>
        </w:tc>
        <w:tc>
          <w:tcPr>
            <w:tcW w:type="dxa" w:w="2736"/>
            <w:shd w:val="clear" w:color="auto" w:fill="1F3A5F"/>
          </w:tcPr>
          <w:p>
            <w:r/>
            <w:r>
              <w:rPr>
                <w:b/>
                <w:color w:val="FFFFFF"/>
                <w:sz w:val="19"/>
              </w:rPr>
              <w:t>Relevance</w:t>
            </w:r>
          </w:p>
        </w:tc>
        <w:tc>
          <w:tcPr>
            <w:tcW w:type="dxa" w:w="2592"/>
            <w:shd w:val="clear" w:color="auto" w:fill="1F3A5F"/>
          </w:tcPr>
          <w:p>
            <w:r/>
            <w:r>
              <w:rPr>
                <w:b/>
                <w:color w:val="FFFFFF"/>
                <w:sz w:val="19"/>
              </w:rPr>
              <w:t>Adjusted indication for Holt</w:t>
            </w:r>
          </w:p>
        </w:tc>
      </w:tr>
      <w:tr>
        <w:tc>
          <w:tcPr>
            <w:tcW w:type="dxa" w:w="2304"/>
          </w:tcPr>
          <w:p>
            <w:r/>
            <w:r>
              <w:rPr>
                <w:sz w:val="19"/>
              </w:rPr>
              <w:t>Garza v. Titan Hydraulics (S.D. Ohio 2020)</w:t>
            </w:r>
          </w:p>
        </w:tc>
        <w:tc>
          <w:tcPr>
            <w:tcW w:type="dxa" w:w="1728"/>
          </w:tcPr>
          <w:p>
            <w:r/>
            <w:r>
              <w:rPr>
                <w:sz w:val="19"/>
              </w:rPr>
              <w:t>$6.4M settlement</w:t>
            </w:r>
          </w:p>
        </w:tc>
        <w:tc>
          <w:tcPr>
            <w:tcW w:type="dxa" w:w="2736"/>
          </w:tcPr>
          <w:p>
            <w:r/>
            <w:r>
              <w:rPr>
                <w:sz w:val="19"/>
              </w:rPr>
              <w:t>Most analogous: same injury and district, employer modification (20%); defect admitted</w:t>
            </w:r>
          </w:p>
        </w:tc>
        <w:tc>
          <w:tcPr>
            <w:tcW w:type="dxa" w:w="2592"/>
          </w:tcPr>
          <w:p>
            <w:r/>
            <w:r>
              <w:rPr>
                <w:sz w:val="19"/>
              </w:rPr>
              <w:t>$5.0M–$6.5M before discount for higher Apex share / contested defect</w:t>
            </w:r>
          </w:p>
        </w:tc>
      </w:tr>
      <w:tr>
        <w:tc>
          <w:tcPr>
            <w:tcW w:type="dxa" w:w="2304"/>
          </w:tcPr>
          <w:p>
            <w:r/>
            <w:r>
              <w:rPr>
                <w:sz w:val="19"/>
              </w:rPr>
              <w:t>Novak v. Steelform (N.D. Ohio 2022)</w:t>
            </w:r>
          </w:p>
        </w:tc>
        <w:tc>
          <w:tcPr>
            <w:tcW w:type="dxa" w:w="1728"/>
          </w:tcPr>
          <w:p>
            <w:r/>
            <w:r>
              <w:rPr>
                <w:sz w:val="19"/>
              </w:rPr>
              <w:t>$8.7M verdict; est. $6.5M–$7.5M on appeal</w:t>
            </w:r>
          </w:p>
        </w:tc>
        <w:tc>
          <w:tcPr>
            <w:tcW w:type="dxa" w:w="2736"/>
          </w:tcPr>
          <w:p>
            <w:r/>
            <w:r>
              <w:rPr>
                <w:sz w:val="19"/>
              </w:rPr>
              <w:t>Prior notice; above-elbow (more severe)</w:t>
            </w:r>
          </w:p>
        </w:tc>
        <w:tc>
          <w:tcPr>
            <w:tcW w:type="dxa" w:w="2592"/>
          </w:tcPr>
          <w:p>
            <w:r/>
            <w:r>
              <w:rPr>
                <w:sz w:val="19"/>
              </w:rPr>
              <w:t>$5.5M–$7.0M before fault</w:t>
            </w:r>
          </w:p>
        </w:tc>
      </w:tr>
      <w:tr>
        <w:tc>
          <w:tcPr>
            <w:tcW w:type="dxa" w:w="2304"/>
          </w:tcPr>
          <w:p>
            <w:r/>
            <w:r>
              <w:rPr>
                <w:sz w:val="19"/>
              </w:rPr>
              <w:t>Tanaka v. Forgemaster (6th Cir. 2021)</w:t>
            </w:r>
          </w:p>
        </w:tc>
        <w:tc>
          <w:tcPr>
            <w:tcW w:type="dxa" w:w="1728"/>
          </w:tcPr>
          <w:p>
            <w:r/>
            <w:r>
              <w:rPr>
                <w:sz w:val="19"/>
              </w:rPr>
              <w:t>$7.2M verdict → $4.8M</w:t>
            </w:r>
          </w:p>
        </w:tc>
        <w:tc>
          <w:tcPr>
            <w:tcW w:type="dxa" w:w="2736"/>
          </w:tcPr>
          <w:p>
            <w:r/>
            <w:r>
              <w:rPr>
                <w:sz w:val="19"/>
              </w:rPr>
              <w:t>Expert-exclusion risk</w:t>
            </w:r>
          </w:p>
        </w:tc>
        <w:tc>
          <w:tcPr>
            <w:tcW w:type="dxa" w:w="2592"/>
          </w:tcPr>
          <w:p>
            <w:r/>
            <w:r>
              <w:rPr>
                <w:sz w:val="19"/>
              </w:rPr>
              <w:t>$4.0M–$5.5M if Daubert partly granted</w:t>
            </w:r>
          </w:p>
        </w:tc>
      </w:tr>
      <w:tr>
        <w:tc>
          <w:tcPr>
            <w:tcW w:type="dxa" w:w="2304"/>
          </w:tcPr>
          <w:p>
            <w:r/>
            <w:r>
              <w:rPr>
                <w:sz w:val="19"/>
              </w:rPr>
              <w:t>Williams v. PressForce (Hamilton Cty. 2019)</w:t>
            </w:r>
          </w:p>
        </w:tc>
        <w:tc>
          <w:tcPr>
            <w:tcW w:type="dxa" w:w="1728"/>
          </w:tcPr>
          <w:p>
            <w:r/>
            <w:r>
              <w:rPr>
                <w:sz w:val="19"/>
              </w:rPr>
              <w:t>$3.9M settlement</w:t>
            </w:r>
          </w:p>
        </w:tc>
        <w:tc>
          <w:tcPr>
            <w:tcW w:type="dxa" w:w="2736"/>
          </w:tcPr>
          <w:p>
            <w:r/>
            <w:r>
              <w:rPr>
                <w:sz w:val="19"/>
              </w:rPr>
              <w:t>Less severe; plaintiff bypassed guard</w:t>
            </w:r>
          </w:p>
        </w:tc>
        <w:tc>
          <w:tcPr>
            <w:tcW w:type="dxa" w:w="2592"/>
          </w:tcPr>
          <w:p>
            <w:r/>
            <w:r>
              <w:rPr>
                <w:sz w:val="19"/>
              </w:rPr>
              <w:t>Supports floor ≈ $3.5M–$4.5M</w:t>
            </w:r>
          </w:p>
        </w:tc>
      </w:tr>
      <w:tr>
        <w:tc>
          <w:tcPr>
            <w:tcW w:type="dxa" w:w="2304"/>
          </w:tcPr>
          <w:p>
            <w:r/>
            <w:r>
              <w:rPr>
                <w:sz w:val="19"/>
              </w:rPr>
              <w:t>Ostrowski v. Columbian (Cuyahoga Cty. 2020)</w:t>
            </w:r>
          </w:p>
        </w:tc>
        <w:tc>
          <w:tcPr>
            <w:tcW w:type="dxa" w:w="1728"/>
          </w:tcPr>
          <w:p>
            <w:r/>
            <w:r>
              <w:rPr>
                <w:sz w:val="19"/>
              </w:rPr>
              <w:t>$2.1M settlement</w:t>
            </w:r>
          </w:p>
        </w:tc>
        <w:tc>
          <w:tcPr>
            <w:tcW w:type="dxa" w:w="2736"/>
          </w:tcPr>
          <w:p>
            <w:r/>
            <w:r>
              <w:rPr>
                <w:sz w:val="19"/>
              </w:rPr>
              <w:t>Partial hand; plaintiff removed guard</w:t>
            </w:r>
          </w:p>
        </w:tc>
        <w:tc>
          <w:tcPr>
            <w:tcW w:type="dxa" w:w="2592"/>
          </w:tcPr>
          <w:p>
            <w:r/>
            <w:r>
              <w:rPr>
                <w:sz w:val="19"/>
              </w:rPr>
              <w:t>Low relevance</w:t>
            </w:r>
          </w:p>
        </w:tc>
      </w:tr>
      <w:tr>
        <w:tc>
          <w:tcPr>
            <w:tcW w:type="dxa" w:w="2304"/>
          </w:tcPr>
          <w:p>
            <w:r/>
            <w:r>
              <w:rPr>
                <w:sz w:val="19"/>
              </w:rPr>
              <w:t>Brewer v. Atlas (Montgomery Cty. 2023)</w:t>
            </w:r>
          </w:p>
        </w:tc>
        <w:tc>
          <w:tcPr>
            <w:tcW w:type="dxa" w:w="1728"/>
          </w:tcPr>
          <w:p>
            <w:r/>
            <w:r>
              <w:rPr>
                <w:sz w:val="19"/>
              </w:rPr>
              <w:t>Defense verdict</w:t>
            </w:r>
          </w:p>
        </w:tc>
        <w:tc>
          <w:tcPr>
            <w:tcW w:type="dxa" w:w="2736"/>
          </w:tcPr>
          <w:p>
            <w:r/>
            <w:r>
              <w:rPr>
                <w:sz w:val="19"/>
              </w:rPr>
              <w:t>No notice, no internal documents, non-amputation</w:t>
            </w:r>
          </w:p>
        </w:tc>
        <w:tc>
          <w:tcPr>
            <w:tcW w:type="dxa" w:w="2592"/>
          </w:tcPr>
          <w:p>
            <w:r/>
            <w:r>
              <w:rPr>
                <w:sz w:val="19"/>
              </w:rPr>
              <w:t>Shows the modification defense can win, but on weaker facts for the plaintiff</w:t>
            </w:r>
          </w:p>
        </w:tc>
      </w:tr>
      <w:tr>
        <w:tc>
          <w:tcPr>
            <w:tcW w:type="dxa" w:w="2304"/>
          </w:tcPr>
          <w:p>
            <w:r/>
            <w:r>
              <w:rPr>
                <w:sz w:val="19"/>
              </w:rPr>
              <w:t>Petersen v. Ironhorse (Franklin Cty. 2021)</w:t>
            </w:r>
          </w:p>
        </w:tc>
        <w:tc>
          <w:tcPr>
            <w:tcW w:type="dxa" w:w="1728"/>
          </w:tcPr>
          <w:p>
            <w:r/>
            <w:r>
              <w:rPr>
                <w:sz w:val="19"/>
              </w:rPr>
              <w:t>$14.2M → $11.8M</w:t>
            </w:r>
          </w:p>
        </w:tc>
        <w:tc>
          <w:tcPr>
            <w:tcW w:type="dxa" w:w="2736"/>
          </w:tcPr>
          <w:p>
            <w:r/>
            <w:r>
              <w:rPr>
                <w:sz w:val="19"/>
              </w:rPr>
              <w:t>Bilateral injury; Calloway was trial counsel</w:t>
            </w:r>
          </w:p>
        </w:tc>
        <w:tc>
          <w:tcPr>
            <w:tcW w:type="dxa" w:w="2592"/>
          </w:tcPr>
          <w:p>
            <w:r/>
            <w:r>
              <w:rPr>
                <w:sz w:val="19"/>
              </w:rPr>
              <w:t>Ceiling reference only</w:t>
            </w:r>
          </w:p>
        </w:tc>
      </w:tr>
    </w:tbl>
    <w:p>
      <w:pPr>
        <w:spacing w:after="40"/>
      </w:pPr>
    </w:p>
    <w:p>
      <w:r>
        <w:rPr>
          <w:i w:val="0"/>
        </w:rPr>
        <w:t>Taken together, the comparables support a settlement zone of about $4M–$6.5M. Our target sits in the lower half of that zone, which reflects the genuinely contested causation defense and the Apex modification that Garza and Novak did not have to the same degree.</w:t>
      </w:r>
    </w:p>
    <w:p>
      <w:pPr>
        <w:pStyle w:val="Heading1"/>
      </w:pPr>
      <w:r>
        <w:t>VII. Plaintiffs' Likely Settlement Floor</w:t>
      </w:r>
    </w:p>
    <w:p>
      <w:r>
        <w:rPr>
          <w:i w:val="0"/>
        </w:rPr>
        <w:t>Plaintiffs' own net-recovery framing (a one-third contingency fee plus the $481,800 lien) tells us where their floor is likely to be. Under R.C. 4123.931, the lien is not automatically paid dollar-for-dollar. It is subject to the statutory allocation formula and is routinely compromised. A lien reduction increases Plaintiffs' net recovery at no cost to Greenfield.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1F3A5F"/>
          </w:tcPr>
          <w:p>
            <w:r/>
            <w:r>
              <w:rPr>
                <w:b/>
                <w:color w:val="FFFFFF"/>
                <w:sz w:val="19"/>
              </w:rPr>
              <w:t>Gross settlement</w:t>
            </w:r>
          </w:p>
        </w:tc>
        <w:tc>
          <w:tcPr>
            <w:tcW w:type="dxa" w:w="1728"/>
            <w:shd w:val="clear" w:color="auto" w:fill="1F3A5F"/>
          </w:tcPr>
          <w:p>
            <w:r/>
            <w:r>
              <w:rPr>
                <w:b/>
                <w:color w:val="FFFFFF"/>
                <w:sz w:val="19"/>
              </w:rPr>
              <w:t>Less 33⅓% fee</w:t>
            </w:r>
          </w:p>
        </w:tc>
        <w:tc>
          <w:tcPr>
            <w:tcW w:type="dxa" w:w="1584"/>
            <w:shd w:val="clear" w:color="auto" w:fill="1F3A5F"/>
          </w:tcPr>
          <w:p>
            <w:r/>
            <w:r>
              <w:rPr>
                <w:b/>
                <w:color w:val="FFFFFF"/>
                <w:sz w:val="19"/>
              </w:rPr>
              <w:t>Less full lien</w:t>
            </w:r>
          </w:p>
        </w:tc>
        <w:tc>
          <w:tcPr>
            <w:tcW w:type="dxa" w:w="1728"/>
            <w:shd w:val="clear" w:color="auto" w:fill="1F3A5F"/>
          </w:tcPr>
          <w:p>
            <w:r/>
            <w:r>
              <w:rPr>
                <w:b/>
                <w:color w:val="FFFFFF"/>
                <w:sz w:val="19"/>
              </w:rPr>
              <w:t>Net to Holts</w:t>
            </w:r>
          </w:p>
        </w:tc>
        <w:tc>
          <w:tcPr>
            <w:tcW w:type="dxa" w:w="2592"/>
            <w:shd w:val="clear" w:color="auto" w:fill="1F3A5F"/>
          </w:tcPr>
          <w:p>
            <w:r/>
            <w:r>
              <w:rPr>
                <w:b/>
                <w:color w:val="FFFFFF"/>
                <w:sz w:val="19"/>
              </w:rPr>
              <w:t>Net if lien compromised to ~$300K</w:t>
            </w:r>
          </w:p>
        </w:tc>
      </w:tr>
      <w:tr>
        <w:tc>
          <w:tcPr>
            <w:tcW w:type="dxa" w:w="1728"/>
          </w:tcPr>
          <w:p>
            <w:r/>
            <w:r>
              <w:rPr>
                <w:sz w:val="19"/>
              </w:rPr>
              <w:t>$4,000,000</w:t>
            </w:r>
          </w:p>
        </w:tc>
        <w:tc>
          <w:tcPr>
            <w:tcW w:type="dxa" w:w="1728"/>
          </w:tcPr>
          <w:p>
            <w:r/>
            <w:r>
              <w:rPr>
                <w:sz w:val="19"/>
              </w:rPr>
              <w:t>($1,333,333)</w:t>
            </w:r>
          </w:p>
        </w:tc>
        <w:tc>
          <w:tcPr>
            <w:tcW w:type="dxa" w:w="1584"/>
          </w:tcPr>
          <w:p>
            <w:r/>
            <w:r>
              <w:rPr>
                <w:sz w:val="19"/>
              </w:rPr>
              <w:t>($481,800)</w:t>
            </w:r>
          </w:p>
        </w:tc>
        <w:tc>
          <w:tcPr>
            <w:tcW w:type="dxa" w:w="1728"/>
          </w:tcPr>
          <w:p>
            <w:r/>
            <w:r>
              <w:rPr>
                <w:sz w:val="19"/>
              </w:rPr>
              <w:t>$2,184,867</w:t>
            </w:r>
          </w:p>
        </w:tc>
        <w:tc>
          <w:tcPr>
            <w:tcW w:type="dxa" w:w="2592"/>
          </w:tcPr>
          <w:p>
            <w:r/>
            <w:r>
              <w:rPr>
                <w:sz w:val="19"/>
              </w:rPr>
              <w:t>≈ $2,366,700</w:t>
            </w:r>
          </w:p>
        </w:tc>
      </w:tr>
      <w:tr>
        <w:tc>
          <w:tcPr>
            <w:tcW w:type="dxa" w:w="1728"/>
          </w:tcPr>
          <w:p>
            <w:r/>
            <w:r>
              <w:rPr>
                <w:sz w:val="19"/>
              </w:rPr>
              <w:t>$4,750,000</w:t>
            </w:r>
          </w:p>
        </w:tc>
        <w:tc>
          <w:tcPr>
            <w:tcW w:type="dxa" w:w="1728"/>
          </w:tcPr>
          <w:p>
            <w:r/>
            <w:r>
              <w:rPr>
                <w:sz w:val="19"/>
              </w:rPr>
              <w:t>($1,583,333)</w:t>
            </w:r>
          </w:p>
        </w:tc>
        <w:tc>
          <w:tcPr>
            <w:tcW w:type="dxa" w:w="1584"/>
          </w:tcPr>
          <w:p>
            <w:r/>
            <w:r>
              <w:rPr>
                <w:sz w:val="19"/>
              </w:rPr>
              <w:t>($481,800)</w:t>
            </w:r>
          </w:p>
        </w:tc>
        <w:tc>
          <w:tcPr>
            <w:tcW w:type="dxa" w:w="1728"/>
          </w:tcPr>
          <w:p>
            <w:r/>
            <w:r>
              <w:rPr>
                <w:sz w:val="19"/>
              </w:rPr>
              <w:t>$2,684,867</w:t>
            </w:r>
          </w:p>
        </w:tc>
        <w:tc>
          <w:tcPr>
            <w:tcW w:type="dxa" w:w="2592"/>
          </w:tcPr>
          <w:p>
            <w:r/>
            <w:r>
              <w:rPr>
                <w:sz w:val="19"/>
              </w:rPr>
              <w:t>≈ $2,866,700</w:t>
            </w:r>
          </w:p>
        </w:tc>
      </w:tr>
      <w:tr>
        <w:tc>
          <w:tcPr>
            <w:tcW w:type="dxa" w:w="1728"/>
          </w:tcPr>
          <w:p>
            <w:r/>
            <w:r>
              <w:rPr>
                <w:sz w:val="19"/>
              </w:rPr>
              <w:t>$5,250,000</w:t>
            </w:r>
          </w:p>
        </w:tc>
        <w:tc>
          <w:tcPr>
            <w:tcW w:type="dxa" w:w="1728"/>
          </w:tcPr>
          <w:p>
            <w:r/>
            <w:r>
              <w:rPr>
                <w:sz w:val="19"/>
              </w:rPr>
              <w:t>($1,750,000)</w:t>
            </w:r>
          </w:p>
        </w:tc>
        <w:tc>
          <w:tcPr>
            <w:tcW w:type="dxa" w:w="1584"/>
          </w:tcPr>
          <w:p>
            <w:r/>
            <w:r>
              <w:rPr>
                <w:sz w:val="19"/>
              </w:rPr>
              <w:t>($481,800)</w:t>
            </w:r>
          </w:p>
        </w:tc>
        <w:tc>
          <w:tcPr>
            <w:tcW w:type="dxa" w:w="1728"/>
          </w:tcPr>
          <w:p>
            <w:r/>
            <w:r>
              <w:rPr>
                <w:sz w:val="19"/>
              </w:rPr>
              <w:t>$3,018,200</w:t>
            </w:r>
          </w:p>
        </w:tc>
        <w:tc>
          <w:tcPr>
            <w:tcW w:type="dxa" w:w="2592"/>
          </w:tcPr>
          <w:p>
            <w:r/>
            <w:r>
              <w:rPr>
                <w:sz w:val="19"/>
              </w:rPr>
              <w:t>≈ $3,200,000</w:t>
            </w:r>
          </w:p>
        </w:tc>
      </w:tr>
      <w:tr>
        <w:tc>
          <w:tcPr>
            <w:tcW w:type="dxa" w:w="1728"/>
          </w:tcPr>
          <w:p>
            <w:r/>
            <w:r>
              <w:rPr>
                <w:sz w:val="19"/>
              </w:rPr>
              <w:t>$6,000,000</w:t>
            </w:r>
          </w:p>
        </w:tc>
        <w:tc>
          <w:tcPr>
            <w:tcW w:type="dxa" w:w="1728"/>
          </w:tcPr>
          <w:p>
            <w:r/>
            <w:r>
              <w:rPr>
                <w:sz w:val="19"/>
              </w:rPr>
              <w:t>($2,000,000)</w:t>
            </w:r>
          </w:p>
        </w:tc>
        <w:tc>
          <w:tcPr>
            <w:tcW w:type="dxa" w:w="1584"/>
          </w:tcPr>
          <w:p>
            <w:r/>
            <w:r>
              <w:rPr>
                <w:sz w:val="19"/>
              </w:rPr>
              <w:t>($481,800)</w:t>
            </w:r>
          </w:p>
        </w:tc>
        <w:tc>
          <w:tcPr>
            <w:tcW w:type="dxa" w:w="1728"/>
          </w:tcPr>
          <w:p>
            <w:r/>
            <w:r>
              <w:rPr>
                <w:sz w:val="19"/>
              </w:rPr>
              <w:t>$3,518,200</w:t>
            </w:r>
          </w:p>
        </w:tc>
        <w:tc>
          <w:tcPr>
            <w:tcW w:type="dxa" w:w="2592"/>
          </w:tcPr>
          <w:p>
            <w:r/>
            <w:r>
              <w:rPr>
                <w:sz w:val="19"/>
              </w:rPr>
              <w:t>≈ $3,700,000</w:t>
            </w:r>
          </w:p>
        </w:tc>
      </w:tr>
    </w:tbl>
    <w:p>
      <w:pPr>
        <w:spacing w:after="40"/>
      </w:pPr>
    </w:p>
    <w:p>
      <w:r>
        <w:rPr>
          <w:i w:val="0"/>
        </w:rPr>
        <w:t>Calloway won Petersen and will threaten trial. But she faces a real Daubert risk, the Brewer precedent, a fault allocation to Apex that reduces recovery, and a client who has been out of work for 20 months. We expect Plaintiffs to move from $9.5M into the $6.5M–$7.5M range by mid-day, and to be able to settle in the $4.75M–$5.5M range, particularly if a structured component and a lien compromise increase their net.</w:t>
      </w:r>
    </w:p>
    <w:p>
      <w:pPr>
        <w:pStyle w:val="Heading1"/>
      </w:pPr>
      <w:r>
        <w:t>VIII. Opening Offer and Negotiation Strategy</w:t>
      </w:r>
    </w:p>
    <w:p>
      <w:pPr>
        <w:pStyle w:val="Heading2"/>
      </w:pPr>
      <w:r>
        <w:t>A. Before Mediation (by March 10)</w:t>
      </w:r>
    </w:p>
    <w:p>
      <w:pPr>
        <w:pStyle w:val="ListNumber"/>
      </w:pPr>
      <w:r>
        <w:rPr>
          <w:b/>
        </w:rPr>
        <w:t>Revise the defense mediation brief before service.</w:t>
      </w:r>
      <w:r>
        <w:t xml:space="preserve"> Remove the non-economic cap argument. Correct the Cho fringe omission, or stop relying on the $1,687,200 figure. Fix the misstated expert names ("Howard" Aldrich, "Marguerite" Vasquez), the Briggs deposition date and pin cites, the judge's name, and the § 2307.76(A)(2) citation. Tone down the "routine continuous improvement" characterization and the contribution reservation against Apex. Consider deleting the numeric "$1.8M–$2.5M" range, which unnecessarily fixes our opening number in writing.</w:t>
      </w:r>
    </w:p>
    <w:p>
      <w:pPr>
        <w:pStyle w:val="ListNumber"/>
      </w:pPr>
      <w:r>
        <w:rPr>
          <w:b/>
        </w:rPr>
        <w:t>Carrier authority.</w:t>
      </w:r>
      <w:r>
        <w:t xml:space="preserve"> Obtain Ridgeline's written authority (and Beacon's acknowledgment) up to at least $5.5M, and send the within-limits letter described in § V.C.</w:t>
      </w:r>
    </w:p>
    <w:p>
      <w:pPr>
        <w:pStyle w:val="ListNumber"/>
      </w:pPr>
      <w:r>
        <w:rPr>
          <w:b/>
        </w:rPr>
        <w:t>Close the factual gaps.</w:t>
      </w:r>
      <w:r>
        <w:t xml:space="preserve"> Get engineering's answer to the part-loading question for the OEM guard (§ III.B). Check Kwan's characterization of Briggs against the full transcript. Obtain Buckeye's itemized ledger.</w:t>
      </w:r>
    </w:p>
    <w:p>
      <w:pPr>
        <w:pStyle w:val="ListNumber"/>
      </w:pPr>
      <w:r>
        <w:rPr>
          <w:b/>
        </w:rPr>
        <w:t>Attendance.</w:t>
      </w:r>
      <w:r>
        <w:t xml:space="preserve"> Bring a corporate representative with real authority (not Ms. Mitchum), and have a structured-settlement broker on call.</w:t>
      </w:r>
    </w:p>
    <w:p>
      <w:pPr>
        <w:pStyle w:val="Heading2"/>
      </w:pPr>
      <w:r>
        <w:t>B. Opening Offer</w:t>
      </w:r>
    </w:p>
    <w:p>
      <w:r>
        <w:rPr>
          <w:i w:val="0"/>
        </w:rPr>
        <w:t>Open at $1.5M if the brief is revised to delete its numeric range, or at $1.8M if the brief is served as drafted. An opening below the brief's own floor would look like bad faith. The opener should be framed as grounded in the modification defense, the Daubert motion, the Apex allocation, and defense-side economics. It should not be presented as a cap-based number, because the mediator will reject that premise.</w:t>
      </w:r>
    </w:p>
    <w:p>
      <w:r>
        <w:rPr>
          <w:i w:val="0"/>
        </w:rPr>
        <w:t>Why not higher: Plaintiffs opened at an inflated $9.5M, and the usual midpoint dynamics suggest a $1.5M–$1.8M opener lands a symmetric midpoint of about $5.5M–$5.65M. Our incremental moves are designed to pull the final number below that midpoint. Why not lower: an opener under $1.5M risks a stalled session, invites the mediator to see Greenfield as the unreasonable party, and increases prejudgment-interest risk under R.C. 1343.03(C).</w:t>
      </w:r>
    </w:p>
    <w:p>
      <w:pPr>
        <w:pStyle w:val="Heading2"/>
      </w:pPr>
      <w:r>
        <w:t>C. Planned Concession Path (Illustrative)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1F3A5F"/>
          </w:tcPr>
          <w:p>
            <w:r/>
            <w:r>
              <w:rPr>
                <w:b/>
                <w:color w:val="FFFFFF"/>
                <w:sz w:val="19"/>
              </w:rPr>
              <w:t>Round</w:t>
            </w:r>
          </w:p>
        </w:tc>
        <w:tc>
          <w:tcPr>
            <w:tcW w:type="dxa" w:w="1728"/>
            <w:shd w:val="clear" w:color="auto" w:fill="1F3A5F"/>
          </w:tcPr>
          <w:p>
            <w:r/>
            <w:r>
              <w:rPr>
                <w:b/>
                <w:color w:val="FFFFFF"/>
                <w:sz w:val="19"/>
              </w:rPr>
              <w:t>Greenfield move</w:t>
            </w:r>
          </w:p>
        </w:tc>
        <w:tc>
          <w:tcPr>
            <w:tcW w:type="dxa" w:w="4176"/>
            <w:shd w:val="clear" w:color="auto" w:fill="1F3A5F"/>
          </w:tcPr>
          <w:p>
            <w:r/>
            <w:r>
              <w:rPr>
                <w:b/>
                <w:color w:val="FFFFFF"/>
                <w:sz w:val="19"/>
              </w:rPr>
              <w:t>Message</w:t>
            </w:r>
          </w:p>
        </w:tc>
        <w:tc>
          <w:tcPr>
            <w:tcW w:type="dxa" w:w="2592"/>
            <w:shd w:val="clear" w:color="auto" w:fill="1F3A5F"/>
          </w:tcPr>
          <w:p>
            <w:r/>
            <w:r>
              <w:rPr>
                <w:b/>
                <w:color w:val="FFFFFF"/>
                <w:sz w:val="19"/>
              </w:rPr>
              <w:t>Expected Plaintiffs' response</w:t>
            </w:r>
          </w:p>
        </w:tc>
      </w:tr>
      <w:tr>
        <w:tc>
          <w:tcPr>
            <w:tcW w:type="dxa" w:w="864"/>
          </w:tcPr>
          <w:p>
            <w:r/>
            <w:r>
              <w:rPr>
                <w:sz w:val="19"/>
              </w:rPr>
              <w:t>1</w:t>
            </w:r>
          </w:p>
        </w:tc>
        <w:tc>
          <w:tcPr>
            <w:tcW w:type="dxa" w:w="1728"/>
          </w:tcPr>
          <w:p>
            <w:r/>
            <w:r>
              <w:rPr>
                <w:sz w:val="19"/>
              </w:rPr>
              <w:t>$1.5M / $1.8M</w:t>
            </w:r>
          </w:p>
        </w:tc>
        <w:tc>
          <w:tcPr>
            <w:tcW w:type="dxa" w:w="4176"/>
          </w:tcPr>
          <w:p>
            <w:r/>
            <w:r>
              <w:rPr>
                <w:sz w:val="19"/>
              </w:rPr>
              <w:t>Causation is genuinely contested; Apex bears the lion's share</w:t>
            </w:r>
          </w:p>
        </w:tc>
        <w:tc>
          <w:tcPr>
            <w:tcW w:type="dxa" w:w="2592"/>
          </w:tcPr>
          <w:p>
            <w:r/>
            <w:r>
              <w:rPr>
                <w:sz w:val="19"/>
              </w:rPr>
              <w:t>$8.75M – $9.0M</w:t>
            </w:r>
          </w:p>
        </w:tc>
      </w:tr>
      <w:tr>
        <w:tc>
          <w:tcPr>
            <w:tcW w:type="dxa" w:w="864"/>
          </w:tcPr>
          <w:p>
            <w:r/>
            <w:r>
              <w:rPr>
                <w:sz w:val="19"/>
              </w:rPr>
              <w:t>2</w:t>
            </w:r>
          </w:p>
        </w:tc>
        <w:tc>
          <w:tcPr>
            <w:tcW w:type="dxa" w:w="1728"/>
          </w:tcPr>
          <w:p>
            <w:r/>
            <w:r>
              <w:rPr>
                <w:sz w:val="19"/>
              </w:rPr>
              <w:t>$2.4M</w:t>
            </w:r>
          </w:p>
        </w:tc>
        <w:tc>
          <w:tcPr>
            <w:tcW w:type="dxa" w:w="4176"/>
          </w:tcPr>
          <w:p>
            <w:r/>
            <w:r>
              <w:rPr>
                <w:sz w:val="19"/>
              </w:rPr>
              <w:t>Movement signals seriousness; economics are about $1.8M–$2.1M, not $2.4M</w:t>
            </w:r>
          </w:p>
        </w:tc>
        <w:tc>
          <w:tcPr>
            <w:tcW w:type="dxa" w:w="2592"/>
          </w:tcPr>
          <w:p>
            <w:r/>
            <w:r>
              <w:rPr>
                <w:sz w:val="19"/>
              </w:rPr>
              <w:t>$8.0M</w:t>
            </w:r>
          </w:p>
        </w:tc>
      </w:tr>
      <w:tr>
        <w:tc>
          <w:tcPr>
            <w:tcW w:type="dxa" w:w="864"/>
          </w:tcPr>
          <w:p>
            <w:r/>
            <w:r>
              <w:rPr>
                <w:sz w:val="19"/>
              </w:rPr>
              <w:t>3</w:t>
            </w:r>
          </w:p>
        </w:tc>
        <w:tc>
          <w:tcPr>
            <w:tcW w:type="dxa" w:w="1728"/>
          </w:tcPr>
          <w:p>
            <w:r/>
            <w:r>
              <w:rPr>
                <w:sz w:val="19"/>
              </w:rPr>
              <w:t>$3.0M</w:t>
            </w:r>
          </w:p>
        </w:tc>
        <w:tc>
          <w:tcPr>
            <w:tcW w:type="dxa" w:w="4176"/>
          </w:tcPr>
          <w:p>
            <w:r/>
            <w:r>
              <w:rPr>
                <w:sz w:val="19"/>
              </w:rPr>
              <w:t>Daubert risk; Brewer; Apex allocation below 50% means several liability only</w:t>
            </w:r>
          </w:p>
        </w:tc>
        <w:tc>
          <w:tcPr>
            <w:tcW w:type="dxa" w:w="2592"/>
          </w:tcPr>
          <w:p>
            <w:r/>
            <w:r>
              <w:rPr>
                <w:sz w:val="19"/>
              </w:rPr>
              <w:t>$7.25M</w:t>
            </w:r>
          </w:p>
        </w:tc>
      </w:tr>
      <w:tr>
        <w:tc>
          <w:tcPr>
            <w:tcW w:type="dxa" w:w="864"/>
          </w:tcPr>
          <w:p>
            <w:r/>
            <w:r>
              <w:rPr>
                <w:sz w:val="19"/>
              </w:rPr>
              <w:t>4</w:t>
            </w:r>
          </w:p>
        </w:tc>
        <w:tc>
          <w:tcPr>
            <w:tcW w:type="dxa" w:w="1728"/>
          </w:tcPr>
          <w:p>
            <w:r/>
            <w:r>
              <w:rPr>
                <w:sz w:val="19"/>
              </w:rPr>
              <w:t>$3.6M</w:t>
            </w:r>
          </w:p>
        </w:tc>
        <w:tc>
          <w:tcPr>
            <w:tcW w:type="dxa" w:w="4176"/>
          </w:tcPr>
          <w:p>
            <w:r/>
            <w:r>
              <w:rPr>
                <w:sz w:val="19"/>
              </w:rPr>
              <w:t>Smaller moves begin</w:t>
            </w:r>
          </w:p>
        </w:tc>
        <w:tc>
          <w:tcPr>
            <w:tcW w:type="dxa" w:w="2592"/>
          </w:tcPr>
          <w:p>
            <w:r/>
            <w:r>
              <w:rPr>
                <w:sz w:val="19"/>
              </w:rPr>
              <w:t>$6.5M</w:t>
            </w:r>
          </w:p>
        </w:tc>
      </w:tr>
      <w:tr>
        <w:tc>
          <w:tcPr>
            <w:tcW w:type="dxa" w:w="864"/>
          </w:tcPr>
          <w:p>
            <w:r/>
            <w:r>
              <w:rPr>
                <w:sz w:val="19"/>
              </w:rPr>
              <w:t>5</w:t>
            </w:r>
          </w:p>
        </w:tc>
        <w:tc>
          <w:tcPr>
            <w:tcW w:type="dxa" w:w="1728"/>
          </w:tcPr>
          <w:p>
            <w:r/>
            <w:r>
              <w:rPr>
                <w:sz w:val="19"/>
              </w:rPr>
              <w:t>$4.0M</w:t>
            </w:r>
          </w:p>
        </w:tc>
        <w:tc>
          <w:tcPr>
            <w:tcW w:type="dxa" w:w="4176"/>
          </w:tcPr>
          <w:p>
            <w:r/>
            <w:r>
              <w:rPr>
                <w:sz w:val="19"/>
              </w:rPr>
              <w:t>Offer a structured component for future medical</w:t>
            </w:r>
          </w:p>
        </w:tc>
        <w:tc>
          <w:tcPr>
            <w:tcW w:type="dxa" w:w="2592"/>
          </w:tcPr>
          <w:p>
            <w:r/>
            <w:r>
              <w:rPr>
                <w:sz w:val="19"/>
              </w:rPr>
              <w:t>$6.0M</w:t>
            </w:r>
          </w:p>
        </w:tc>
      </w:tr>
      <w:tr>
        <w:tc>
          <w:tcPr>
            <w:tcW w:type="dxa" w:w="864"/>
          </w:tcPr>
          <w:p>
            <w:r/>
            <w:r>
              <w:rPr>
                <w:sz w:val="19"/>
              </w:rPr>
              <w:t>6</w:t>
            </w:r>
          </w:p>
        </w:tc>
        <w:tc>
          <w:tcPr>
            <w:tcW w:type="dxa" w:w="1728"/>
          </w:tcPr>
          <w:p>
            <w:r/>
            <w:r>
              <w:rPr>
                <w:sz w:val="19"/>
              </w:rPr>
              <w:t>$4.4M</w:t>
            </w:r>
          </w:p>
        </w:tc>
        <w:tc>
          <w:tcPr>
            <w:tcW w:type="dxa" w:w="4176"/>
          </w:tcPr>
          <w:p>
            <w:r/>
            <w:r>
              <w:rPr>
                <w:sz w:val="19"/>
              </w:rPr>
              <w:t>Consider a bracket (e.g., "$4.25M–$5.25M")</w:t>
            </w:r>
          </w:p>
        </w:tc>
        <w:tc>
          <w:tcPr>
            <w:tcW w:type="dxa" w:w="2592"/>
          </w:tcPr>
          <w:p>
            <w:r/>
            <w:r>
              <w:rPr>
                <w:sz w:val="19"/>
              </w:rPr>
              <w:t>$5.5M – $5.75M</w:t>
            </w:r>
          </w:p>
        </w:tc>
      </w:tr>
      <w:tr>
        <w:tc>
          <w:tcPr>
            <w:tcW w:type="dxa" w:w="864"/>
          </w:tcPr>
          <w:p>
            <w:r/>
            <w:r>
              <w:rPr>
                <w:sz w:val="19"/>
              </w:rPr>
              <w:t>Close</w:t>
            </w:r>
          </w:p>
        </w:tc>
        <w:tc>
          <w:tcPr>
            <w:tcW w:type="dxa" w:w="1728"/>
          </w:tcPr>
          <w:p>
            <w:r/>
            <w:r>
              <w:rPr>
                <w:sz w:val="19"/>
              </w:rPr>
              <w:t>$4.75M – $5.25M</w:t>
            </w:r>
          </w:p>
        </w:tc>
        <w:tc>
          <w:tcPr>
            <w:tcW w:type="dxa" w:w="4176"/>
          </w:tcPr>
          <w:p>
            <w:r/>
            <w:r>
              <w:rPr>
                <w:sz w:val="19"/>
              </w:rPr>
              <w:t>Final number, or accept a mediator's proposal ≤ $5.5M</w:t>
            </w:r>
          </w:p>
        </w:tc>
        <w:tc>
          <w:tcPr>
            <w:tcW w:type="dxa" w:w="2592"/>
          </w:tcPr>
          <w:p>
            <w:r/>
            <w:r>
              <w:rPr>
                <w:sz w:val="19"/>
              </w:rPr>
            </w:r>
          </w:p>
        </w:tc>
      </w:tr>
    </w:tbl>
    <w:p>
      <w:pPr>
        <w:spacing w:after="40"/>
      </w:pPr>
    </w:p>
    <w:p>
      <w:pPr>
        <w:pStyle w:val="Heading2"/>
      </w:pPr>
      <w:r>
        <w:t>D. Tactics and Guardrails</w:t>
      </w:r>
    </w:p>
    <w:p>
      <w:pPr>
        <w:pStyle w:val="ListBullet"/>
      </w:pPr>
      <w:r>
        <w:rPr>
          <w:b/>
        </w:rPr>
        <w:t>What not to argue.</w:t>
      </w:r>
      <w:r>
        <w:t xml:space="preserve"> Do not argue the non-economic cap, do not argue that the ANSI redundancy requirement is a mere recommendation, and do not deny that Greenfield knew of the re-cycling reports. The mediator will have read the emails.</w:t>
      </w:r>
    </w:p>
    <w:p>
      <w:pPr>
        <w:pStyle w:val="ListBullet"/>
      </w:pPr>
      <w:r>
        <w:rPr>
          <w:b/>
        </w:rPr>
        <w:t>Where to push.</w:t>
      </w:r>
      <w:r>
        <w:t xml:space="preserve"> Emphasize the undisputed Briggs facts (convenience swap, no measurement, defeated interlock sensor), the several-liability consequence of a Greenfield allocation of 50% or less, the Daubert motion, and our economic points on the discount rate, residual earnings, and prosthetics.</w:t>
      </w:r>
    </w:p>
    <w:p>
      <w:pPr>
        <w:pStyle w:val="ListBullet"/>
      </w:pPr>
      <w:r>
        <w:rPr>
          <w:b/>
        </w:rPr>
        <w:t>Bridging tools.</w:t>
      </w:r>
      <w:r>
        <w:t xml:space="preserve"> Offer to fund part of the settlement as a structured annuity for prosthetics and medical care. That lowers our cost and gives the Holts a guaranteed income stream. Also encourage direct negotiation between Plaintiffs' counsel and Buckeye on the lien, with Greenfield's payment conditioned on lien satisfaction and indemnity from Plaintiffs.</w:t>
      </w:r>
    </w:p>
    <w:p>
      <w:pPr>
        <w:pStyle w:val="ListBullet"/>
      </w:pPr>
      <w:r>
        <w:rPr>
          <w:b/>
        </w:rPr>
        <w:t>Deal terms.</w:t>
      </w:r>
      <w:r>
        <w:t xml:space="preserve"> Seek a general release from both Holts; lien satisfaction and indemnity; a Medicare review, since Holt may be pursuing SSDI (a Medicare Secondary Payer and Medicare Set-Aside analysis may be needed); no admission of liability; dismissal with prejudice; and strict confidentiality of the amount and terms with mutual non-disparagement. Confidentiality has real value to Greenfield and is worth some money, but never explain why.</w:t>
      </w:r>
    </w:p>
    <w:p>
      <w:pPr>
        <w:pStyle w:val="ListBullet"/>
      </w:pPr>
      <w:r>
        <w:rPr>
          <w:b/>
        </w:rPr>
        <w:t>Confidentiality discipline.</w:t>
      </w:r>
      <w:r>
        <w:t xml:space="preserve"> Say nothing, directly or indirectly, about the Halcyon contract, the Board's timing preference, or reputational concerns. These facts would give Plaintiffs obvious leverage, as the GC memo warns. The Company representative should be briefed on this point specifically.</w:t>
      </w:r>
    </w:p>
    <w:p>
      <w:pPr>
        <w:pStyle w:val="ListBullet"/>
      </w:pPr>
      <w:r>
        <w:rPr>
          <w:b/>
        </w:rPr>
        <w:t>Walk-away posture.</w:t>
      </w:r>
      <w:r>
        <w:t xml:space="preserve"> If there is no deal above $5.5M, do not let the session end. Accept a mediator's proposal process or schedule a follow-up session after the Daubert rulings. A favorable ruling lowers the value; an unfavorable one raises it by roughly $0.75M–$1.5M.</w:t>
      </w:r>
    </w:p>
    <w:p>
      <w:pPr>
        <w:pStyle w:val="Heading1"/>
      </w:pPr>
      <w:r>
        <w:t>IX. Reserve Recommendation</w:t>
      </w:r>
    </w:p>
    <w:p>
      <w:r>
        <w:rPr>
          <w:i w:val="0"/>
        </w:rPr>
        <w:t>The $3.2M reserve, set in Q2 2024 before the emails, the field reports, and the expert discovery, no longer reflects a probable, estimable loss. We recommend increasing it to at least $4.5M, the low-to-mid point of the target range, subject to review by the Company's auditors under ASC 450. Because Ridgeline has accepted coverage without reservation and the SIR is exhausted, we expect the gross accrual to be offset by an insurance receivable. The Company's net income-statement impact within limits should therefore be minimal. The residual uninsured punitive exposure should be evaluated for disclosure as a reasonably possible loss, but in our view it does not meet the "probable" threshold for accrual.</w:t>
      </w:r>
    </w:p>
    <w:p>
      <w:pPr>
        <w:pStyle w:val="Heading1"/>
      </w:pPr>
      <w:r>
        <w:t>X. Record Discrepancies to Resolve</w:t>
      </w:r>
    </w:p>
    <w:p>
      <w:r>
        <w:rPr>
          <w:i w:val="0"/>
        </w:rPr>
        <w:t>The case file contains inconsistencies that could be used for impeachment or could embarrass us if repeated in our own submissions: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F3A5F"/>
          </w:tcPr>
          <w:p>
            <w:r/>
            <w:r>
              <w:rPr>
                <w:b/>
                <w:color w:val="FFFFFF"/>
                <w:sz w:val="19"/>
              </w:rPr>
              <w:t>Issue</w:t>
            </w:r>
          </w:p>
        </w:tc>
        <w:tc>
          <w:tcPr>
            <w:tcW w:type="dxa" w:w="4464"/>
            <w:shd w:val="clear" w:color="auto" w:fill="1F3A5F"/>
          </w:tcPr>
          <w:p>
            <w:r/>
            <w:r>
              <w:rPr>
                <w:b/>
                <w:color w:val="FFFFFF"/>
                <w:sz w:val="19"/>
              </w:rPr>
              <w:t>Conflict in the file</w:t>
            </w:r>
          </w:p>
        </w:tc>
        <w:tc>
          <w:tcPr>
            <w:tcW w:type="dxa" w:w="3024"/>
            <w:shd w:val="clear" w:color="auto" w:fill="1F3A5F"/>
          </w:tcPr>
          <w:p>
            <w:r/>
            <w:r>
              <w:rPr>
                <w:b/>
                <w:color w:val="FFFFFF"/>
                <w:sz w:val="19"/>
              </w:rPr>
              <w:t>Action</w:t>
            </w:r>
          </w:p>
        </w:tc>
      </w:tr>
      <w:tr>
        <w:tc>
          <w:tcPr>
            <w:tcW w:type="dxa" w:w="1872"/>
          </w:tcPr>
          <w:p>
            <w:r/>
            <w:r>
              <w:rPr>
                <w:sz w:val="19"/>
              </w:rPr>
              <w:t>Assigned judge</w:t>
            </w:r>
          </w:p>
        </w:tc>
        <w:tc>
          <w:tcPr>
            <w:tcW w:type="dxa" w:w="4464"/>
          </w:tcPr>
          <w:p>
            <w:r/>
            <w:r>
              <w:rPr>
                <w:sz w:val="19"/>
              </w:rPr>
              <w:t>Listed variously as Matsuda, Pemberton, Ferndale, Ballard, "Whitfield" (Kwan caption), and Eleanor Vasquez (GC memo)</w:t>
            </w:r>
          </w:p>
        </w:tc>
        <w:tc>
          <w:tcPr>
            <w:tcW w:type="dxa" w:w="3024"/>
          </w:tcPr>
          <w:p>
            <w:r/>
            <w:r>
              <w:rPr>
                <w:sz w:val="19"/>
              </w:rPr>
              <w:t>Confirm from the docket; correct all captions</w:t>
            </w:r>
          </w:p>
        </w:tc>
      </w:tr>
      <w:tr>
        <w:tc>
          <w:tcPr>
            <w:tcW w:type="dxa" w:w="1872"/>
          </w:tcPr>
          <w:p>
            <w:r/>
            <w:r>
              <w:rPr>
                <w:sz w:val="19"/>
              </w:rPr>
              <w:t>Daubert target</w:t>
            </w:r>
          </w:p>
        </w:tc>
        <w:tc>
          <w:tcPr>
            <w:tcW w:type="dxa" w:w="4464"/>
          </w:tcPr>
          <w:p>
            <w:r/>
            <w:r>
              <w:rPr>
                <w:sz w:val="19"/>
              </w:rPr>
              <w:t>Defense brief: Vasquez; workbook: "Dr. Randall Fiske, P.E."; workbook also lists a Plaintiffs' (not defense) motion in limine on subsequent remedial measures</w:t>
            </w:r>
          </w:p>
        </w:tc>
        <w:tc>
          <w:tcPr>
            <w:tcW w:type="dxa" w:w="3024"/>
          </w:tcPr>
          <w:p>
            <w:r/>
            <w:r>
              <w:rPr>
                <w:sz w:val="19"/>
              </w:rPr>
              <w:t>Confirm the pending motions and who filed them</w:t>
            </w:r>
          </w:p>
        </w:tc>
      </w:tr>
      <w:tr>
        <w:tc>
          <w:tcPr>
            <w:tcW w:type="dxa" w:w="1872"/>
          </w:tcPr>
          <w:p>
            <w:r/>
            <w:r>
              <w:rPr>
                <w:sz w:val="19"/>
              </w:rPr>
              <w:t>Press rating</w:t>
            </w:r>
          </w:p>
        </w:tc>
        <w:tc>
          <w:tcPr>
            <w:tcW w:type="dxa" w:w="4464"/>
          </w:tcPr>
          <w:p>
            <w:r/>
            <w:r>
              <w:rPr>
                <w:sz w:val="19"/>
              </w:rPr>
              <w:t>100-ton (all experts, briefs) vs. "75-ton" (Briggs)</w:t>
            </w:r>
          </w:p>
        </w:tc>
        <w:tc>
          <w:tcPr>
            <w:tcW w:type="dxa" w:w="3024"/>
          </w:tcPr>
          <w:p>
            <w:r/>
            <w:r>
              <w:rPr>
                <w:sz w:val="19"/>
              </w:rPr>
              <w:t>Note for cross; the rated capacity bears on ShieldTech's 50–150-ton catalog compatibility</w:t>
            </w:r>
          </w:p>
        </w:tc>
      </w:tr>
      <w:tr>
        <w:tc>
          <w:tcPr>
            <w:tcW w:type="dxa" w:w="1872"/>
          </w:tcPr>
          <w:p>
            <w:r/>
            <w:r>
              <w:rPr>
                <w:sz w:val="19"/>
              </w:rPr>
              <w:t>Briggs deposition</w:t>
            </w:r>
          </w:p>
        </w:tc>
        <w:tc>
          <w:tcPr>
            <w:tcW w:type="dxa" w:w="4464"/>
          </w:tcPr>
          <w:p>
            <w:r/>
            <w:r>
              <w:rPr>
                <w:sz w:val="19"/>
              </w:rPr>
              <w:t>Sept. 12 (defense brief), Oct. 3 (experts), Oct. 17, 2024 (transcript); brief's pin cites (47–52) do not match transcript pages (24–31)</w:t>
            </w:r>
          </w:p>
        </w:tc>
        <w:tc>
          <w:tcPr>
            <w:tcW w:type="dxa" w:w="3024"/>
          </w:tcPr>
          <w:p>
            <w:r/>
            <w:r>
              <w:rPr>
                <w:sz w:val="19"/>
              </w:rPr>
              <w:t>Use transcript cites only</w:t>
            </w:r>
          </w:p>
        </w:tc>
      </w:tr>
      <w:tr>
        <w:tc>
          <w:tcPr>
            <w:tcW w:type="dxa" w:w="1872"/>
          </w:tcPr>
          <w:p>
            <w:r/>
            <w:r>
              <w:rPr>
                <w:sz w:val="19"/>
              </w:rPr>
              <w:t>Injury reports</w:t>
            </w:r>
          </w:p>
        </w:tc>
        <w:tc>
          <w:tcPr>
            <w:tcW w:type="dxa" w:w="4464"/>
          </w:tcPr>
          <w:p>
            <w:r/>
            <w:r>
              <w:rPr>
                <w:sz w:val="19"/>
              </w:rPr>
              <w:t>Emails: fractured wrist in 2019 (before the deferral); Pl. brief: 2021; Vasquez: two injuries after 2019</w:t>
            </w:r>
          </w:p>
        </w:tc>
        <w:tc>
          <w:tcPr>
            <w:tcW w:type="dxa" w:w="3024"/>
          </w:tcPr>
          <w:p>
            <w:r/>
            <w:r>
              <w:rPr>
                <w:sz w:val="19"/>
              </w:rPr>
              <w:t>Rely on the produced documents</w:t>
            </w:r>
          </w:p>
        </w:tc>
      </w:tr>
      <w:tr>
        <w:tc>
          <w:tcPr>
            <w:tcW w:type="dxa" w:w="1872"/>
          </w:tcPr>
          <w:p>
            <w:r/>
            <w:r>
              <w:rPr>
                <w:sz w:val="19"/>
              </w:rPr>
              <w:t>Holt tenure / union local</w:t>
            </w:r>
          </w:p>
        </w:tc>
        <w:tc>
          <w:tcPr>
            <w:tcW w:type="dxa" w:w="4464"/>
          </w:tcPr>
          <w:p>
            <w:r/>
            <w:r>
              <w:rPr>
                <w:sz w:val="19"/>
              </w:rPr>
              <w:t>14, 16, or ~12 yrs as ironworker; 6 yrs at Apex (defense brief); Local 172 vs. 290; operated press 14 mos. vs. 2 yrs</w:t>
            </w:r>
          </w:p>
        </w:tc>
        <w:tc>
          <w:tcPr>
            <w:tcW w:type="dxa" w:w="3024"/>
          </w:tcPr>
          <w:p>
            <w:r/>
            <w:r>
              <w:rPr>
                <w:sz w:val="19"/>
              </w:rPr>
              <w:t>Confirm from Holt deposition</w:t>
            </w:r>
          </w:p>
        </w:tc>
      </w:tr>
      <w:tr>
        <w:tc>
          <w:tcPr>
            <w:tcW w:type="dxa" w:w="1872"/>
          </w:tcPr>
          <w:p>
            <w:r/>
            <w:r>
              <w:rPr>
                <w:sz w:val="19"/>
              </w:rPr>
              <w:t>Kwan on Briggs</w:t>
            </w:r>
          </w:p>
        </w:tc>
        <w:tc>
          <w:tcPr>
            <w:tcW w:type="dxa" w:w="4464"/>
          </w:tcPr>
          <w:p>
            <w:r/>
            <w:r>
              <w:rPr>
                <w:sz w:val="19"/>
              </w:rPr>
              <w:t>Kwan: Briggs "read" the manual warning; transcript: "may have glanced"</w:t>
            </w:r>
          </w:p>
        </w:tc>
        <w:tc>
          <w:tcPr>
            <w:tcW w:type="dxa" w:w="3024"/>
          </w:tcPr>
          <w:p>
            <w:r/>
            <w:r>
              <w:rPr>
                <w:sz w:val="19"/>
              </w:rPr>
              <w:t>Verify or withdraw</w:t>
            </w:r>
          </w:p>
        </w:tc>
      </w:tr>
      <w:tr>
        <w:tc>
          <w:tcPr>
            <w:tcW w:type="dxa" w:w="1872"/>
          </w:tcPr>
          <w:p>
            <w:r/>
            <w:r>
              <w:rPr>
                <w:sz w:val="19"/>
              </w:rPr>
              <w:t>Medical vs. lien</w:t>
            </w:r>
          </w:p>
        </w:tc>
        <w:tc>
          <w:tcPr>
            <w:tcW w:type="dxa" w:w="4464"/>
          </w:tcPr>
          <w:p>
            <w:r/>
            <w:r>
              <w:rPr>
                <w:sz w:val="19"/>
              </w:rPr>
              <w:t>Billed past medical $363,700 &lt; workers' comp medical paid $418,600</w:t>
            </w:r>
          </w:p>
        </w:tc>
        <w:tc>
          <w:tcPr>
            <w:tcW w:type="dxa" w:w="3024"/>
          </w:tcPr>
          <w:p>
            <w:r/>
            <w:r>
              <w:rPr>
                <w:sz w:val="19"/>
              </w:rPr>
              <w:t>Obtain Buckeye ledger</w:t>
            </w:r>
          </w:p>
        </w:tc>
      </w:tr>
      <w:tr>
        <w:tc>
          <w:tcPr>
            <w:tcW w:type="dxa" w:w="1872"/>
          </w:tcPr>
          <w:p>
            <w:r/>
            <w:r>
              <w:rPr>
                <w:sz w:val="19"/>
              </w:rPr>
              <w:t>Guard training</w:t>
            </w:r>
          </w:p>
        </w:tc>
        <w:tc>
          <w:tcPr>
            <w:tcW w:type="dxa" w:w="4464"/>
          </w:tcPr>
          <w:p>
            <w:r/>
            <w:r>
              <w:rPr>
                <w:sz w:val="19"/>
              </w:rPr>
              <w:t>Vasquez: Briggs trained Holt; Briggs: site foreman did</w:t>
            </w:r>
          </w:p>
        </w:tc>
        <w:tc>
          <w:tcPr>
            <w:tcW w:type="dxa" w:w="3024"/>
          </w:tcPr>
          <w:p>
            <w:r/>
            <w:r>
              <w:rPr>
                <w:sz w:val="19"/>
              </w:rPr>
              <w:t>Minor; note for cross</w:t>
            </w:r>
          </w:p>
        </w:tc>
      </w:tr>
    </w:tbl>
    <w:p>
      <w:pPr>
        <w:spacing w:after="40"/>
      </w:pPr>
    </w:p>
    <w:p>
      <w:pPr>
        <w:pStyle w:val="Heading1"/>
      </w:pPr>
      <w:r>
        <w:t>XI. Decisions Requested of the Committee</w:t>
      </w:r>
    </w:p>
    <w:p>
      <w:pPr>
        <w:pStyle w:val="ListNumber"/>
      </w:pPr>
      <w:r>
        <w:t>Approve the target settlement range of $4.25M–$5.25M and mediation authority up to $5.5M. Pre-authorize acceptance of a mediator's proposal up to $6.0M, subject to telephone confirmation by the Committee Chair.</w:t>
      </w:r>
    </w:p>
    <w:p>
      <w:pPr>
        <w:pStyle w:val="ListNumber"/>
      </w:pPr>
      <w:r>
        <w:t>Direct the within-limits settlement letter to Ridgeline (copy to Beacon), and authorize the retention of independent coverage counsel.</w:t>
      </w:r>
    </w:p>
    <w:p>
      <w:pPr>
        <w:pStyle w:val="ListNumber"/>
      </w:pPr>
      <w:r>
        <w:t>Approve revision of the defense mediation brief as described in § VIII.A before service.</w:t>
      </w:r>
    </w:p>
    <w:p>
      <w:pPr>
        <w:pStyle w:val="ListNumber"/>
      </w:pPr>
      <w:r>
        <w:t>Approve an increase in the litigation reserve to at least $4.5M, subject to auditor review.</w:t>
      </w:r>
    </w:p>
    <w:p>
      <w:pPr>
        <w:pStyle w:val="ListNumber"/>
      </w:pPr>
      <w:r>
        <w:t>Designate the corporate representative for March 14 and confirm the confidentiality protocol regarding Halcyon.</w:t>
      </w:r>
    </w:p>
    <w:p>
      <w:r>
        <w:rPr>
          <w:i/>
          <w:sz w:val="18"/>
        </w:rPr>
        <w:t>This valuation reflects counsel's judgment on an incomplete record (the Daubert rulings are pending, and punitive coverage and bifurcation are unresolved). It is not a guarantee of any outcome. The probabilities stated are professional estimates for decision-making purposes. Statutory references should be confirmed against current Ohio law before being cited to the mediator or the court.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