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20"/>
        </w:rPr>
        <w:t>UNITED STATES DISTRICT COURT — DISTRICT OF OREGON, PORTLAND DIVISION</w:t>
      </w:r>
    </w:p>
    <w:p>
      <w:pPr>
        <w:jc w:val="center"/>
      </w:pPr>
      <w:r>
        <w:rPr>
          <w:b w:val="0"/>
          <w:i w:val="0"/>
          <w:sz w:val="21"/>
        </w:rPr>
        <w:t>Harborview Distribution Partners, LLC v. Greenleaf Organics, Inc.</w:t>
        <w:br/>
        <w:t>Case No. 3:24-cv-00613-MRH (Hon. Margaret R. Hernandez)</w:t>
      </w:r>
    </w:p>
    <w:p>
      <w:pPr>
        <w:jc w:val="center"/>
      </w:pPr>
      <w:r>
        <w:rPr>
          <w:b/>
          <w:i w:val="0"/>
          <w:color w:val="1F3864"/>
          <w:sz w:val="36"/>
        </w:rPr>
        <w:t>LITIGATION CASE TIMELINE WITH STRATEGIC ANNOTATIONS</w:t>
        <w:br/>
        <w:t>Summary Judgment Preparation Memorandum</w:t>
      </w:r>
    </w:p>
    <w:p>
      <w:pPr>
        <w:jc w:val="center"/>
      </w:pPr>
      <w:r>
        <w:rPr>
          <w:b w:val="0"/>
          <w:i/>
          <w:sz w:val="20"/>
        </w:rPr>
        <w:t>Prepared for: Greenleaf Organics, Inc. defense team (Ashford, Kline &amp; Pryor LLP — N. Ivers / C. Rourke)</w:t>
        <w:br/>
        <w:t>Record reviewed through: December 10, 2024 (latest-dated document in file)   |   Dispositive motion deadline: March 1, 2025</w:t>
      </w:r>
    </w:p>
    <w:tbl>
      <w:tblPr>
        <w:tblStyle w:val="TableGrid"/>
        <w:tblW w:type="auto" w:w="0"/>
        <w:jc w:val="center"/>
        <w:tblLayout w:type="fixed"/>
        <w:tblLook w:firstColumn="1" w:firstRow="1" w:lastColumn="0" w:lastRow="0" w:noHBand="0" w:noVBand="1" w:val="04A0"/>
      </w:tblPr>
      <w:tblGrid>
        <w:gridCol w:w="6912"/>
        <w:gridCol w:w="6912"/>
      </w:tblGrid>
      <w:tr>
        <w:trPr>
          <w:tblHeader w:val="true"/>
        </w:trPr>
        <w:tc>
          <w:tcPr>
            <w:tcW w:type="dxa" w:w="2304"/>
            <w:shd w:val="clear" w:color="auto" w:fill="1F3864"/>
          </w:tcPr>
          <w:p>
            <w:r/>
            <w:r>
              <w:rPr>
                <w:b/>
                <w:color w:val="FFFFFF"/>
                <w:sz w:val="18"/>
              </w:rPr>
              <w:t>Item</w:t>
            </w:r>
          </w:p>
        </w:tc>
        <w:tc>
          <w:tcPr>
            <w:tcW w:type="dxa" w:w="11520"/>
            <w:shd w:val="clear" w:color="auto" w:fill="1F3864"/>
          </w:tcPr>
          <w:p>
            <w:r/>
            <w:r>
              <w:rPr>
                <w:b/>
                <w:color w:val="FFFFFF"/>
                <w:sz w:val="18"/>
              </w:rPr>
              <w:t>Detail</w:t>
            </w:r>
          </w:p>
        </w:tc>
      </w:tr>
      <w:tr>
        <w:tc>
          <w:tcPr>
            <w:tcW w:type="dxa" w:w="2304"/>
          </w:tcPr>
          <w:p>
            <w:pPr>
              <w:spacing w:after="20"/>
            </w:pPr>
            <w:r/>
            <w:r>
              <w:rPr>
                <w:b w:val="0"/>
                <w:i w:val="0"/>
                <w:sz w:val="18"/>
              </w:rPr>
              <w:t>Parties</w:t>
            </w:r>
          </w:p>
        </w:tc>
        <w:tc>
          <w:tcPr>
            <w:tcW w:type="dxa" w:w="11520"/>
          </w:tcPr>
          <w:p>
            <w:pPr>
              <w:spacing w:after="20"/>
            </w:pPr>
            <w:r/>
            <w:r>
              <w:rPr>
                <w:b w:val="0"/>
                <w:i w:val="0"/>
                <w:sz w:val="18"/>
              </w:rPr>
              <w:t>Plaintiff/Counter-Defendant: Harborview Distribution Partners, LLC (WA LLC; Managing Member Randall "Randy" Beckett) — counsel J. Okonkwo / S. Lindgren (Dunlap Greenberg Whitfield LLP)</w:t>
            </w:r>
          </w:p>
          <w:p>
            <w:pPr>
              <w:spacing w:after="20"/>
            </w:pPr>
            <w:r>
              <w:rPr>
                <w:b w:val="0"/>
                <w:i w:val="0"/>
                <w:sz w:val="18"/>
              </w:rPr>
              <w:t>Defendant/Counter-Plaintiff: Greenleaf Organics, Inc. (OR corp.; CEO Margaret "Meg" Stanton; VP Sales &amp; Distribution Derek Holcomb; Director of QA Lisa Fong)</w:t>
            </w:r>
          </w:p>
          <w:p>
            <w:pPr>
              <w:spacing w:after="20"/>
            </w:pPr>
            <w:r>
              <w:rPr>
                <w:b w:val="0"/>
                <w:i w:val="0"/>
                <w:sz w:val="18"/>
              </w:rPr>
              <w:t>Key non-party: Cascade Fresh Foods, LLC (OR LLC; owner Nolan Yee) — not joined; joinder deadline (Aug. 1, 2024) has passed</w:t>
            </w:r>
          </w:p>
        </w:tc>
      </w:tr>
      <w:tr>
        <w:tc>
          <w:tcPr>
            <w:tcW w:type="dxa" w:w="2304"/>
          </w:tcPr>
          <w:p>
            <w:pPr>
              <w:spacing w:after="20"/>
            </w:pPr>
            <w:r/>
            <w:r>
              <w:rPr>
                <w:b w:val="0"/>
                <w:i w:val="0"/>
                <w:sz w:val="18"/>
              </w:rPr>
              <w:t>Claims</w:t>
            </w:r>
          </w:p>
        </w:tc>
        <w:tc>
          <w:tcPr>
            <w:tcW w:type="dxa" w:w="11520"/>
          </w:tcPr>
          <w:p>
            <w:pPr>
              <w:spacing w:after="20"/>
            </w:pPr>
            <w:r/>
            <w:r>
              <w:rPr>
                <w:b w:val="0"/>
                <w:i w:val="0"/>
                <w:sz w:val="18"/>
              </w:rPr>
              <w:t>Harborview: (1) breach of contract (exclusivity + wrongful termination); (2) breach of implied covenant; (3) fraud / intentional misrepresentation; (4) tortious interference. Demand: $8,202,000 plus punitive damages and fees.</w:t>
            </w:r>
          </w:p>
          <w:p>
            <w:pPr>
              <w:spacing w:after="20"/>
            </w:pPr>
            <w:r>
              <w:rPr>
                <w:b w:val="0"/>
                <w:i w:val="0"/>
                <w:sz w:val="18"/>
              </w:rPr>
              <w:t>Greenleaf counterclaim: breach of § 5.2 minimum purchase commitment — $1,200,000 ($408,000 lost profit + $792,000 consequential).</w:t>
            </w:r>
          </w:p>
        </w:tc>
      </w:tr>
      <w:tr>
        <w:tc>
          <w:tcPr>
            <w:tcW w:type="dxa" w:w="2304"/>
          </w:tcPr>
          <w:p>
            <w:pPr>
              <w:spacing w:after="20"/>
            </w:pPr>
            <w:r/>
            <w:r>
              <w:rPr>
                <w:b w:val="0"/>
                <w:i w:val="0"/>
                <w:sz w:val="18"/>
              </w:rPr>
              <w:t>Documents reviewed (15)</w:t>
            </w:r>
          </w:p>
        </w:tc>
        <w:tc>
          <w:tcPr>
            <w:tcW w:type="dxa" w:w="11520"/>
          </w:tcPr>
          <w:p>
            <w:pPr>
              <w:spacing w:after="20"/>
            </w:pPr>
            <w:r/>
            <w:r>
              <w:rPr>
                <w:b w:val="0"/>
                <w:i w:val="0"/>
                <w:sz w:val="18"/>
              </w:rPr>
              <w:t>Exclusive Distribution Agreement (3/15/2020); Complaint (2/28/2024); Answer &amp; Counterclaim (4/15/2024); Scheduling Order (6/3/2024); Notice of Material Breach (1/10/2023); Notice of Termination (2/15/2023); Harborview response letter (2/22/2023); Holcomb/Yee/Stanton email chain (6/8/2022–12/1/2022); Stanton/Fong QA email chain (9/14/2022–10/3/2022); Stanton→Ivers email (1/3/2023, GL-PROD-007834); QA Rejection Log (.xlsx, 2 tabs); Holcomb deposition summary (10/18/2024); Fong deposition summary (11/5/2024); Expert report of Dr. Aaron Buckley (QA, retained by defense, 12/10/2024); Expert report of Dr. Priya Chakrabarti (damages, retained by plaintiff, 12/10/2024).</w:t>
            </w:r>
          </w:p>
        </w:tc>
      </w:tr>
      <w:tr>
        <w:tc>
          <w:tcPr>
            <w:tcW w:type="dxa" w:w="2304"/>
          </w:tcPr>
          <w:p>
            <w:pPr>
              <w:spacing w:after="20"/>
            </w:pPr>
            <w:r/>
            <w:r>
              <w:rPr>
                <w:b w:val="0"/>
                <w:i w:val="0"/>
                <w:sz w:val="18"/>
              </w:rPr>
              <w:t>Impact legend</w:t>
            </w:r>
          </w:p>
        </w:tc>
        <w:tc>
          <w:tcPr>
            <w:tcW w:type="dxa" w:w="11520"/>
          </w:tcPr>
          <w:p>
            <w:pPr>
              <w:spacing w:after="20"/>
            </w:pPr>
            <w:r/>
            <w:r>
              <w:rPr>
                <w:b w:val="0"/>
                <w:i w:val="0"/>
                <w:sz w:val="18"/>
              </w:rPr>
              <w:t>Each timeline entry is rated from Greenleaf's perspective: ADVERSE (helps Harborview), FAVORABLE (helps Greenleaf), MIXED, PROCEDURAL, or DEADLINE.</w:t>
            </w:r>
          </w:p>
        </w:tc>
      </w:tr>
    </w:tbl>
    <w:p>
      <w:pPr>
        <w:spacing w:after="40"/>
      </w:pPr>
    </w:p>
    <w:p>
      <w:pPr>
        <w:pStyle w:val="Heading1"/>
      </w:pPr>
      <w:r>
        <w:t>1. Executive Summary — What the Record Means for Summary Judgment</w:t>
      </w:r>
    </w:p>
    <w:p>
      <w:pPr>
        <w:spacing w:after="80"/>
      </w:pPr>
      <w:r>
        <w:rPr>
          <w:b/>
          <w:i w:val="0"/>
        </w:rPr>
        <w:t>Bottom line.</w:t>
      </w:r>
      <w:r>
        <w:rPr>
          <w:b w:val="0"/>
          <w:i w:val="0"/>
        </w:rPr>
        <w:t xml:space="preserve"> On the current record, Greenleaf is unlikely to win summary judgment on liability for exclusivity breach, wrongful termination, or its own counterclaim. The documents create — at a minimum — genuine disputes of material fact on each, and on several issues (the Cascade diversion; whether the termination notice was premature under the text of § 9.2) Harborview has a credible cross-motion for partial summary judgment. Greenleaf's best Rule 56 terrain is </w:t>
      </w:r>
      <w:r>
        <w:rPr>
          <w:b/>
          <w:i w:val="0"/>
        </w:rPr>
        <w:t>damages and the claims that go beyond contract</w:t>
      </w:r>
      <w:r>
        <w:rPr>
          <w:b w:val="0"/>
          <w:i w:val="0"/>
        </w:rPr>
        <w:t xml:space="preserve">: the five-year lost-profits theory, the contractual limitation-of-liability provisions, the attorney-fee demand, tortious interference, and parts of the fraud claim. A Daubert / Rule 37(c) motion against Dr. Chakrabarti, due by the </w:t>
      </w:r>
      <w:r>
        <w:rPr>
          <w:b/>
          <w:i w:val="0"/>
        </w:rPr>
        <w:t>February 1, 2025</w:t>
      </w:r>
      <w:r>
        <w:rPr>
          <w:b w:val="0"/>
          <w:i w:val="0"/>
        </w:rPr>
        <w:t xml:space="preserve"> Daubert deadline (a Saturday — file by Friday, January 31), is the key companion motion.</w:t>
      </w:r>
    </w:p>
    <w:p>
      <w:pPr>
        <w:spacing w:after="40"/>
      </w:pPr>
      <w:r>
        <w:rPr>
          <w:b/>
          <w:i w:val="0"/>
        </w:rPr>
        <w:t>The ten findings that matter most:</w:t>
      </w:r>
    </w:p>
    <w:p>
      <w:pPr>
        <w:pStyle w:val="ListNumber"/>
        <w:spacing w:after="40"/>
      </w:pPr>
      <w:r>
        <w:rPr>
          <w:b/>
          <w:i w:val="0"/>
        </w:rPr>
        <w:t>The EDA's actual § 9.2 text is worse for Greenleaf than any pleading acknowledges.</w:t>
      </w:r>
      <w:r>
        <w:rPr>
          <w:b w:val="0"/>
          <w:i w:val="0"/>
        </w:rPr>
        <w:t xml:space="preserve"> It provides that a termination notice "issued prior to the occurrence of an actual material breach … shall be of no force or effect," and § 5.3 measures the minimum "during the full applicable Purchase Year." Year 3 ended March 14, 2023; the termination notice issued February 15, 2023. This is Harborview's cleanest cross-motion argument. (All pleadings, both deposition summaries and the breach notice also describe a "60 days' notice" requirement that does not appear in § 9.2.)</w:t>
      </w:r>
    </w:p>
    <w:p>
      <w:pPr>
        <w:pStyle w:val="ListNumber"/>
        <w:spacing w:after="40"/>
      </w:pPr>
      <w:r>
        <w:rPr>
          <w:b/>
          <w:i w:val="0"/>
        </w:rPr>
        <w:t>Stanton's August 23, 2022 email links the Cascade diversion to the QA campaign.</w:t>
      </w:r>
      <w:r>
        <w:rPr>
          <w:b w:val="0"/>
          <w:i w:val="0"/>
        </w:rPr>
        <w:t xml:space="preserve"> It directs aggressive scaling of Cascade, separate invoicing "not [through] the Harborview account codes," building "leverage," and keeping Fong out of the Cascade routing because "I'll handle the QA side separately." Three weeks later she directed QA tightening for "the Harborview batches" only. The Complaint was drafted without this email; expect it to anchor the opposition brief.</w:t>
      </w:r>
    </w:p>
    <w:p>
      <w:pPr>
        <w:pStyle w:val="ListNumber"/>
        <w:spacing w:after="40"/>
      </w:pPr>
      <w:r>
        <w:rPr>
          <w:b/>
          <w:i w:val="0"/>
        </w:rPr>
        <w:t>Section 3.1 defeats the Answer's "third-party distribution only" construction as to Cascade.</w:t>
      </w:r>
      <w:r>
        <w:rPr>
          <w:b w:val="0"/>
          <w:i w:val="0"/>
        </w:rPr>
        <w:t xml:space="preserve"> Section 3.1 bars Greenleaf from appointing, "directly or through any third party," any "other distributor, dealer, reseller." Cascade is a distributor, and Holcomb conceded that even his narrow reading covers third-party distributors. Holcomb's August 22 email ("The EDA has specific terms around the territory") shows he knew about the restriction when it was happening.</w:t>
      </w:r>
    </w:p>
    <w:p>
      <w:pPr>
        <w:pStyle w:val="ListNumber"/>
        <w:spacing w:after="40"/>
      </w:pPr>
      <w:r>
        <w:rPr>
          <w:b/>
          <w:i w:val="0"/>
        </w:rPr>
        <w:t>Causation defeats the counterclaim even on conservative numbers.</w:t>
      </w:r>
      <w:r>
        <w:rPr>
          <w:b w:val="0"/>
          <w:i w:val="0"/>
        </w:rPr>
        <w:t xml:space="preserve"> Diversion alone ($1.9M) plus actual purchases ($5.8M) = $7.7M, which is above the $7.0M minimum without counting any QA rejection. Holcomb's "the minimum is the minimum regardless" is a problematic admission under the prevention doctrine.</w:t>
      </w:r>
    </w:p>
    <w:p>
      <w:pPr>
        <w:pStyle w:val="ListNumber"/>
        <w:spacing w:after="40"/>
      </w:pPr>
      <w:r>
        <w:rPr>
          <w:b/>
          <w:i w:val="0"/>
        </w:rPr>
        <w:t>Greenleaf's own QA expert (Buckley) found 11 of 14 rejections inconsistent with Greenleaf's own written manual and industry standards</w:t>
      </w:r>
      <w:r>
        <w:rPr>
          <w:b w:val="0"/>
          <w:i w:val="0"/>
        </w:rPr>
        <w:t xml:space="preserve"> ($1,098,700), with a disparity significant at p &lt; 0.005. If that report has been served, Harborview can use it. Decide immediately whether Buckley remains a testifying expert.</w:t>
      </w:r>
    </w:p>
    <w:p>
      <w:pPr>
        <w:pStyle w:val="ListNumber"/>
        <w:spacing w:after="40"/>
      </w:pPr>
      <w:r>
        <w:rPr>
          <w:b/>
          <w:i w:val="0"/>
        </w:rPr>
        <w:t>Serious data-integrity conflicts exist across the QA evidence.</w:t>
      </w:r>
      <w:r>
        <w:rPr>
          <w:b w:val="0"/>
          <w:i w:val="0"/>
        </w:rPr>
        <w:t xml:space="preserve"> The produced QA log, Fong's October 3, 2022 email, Fong's testimony and Buckley's lot table give incompatible lot numbers, dates, products, values, reasons and denominators (see Section 5). Examples: the log lists 15 numbered rejections while its own summary, the Answer and every witness say 14; the October 3 email reports results for lots the log shows were inspected after October 3 or passed. These conflicts must be resolved before any QA fact goes into a Rule 56 statement.</w:t>
      </w:r>
    </w:p>
    <w:p>
      <w:pPr>
        <w:pStyle w:val="ListNumber"/>
        <w:spacing w:after="40"/>
      </w:pPr>
      <w:r>
        <w:rPr>
          <w:b/>
          <w:i w:val="0"/>
        </w:rPr>
        <w:t>The non-renewal notice was consciously not sent.</w:t>
      </w:r>
      <w:r>
        <w:rPr>
          <w:b w:val="0"/>
          <w:i w:val="0"/>
        </w:rPr>
        <w:t xml:space="preserve"> Holcomb's December 1, 2022 email raised the deadline expressly ("belt-and-suspenders"). No notice was sent by the deadline (correctly December 14, 2022, not December 15 as the Complaint, Chakrabarti and Holcomb say), so the EDA arguably auto-renewed on March 15, 2023. The flip side favors Greenleaf: lost-profit exposure should be capped at the one-year Renewal Term, because Greenleaf could have non-renewed for Year 5.</w:t>
      </w:r>
    </w:p>
    <w:p>
      <w:pPr>
        <w:pStyle w:val="ListNumber"/>
        <w:spacing w:after="40"/>
      </w:pPr>
      <w:r>
        <w:rPr>
          <w:b/>
          <w:i w:val="0"/>
        </w:rPr>
        <w:t>Limitation-of-liability clauses (§§ 12.1, 12.2) are an unpleaded but potentially powerful damages defense.</w:t>
      </w:r>
      <w:r>
        <w:rPr>
          <w:b w:val="0"/>
          <w:i w:val="0"/>
        </w:rPr>
        <w:t xml:space="preserve"> Consequential damages are excluded, and liability is capped at 12 months' commissions, for everything except Article 3 (exclusivity) breaches. That could confine wrongful-termination and QA damages to roughly $1.0M (18% × about $5.8M). The same § 12.1 bars Greenleaf's own $792,000 consequential counterclaim component.</w:t>
      </w:r>
    </w:p>
    <w:p>
      <w:pPr>
        <w:pStyle w:val="ListNumber"/>
        <w:spacing w:after="40"/>
      </w:pPr>
      <w:r>
        <w:rPr>
          <w:b/>
          <w:i w:val="0"/>
        </w:rPr>
        <w:t>The EDA contains no attorney-fee clause.</w:t>
      </w:r>
      <w:r>
        <w:rPr>
          <w:b w:val="0"/>
          <w:i w:val="0"/>
        </w:rPr>
        <w:t xml:space="preserve"> Section 14.8, which the Complaint cites for fees, is the governing-law/venue clause. Both sides' fee demands lack a contractual basis. This is a clean partial summary judgment issue (and Greenleaf should drop its own fee request).</w:t>
      </w:r>
    </w:p>
    <w:p>
      <w:pPr>
        <w:pStyle w:val="ListNumber"/>
        <w:spacing w:after="40"/>
      </w:pPr>
      <w:r>
        <w:rPr>
          <w:b/>
          <w:i w:val="0"/>
        </w:rPr>
        <w:t>Privilege and preservation exposure.</w:t>
      </w:r>
      <w:r>
        <w:rPr>
          <w:b w:val="0"/>
          <w:i w:val="0"/>
        </w:rPr>
        <w:t xml:space="preserve"> The Stanton→Ivers January 3, 2023 email ("let's use that as the basis") was produced on September 30, 2024 (GL-PROD-007834). Privilege was first asserted 36 days later, and no clawback is documented. Separately, the litigation hold (about March 2024) came roughly 13 months after Harborview's February 22, 2023 preservation demand.</w:t>
      </w:r>
    </w:p>
    <w:p>
      <w:pPr>
        <w:pStyle w:val="Heading1"/>
      </w:pPr>
      <w:r>
        <w:t>2. Litigation Calendar — Remaining Deadlines (Scheduling Order, Dkt. entered June 3, 2024)</w:t>
      </w:r>
    </w:p>
    <w:tbl>
      <w:tblPr>
        <w:tblStyle w:val="TableGrid"/>
        <w:tblW w:type="auto" w:w="0"/>
        <w:jc w:val="center"/>
        <w:tblLayout w:type="fixed"/>
        <w:tblLook w:firstColumn="1" w:firstRow="1" w:lastColumn="0" w:lastRow="0" w:noHBand="0" w:noVBand="1" w:val="04A0"/>
      </w:tblPr>
      <w:tblGrid>
        <w:gridCol w:w="4608"/>
        <w:gridCol w:w="4608"/>
        <w:gridCol w:w="4608"/>
      </w:tblGrid>
      <w:tr>
        <w:trPr>
          <w:tblHeader w:val="true"/>
        </w:trPr>
        <w:tc>
          <w:tcPr>
            <w:tcW w:type="dxa" w:w="1872"/>
            <w:shd w:val="clear" w:color="auto" w:fill="1F3864"/>
          </w:tcPr>
          <w:p>
            <w:r/>
            <w:r>
              <w:rPr>
                <w:b/>
                <w:color w:val="FFFFFF"/>
                <w:sz w:val="18"/>
              </w:rPr>
              <w:t>Date</w:t>
            </w:r>
          </w:p>
        </w:tc>
        <w:tc>
          <w:tcPr>
            <w:tcW w:type="dxa" w:w="3744"/>
            <w:shd w:val="clear" w:color="auto" w:fill="1F3864"/>
          </w:tcPr>
          <w:p>
            <w:r/>
            <w:r>
              <w:rPr>
                <w:b/>
                <w:color w:val="FFFFFF"/>
                <w:sz w:val="18"/>
              </w:rPr>
              <w:t>Event</w:t>
            </w:r>
          </w:p>
        </w:tc>
        <w:tc>
          <w:tcPr>
            <w:tcW w:type="dxa" w:w="8208"/>
            <w:shd w:val="clear" w:color="auto" w:fill="1F3864"/>
          </w:tcPr>
          <w:p>
            <w:r/>
            <w:r>
              <w:rPr>
                <w:b/>
                <w:color w:val="FFFFFF"/>
                <w:sz w:val="18"/>
              </w:rPr>
              <w:t>Status / Strategic Note</w:t>
            </w:r>
          </w:p>
        </w:tc>
      </w:tr>
      <w:tr>
        <w:tc>
          <w:tcPr>
            <w:tcW w:type="dxa" w:w="1872"/>
          </w:tcPr>
          <w:p>
            <w:pPr>
              <w:spacing w:after="20"/>
            </w:pPr>
            <w:r/>
            <w:r>
              <w:rPr>
                <w:b w:val="0"/>
                <w:i w:val="0"/>
                <w:sz w:val="18"/>
              </w:rPr>
              <w:t>Dec. 5, 2024</w:t>
            </w:r>
          </w:p>
        </w:tc>
        <w:tc>
          <w:tcPr>
            <w:tcW w:type="dxa" w:w="3744"/>
          </w:tcPr>
          <w:p>
            <w:pPr>
              <w:spacing w:after="20"/>
            </w:pPr>
            <w:r/>
            <w:r>
              <w:rPr>
                <w:b w:val="0"/>
                <w:i w:val="0"/>
                <w:sz w:val="18"/>
              </w:rPr>
              <w:t>Fong Rule 30(e) errata deadline</w:t>
            </w:r>
          </w:p>
        </w:tc>
        <w:tc>
          <w:tcPr>
            <w:tcW w:type="dxa" w:w="8208"/>
          </w:tcPr>
          <w:p>
            <w:pPr>
              <w:spacing w:after="20"/>
            </w:pPr>
            <w:r/>
            <w:r>
              <w:rPr>
                <w:b w:val="0"/>
                <w:i w:val="0"/>
                <w:sz w:val="18"/>
              </w:rPr>
              <w:t>Confirm whether errata was submitted. Substantive changes to "I can't say for certain" or "told to focus on Harborview" testimony will be attacked as sham corrections.</w:t>
            </w:r>
          </w:p>
        </w:tc>
      </w:tr>
      <w:tr>
        <w:tc>
          <w:tcPr>
            <w:tcW w:type="dxa" w:w="1872"/>
          </w:tcPr>
          <w:p>
            <w:pPr>
              <w:spacing w:after="20"/>
            </w:pPr>
            <w:r/>
            <w:r>
              <w:rPr>
                <w:b w:val="0"/>
                <w:i w:val="0"/>
                <w:sz w:val="18"/>
              </w:rPr>
              <w:t>Dec. 20, 2024</w:t>
            </w:r>
          </w:p>
        </w:tc>
        <w:tc>
          <w:tcPr>
            <w:tcW w:type="dxa" w:w="3744"/>
          </w:tcPr>
          <w:p>
            <w:pPr>
              <w:spacing w:after="20"/>
            </w:pPr>
            <w:r/>
            <w:r>
              <w:rPr>
                <w:b w:val="0"/>
                <w:i w:val="0"/>
                <w:sz w:val="18"/>
              </w:rPr>
              <w:t>Rebuttal expert reports due</w:t>
            </w:r>
          </w:p>
        </w:tc>
        <w:tc>
          <w:tcPr>
            <w:tcW w:type="dxa" w:w="8208"/>
          </w:tcPr>
          <w:p>
            <w:pPr>
              <w:spacing w:after="20"/>
            </w:pPr>
            <w:r/>
            <w:r>
              <w:rPr>
                <w:b w:val="0"/>
                <w:i w:val="0"/>
                <w:sz w:val="18"/>
              </w:rPr>
              <w:t>Needed: damages rebuttal to Chakrabarti (duration, discount math, mitigation, cap). Consider whether any QA rebuttal is viable given Buckley's findings.</w:t>
            </w:r>
          </w:p>
        </w:tc>
      </w:tr>
      <w:tr>
        <w:tc>
          <w:tcPr>
            <w:tcW w:type="dxa" w:w="1872"/>
          </w:tcPr>
          <w:p>
            <w:pPr>
              <w:spacing w:after="20"/>
            </w:pPr>
            <w:r/>
            <w:r>
              <w:rPr>
                <w:b w:val="0"/>
                <w:i w:val="0"/>
                <w:sz w:val="18"/>
              </w:rPr>
              <w:t>Jan. 15, 2025</w:t>
            </w:r>
          </w:p>
        </w:tc>
        <w:tc>
          <w:tcPr>
            <w:tcW w:type="dxa" w:w="3744"/>
          </w:tcPr>
          <w:p>
            <w:pPr>
              <w:spacing w:after="20"/>
            </w:pPr>
            <w:r/>
            <w:r>
              <w:rPr>
                <w:b w:val="0"/>
                <w:i w:val="0"/>
                <w:sz w:val="18"/>
              </w:rPr>
              <w:t>Close of fact AND expert discovery; all depositions complete</w:t>
            </w:r>
          </w:p>
        </w:tc>
        <w:tc>
          <w:tcPr>
            <w:tcW w:type="dxa" w:w="8208"/>
          </w:tcPr>
          <w:p>
            <w:pPr>
              <w:spacing w:after="20"/>
            </w:pPr>
            <w:r/>
            <w:r>
              <w:rPr>
                <w:b w:val="0"/>
                <w:i w:val="0"/>
                <w:sz w:val="18"/>
              </w:rPr>
              <w:t>File shows no deposition of Stanton or Yee, and no Beckett summary (Beckett deposed Nov. 22, 2024 per Chakrabarti). Stanton authored the Aug. 23, Sept. 14/15 and Jan. 3 emails, so she is the pivotal witness. Depose Chakrabarti; prepare Buckley.</w:t>
            </w:r>
          </w:p>
        </w:tc>
      </w:tr>
      <w:tr>
        <w:tc>
          <w:tcPr>
            <w:tcW w:type="dxa" w:w="1872"/>
          </w:tcPr>
          <w:p>
            <w:pPr>
              <w:spacing w:after="20"/>
            </w:pPr>
            <w:r/>
            <w:r>
              <w:rPr>
                <w:b w:val="0"/>
                <w:i w:val="0"/>
                <w:sz w:val="18"/>
              </w:rPr>
              <w:t>Feb. 1, 2025 (Sat.)</w:t>
            </w:r>
          </w:p>
        </w:tc>
        <w:tc>
          <w:tcPr>
            <w:tcW w:type="dxa" w:w="3744"/>
          </w:tcPr>
          <w:p>
            <w:pPr>
              <w:spacing w:after="20"/>
            </w:pPr>
            <w:r/>
            <w:r>
              <w:rPr>
                <w:b w:val="0"/>
                <w:i w:val="0"/>
                <w:sz w:val="18"/>
              </w:rPr>
              <w:t>Daubert / FRE 702 motions due</w:t>
            </w:r>
          </w:p>
        </w:tc>
        <w:tc>
          <w:tcPr>
            <w:tcW w:type="dxa" w:w="8208"/>
          </w:tcPr>
          <w:p>
            <w:pPr>
              <w:spacing w:after="20"/>
            </w:pPr>
            <w:r/>
            <w:r>
              <w:rPr>
                <w:b w:val="0"/>
                <w:i w:val="0"/>
                <w:sz w:val="18"/>
              </w:rPr>
              <w:t>File by Fri. Jan. 31. Target Chakrabarti: 5-year horizon on a one-year renewable term; NPV arithmetic; mitigation categories; 9-day late disclosure (Rule 37(c)(1)).</w:t>
            </w:r>
          </w:p>
        </w:tc>
      </w:tr>
      <w:tr>
        <w:tc>
          <w:tcPr>
            <w:tcW w:type="dxa" w:w="1872"/>
          </w:tcPr>
          <w:p>
            <w:pPr>
              <w:spacing w:after="20"/>
            </w:pPr>
            <w:r/>
            <w:r>
              <w:rPr>
                <w:b w:val="0"/>
                <w:i w:val="0"/>
                <w:sz w:val="18"/>
              </w:rPr>
              <w:t>Mar. 1, 2025 (Sat.)</w:t>
            </w:r>
          </w:p>
        </w:tc>
        <w:tc>
          <w:tcPr>
            <w:tcW w:type="dxa" w:w="3744"/>
          </w:tcPr>
          <w:p>
            <w:pPr>
              <w:spacing w:after="20"/>
            </w:pPr>
            <w:r/>
            <w:r>
              <w:rPr>
                <w:b w:val="0"/>
                <w:i w:val="0"/>
                <w:sz w:val="18"/>
              </w:rPr>
              <w:t>Dispositive motions due (Rule 56)</w:t>
            </w:r>
          </w:p>
        </w:tc>
        <w:tc>
          <w:tcPr>
            <w:tcW w:type="dxa" w:w="8208"/>
          </w:tcPr>
          <w:p>
            <w:pPr>
              <w:spacing w:after="20"/>
            </w:pPr>
            <w:r/>
            <w:r>
              <w:rPr>
                <w:b w:val="0"/>
                <w:i w:val="0"/>
                <w:sz w:val="18"/>
              </w:rPr>
              <w:t>This is a court-set date, not a computed period, so do not rely on Rule 6(a)(1)(C). File by Fri. Feb. 28. Opening brief 30 pp.; opposition 21 days after filing (about Mar. 21–24); reply 14 days after (15 pp.).</w:t>
            </w:r>
          </w:p>
        </w:tc>
      </w:tr>
      <w:tr>
        <w:tc>
          <w:tcPr>
            <w:tcW w:type="dxa" w:w="1872"/>
          </w:tcPr>
          <w:p>
            <w:pPr>
              <w:spacing w:after="20"/>
            </w:pPr>
            <w:r/>
            <w:r>
              <w:rPr>
                <w:b w:val="0"/>
                <w:i w:val="0"/>
                <w:sz w:val="18"/>
              </w:rPr>
              <w:t>Apr. 15, 2025</w:t>
            </w:r>
          </w:p>
        </w:tc>
        <w:tc>
          <w:tcPr>
            <w:tcW w:type="dxa" w:w="3744"/>
          </w:tcPr>
          <w:p>
            <w:pPr>
              <w:spacing w:after="20"/>
            </w:pPr>
            <w:r/>
            <w:r>
              <w:rPr>
                <w:b w:val="0"/>
                <w:i w:val="0"/>
                <w:sz w:val="18"/>
              </w:rPr>
              <w:t>Mediation deadline</w:t>
            </w:r>
          </w:p>
        </w:tc>
        <w:tc>
          <w:tcPr>
            <w:tcW w:type="dxa" w:w="8208"/>
          </w:tcPr>
          <w:p>
            <w:pPr>
              <w:spacing w:after="20"/>
            </w:pPr>
            <w:r/>
            <w:r>
              <w:rPr>
                <w:b w:val="0"/>
                <w:i w:val="0"/>
                <w:sz w:val="18"/>
              </w:rPr>
              <w:t>The SJ ruling will likely not be available. Use the damages-limitation motion to anchor valuation.</w:t>
            </w:r>
          </w:p>
        </w:tc>
      </w:tr>
      <w:tr>
        <w:tc>
          <w:tcPr>
            <w:tcW w:type="dxa" w:w="1872"/>
          </w:tcPr>
          <w:p>
            <w:pPr>
              <w:spacing w:after="20"/>
            </w:pPr>
            <w:r/>
            <w:r>
              <w:rPr>
                <w:b w:val="0"/>
                <w:i w:val="0"/>
                <w:sz w:val="18"/>
              </w:rPr>
              <w:t>May 5, 2025</w:t>
            </w:r>
          </w:p>
        </w:tc>
        <w:tc>
          <w:tcPr>
            <w:tcW w:type="dxa" w:w="3744"/>
          </w:tcPr>
          <w:p>
            <w:pPr>
              <w:spacing w:after="20"/>
            </w:pPr>
            <w:r/>
            <w:r>
              <w:rPr>
                <w:b w:val="0"/>
                <w:i w:val="0"/>
                <w:sz w:val="18"/>
              </w:rPr>
              <w:t>Joint Pretrial Order; exhibit/witness lists; motions in limine</w:t>
            </w:r>
          </w:p>
        </w:tc>
        <w:tc>
          <w:tcPr>
            <w:tcW w:type="dxa" w:w="8208"/>
          </w:tcPr>
          <w:p>
            <w:pPr>
              <w:spacing w:after="20"/>
            </w:pPr>
            <w:r/>
            <w:r>
              <w:rPr>
                <w:b w:val="0"/>
                <w:i w:val="0"/>
                <w:sz w:val="18"/>
              </w:rPr>
              <w:t>MIL candidates: privileged Jan. 3 email (if clawback succeeds); undisclosed Chakrabarti opinions; "fabricated" characterization.</w:t>
            </w:r>
          </w:p>
        </w:tc>
      </w:tr>
      <w:tr>
        <w:tc>
          <w:tcPr>
            <w:tcW w:type="dxa" w:w="1872"/>
          </w:tcPr>
          <w:p>
            <w:pPr>
              <w:spacing w:after="20"/>
            </w:pPr>
            <w:r/>
            <w:r>
              <w:rPr>
                <w:b w:val="0"/>
                <w:i w:val="0"/>
                <w:sz w:val="18"/>
              </w:rPr>
              <w:t>May 12 / May 19, 2025</w:t>
            </w:r>
          </w:p>
        </w:tc>
        <w:tc>
          <w:tcPr>
            <w:tcW w:type="dxa" w:w="3744"/>
          </w:tcPr>
          <w:p>
            <w:pPr>
              <w:spacing w:after="20"/>
            </w:pPr>
            <w:r/>
            <w:r>
              <w:rPr>
                <w:b w:val="0"/>
                <w:i w:val="0"/>
                <w:sz w:val="18"/>
              </w:rPr>
              <w:t>MIL responses / Pretrial Conference (10:00 a.m., Ctrm 14A)</w:t>
            </w:r>
          </w:p>
        </w:tc>
        <w:tc>
          <w:tcPr>
            <w:tcW w:type="dxa" w:w="8208"/>
          </w:tcPr>
          <w:p>
            <w:pPr>
              <w:spacing w:after="20"/>
            </w:pPr>
            <w:r/>
            <w:r>
              <w:rPr>
                <w:b w:val="0"/>
                <w:i w:val="0"/>
                <w:sz w:val="18"/>
              </w:rPr>
              <w:t>Lead trial counsel must attend in person.</w:t>
            </w:r>
          </w:p>
        </w:tc>
      </w:tr>
      <w:tr>
        <w:tc>
          <w:tcPr>
            <w:tcW w:type="dxa" w:w="1872"/>
          </w:tcPr>
          <w:p>
            <w:pPr>
              <w:spacing w:after="20"/>
            </w:pPr>
            <w:r/>
            <w:r>
              <w:rPr>
                <w:b w:val="0"/>
                <w:i w:val="0"/>
                <w:sz w:val="18"/>
              </w:rPr>
              <w:t>June 16, 2025</w:t>
            </w:r>
          </w:p>
        </w:tc>
        <w:tc>
          <w:tcPr>
            <w:tcW w:type="dxa" w:w="3744"/>
          </w:tcPr>
          <w:p>
            <w:pPr>
              <w:spacing w:after="20"/>
            </w:pPr>
            <w:r/>
            <w:r>
              <w:rPr>
                <w:b w:val="0"/>
                <w:i w:val="0"/>
                <w:sz w:val="18"/>
              </w:rPr>
              <w:t>Jury trial (7–10 days)</w:t>
            </w:r>
          </w:p>
        </w:tc>
        <w:tc>
          <w:tcPr>
            <w:tcW w:type="dxa" w:w="8208"/>
          </w:tcPr>
          <w:p>
            <w:pPr>
              <w:spacing w:after="20"/>
            </w:pPr>
            <w:r/>
            <w:r>
              <w:rPr>
                <w:b w:val="0"/>
                <w:i w:val="0"/>
                <w:sz w:val="18"/>
              </w:rPr>
              <w:t>Both sides demanded a jury.</w:t>
            </w:r>
          </w:p>
        </w:tc>
      </w:tr>
    </w:tbl>
    <w:p>
      <w:pPr>
        <w:spacing w:after="40"/>
      </w:pPr>
    </w:p>
    <w:p>
      <w:pPr>
        <w:pStyle w:val="Heading1"/>
      </w:pPr>
      <w:r>
        <w:t>3. Master Chronological Timeline with Strategic Annotations</w:t>
      </w:r>
    </w:p>
    <w:p>
      <w:pPr>
        <w:spacing w:after="80"/>
      </w:pPr>
      <w:r>
        <w:rPr>
          <w:b w:val="0"/>
          <w:i/>
          <w:sz w:val="18"/>
        </w:rPr>
        <w:t>Sources are abbreviated as: EDA; Compl.; Ans.; SO (Scheduling Order); NMB (Notice of Material Breach); NOT (Notice of Termination); HV Ltr (2/22/2023 response); HYS (Holcomb/Yee/Stanton emails, GRN-004217–4231); SF (Stanton/Fong emails, GL-PROD-004217–4220); SI (Stanton→Ivers, GL-PROD-007834); Log (QA Rejection Log); Holcomb Dep.; Fong Dep.; Buckley; Chakrabarti.</w:t>
      </w:r>
    </w:p>
    <w:p>
      <w:pPr>
        <w:pStyle w:val="Heading2"/>
      </w:pPr>
      <w:r>
        <w:t>Phase I — Formation and Performance (2014 – March 2022)</w:t>
      </w:r>
    </w:p>
    <w:tbl>
      <w:tblPr>
        <w:tblStyle w:val="TableGrid"/>
        <w:tblW w:type="auto" w:w="0"/>
        <w:jc w:val="center"/>
        <w:tblLayout w:type="fixed"/>
        <w:tblLook w:firstColumn="1" w:firstRow="1" w:lastColumn="0" w:lastRow="0" w:noHBand="0" w:noVBand="1" w:val="04A0"/>
      </w:tblPr>
      <w:tblGrid>
        <w:gridCol w:w="2765"/>
        <w:gridCol w:w="2765"/>
        <w:gridCol w:w="2765"/>
        <w:gridCol w:w="2765"/>
        <w:gridCol w:w="2765"/>
      </w:tblGrid>
      <w:tr>
        <w:trPr>
          <w:tblHeader w:val="true"/>
        </w:trPr>
        <w:tc>
          <w:tcPr>
            <w:tcW w:type="dxa" w:w="1512"/>
            <w:shd w:val="clear" w:color="auto" w:fill="1F3864"/>
          </w:tcPr>
          <w:p>
            <w:r/>
            <w:r>
              <w:rPr>
                <w:b/>
                <w:color w:val="FFFFFF"/>
                <w:sz w:val="18"/>
              </w:rPr>
              <w:t>Date</w:t>
            </w:r>
          </w:p>
        </w:tc>
        <w:tc>
          <w:tcPr>
            <w:tcW w:type="dxa" w:w="3960"/>
            <w:shd w:val="clear" w:color="auto" w:fill="1F3864"/>
          </w:tcPr>
          <w:p>
            <w:r/>
            <w:r>
              <w:rPr>
                <w:b/>
                <w:color w:val="FFFFFF"/>
                <w:sz w:val="18"/>
              </w:rPr>
              <w:t>Event</w:t>
            </w:r>
          </w:p>
        </w:tc>
        <w:tc>
          <w:tcPr>
            <w:tcW w:type="dxa" w:w="1656"/>
            <w:shd w:val="clear" w:color="auto" w:fill="1F3864"/>
          </w:tcPr>
          <w:p>
            <w:r/>
            <w:r>
              <w:rPr>
                <w:b/>
                <w:color w:val="FFFFFF"/>
                <w:sz w:val="18"/>
              </w:rPr>
              <w:t>Source</w:t>
            </w:r>
          </w:p>
        </w:tc>
        <w:tc>
          <w:tcPr>
            <w:tcW w:type="dxa" w:w="5544"/>
            <w:shd w:val="clear" w:color="auto" w:fill="1F3864"/>
          </w:tcPr>
          <w:p>
            <w:r/>
            <w:r>
              <w:rPr>
                <w:b/>
                <w:color w:val="FFFFFF"/>
                <w:sz w:val="18"/>
              </w:rPr>
              <w:t>Strategic Annotation (SJ relevance)</w:t>
            </w:r>
          </w:p>
        </w:tc>
        <w:tc>
          <w:tcPr>
            <w:tcW w:type="dxa" w:w="1152"/>
            <w:shd w:val="clear" w:color="auto" w:fill="1F3864"/>
          </w:tcPr>
          <w:p>
            <w:r/>
            <w:r>
              <w:rPr>
                <w:b/>
                <w:color w:val="FFFFFF"/>
                <w:sz w:val="18"/>
              </w:rPr>
              <w:t>Impact</w:t>
            </w:r>
          </w:p>
        </w:tc>
      </w:tr>
      <w:tr>
        <w:tc>
          <w:tcPr>
            <w:tcW w:type="dxa" w:w="1512"/>
          </w:tcPr>
          <w:p>
            <w:pPr>
              <w:spacing w:after="20"/>
            </w:pPr>
            <w:r/>
            <w:r>
              <w:rPr>
                <w:b w:val="0"/>
                <w:i w:val="0"/>
                <w:sz w:val="18"/>
              </w:rPr>
              <w:t>2014 / 2016 / 2019</w:t>
            </w:r>
          </w:p>
        </w:tc>
        <w:tc>
          <w:tcPr>
            <w:tcW w:type="dxa" w:w="3960"/>
          </w:tcPr>
          <w:p>
            <w:pPr>
              <w:spacing w:after="20"/>
            </w:pPr>
            <w:r/>
            <w:r>
              <w:rPr>
                <w:b w:val="0"/>
                <w:i w:val="0"/>
                <w:sz w:val="18"/>
              </w:rPr>
              <w:t>Greenleaf formed (OR, 2014). Harborview formed (WA, 2016). Cascade formed (OR, 2019). Fong formalizes GQ-SOP-100 QA series (2019). Fong and Holcomb (both hired in 2017) promoted in 2019.</w:t>
            </w:r>
          </w:p>
        </w:tc>
        <w:tc>
          <w:tcPr>
            <w:tcW w:type="dxa" w:w="1656"/>
          </w:tcPr>
          <w:p>
            <w:pPr>
              <w:spacing w:after="20"/>
            </w:pPr>
            <w:r/>
            <w:r>
              <w:rPr>
                <w:b w:val="0"/>
                <w:i w:val="0"/>
                <w:sz w:val="18"/>
              </w:rPr>
              <w:t>Ans. ¶¶39-40; Compl. ¶7; Fong Dep. §I–II</w:t>
            </w:r>
          </w:p>
        </w:tc>
        <w:tc>
          <w:tcPr>
            <w:tcW w:type="dxa" w:w="5544"/>
          </w:tcPr>
          <w:p>
            <w:pPr>
              <w:spacing w:after="20"/>
            </w:pPr>
            <w:r/>
            <w:r>
              <w:rPr>
                <w:b w:val="0"/>
                <w:i w:val="0"/>
                <w:sz w:val="18"/>
              </w:rPr>
              <w:t>Background. Fong's authorship of the SOPs makes her the natural witness to authenticate the "standard" thresholds, and also means she knew the enhanced overlay departed from her own written rules.</w:t>
            </w:r>
          </w:p>
        </w:tc>
        <w:tc>
          <w:tcPr>
            <w:tcW w:type="dxa" w:w="1152"/>
            <w:shd w:val="clear" w:color="auto" w:fill="E7E6E6"/>
          </w:tcPr>
          <w:p>
            <w:r/>
            <w:r>
              <w:rPr>
                <w:b/>
                <w:sz w:val="16"/>
              </w:rPr>
              <w:t>PROCEDURAL</w:t>
            </w:r>
          </w:p>
        </w:tc>
      </w:tr>
      <w:tr>
        <w:tc>
          <w:tcPr>
            <w:tcW w:type="dxa" w:w="1512"/>
          </w:tcPr>
          <w:p>
            <w:pPr>
              <w:spacing w:after="20"/>
            </w:pPr>
            <w:r/>
            <w:r>
              <w:rPr>
                <w:b w:val="0"/>
                <w:i w:val="0"/>
                <w:sz w:val="18"/>
              </w:rPr>
              <w:t>Mar. 1, 2020</w:t>
            </w:r>
          </w:p>
        </w:tc>
        <w:tc>
          <w:tcPr>
            <w:tcW w:type="dxa" w:w="3960"/>
          </w:tcPr>
          <w:p>
            <w:pPr>
              <w:spacing w:after="20"/>
            </w:pPr>
            <w:r/>
            <w:r>
              <w:rPr>
                <w:b w:val="0"/>
                <w:i w:val="0"/>
                <w:sz w:val="18"/>
              </w:rPr>
              <w:t>Greenleaf QA Manual v2.8 effective.</w:t>
            </w:r>
          </w:p>
        </w:tc>
        <w:tc>
          <w:tcPr>
            <w:tcW w:type="dxa" w:w="1656"/>
          </w:tcPr>
          <w:p>
            <w:pPr>
              <w:spacing w:after="20"/>
            </w:pPr>
            <w:r/>
            <w:r>
              <w:rPr>
                <w:b w:val="0"/>
                <w:i w:val="0"/>
                <w:sz w:val="18"/>
              </w:rPr>
              <w:t>Buckley §III</w:t>
            </w:r>
          </w:p>
        </w:tc>
        <w:tc>
          <w:tcPr>
            <w:tcW w:type="dxa" w:w="5544"/>
          </w:tcPr>
          <w:p>
            <w:pPr>
              <w:spacing w:after="20"/>
            </w:pPr>
            <w:r/>
            <w:r>
              <w:rPr>
                <w:b w:val="0"/>
                <w:i w:val="0"/>
                <w:sz w:val="18"/>
              </w:rPr>
              <w:t>Neither v2.8 nor v3.2 contains distributor-specific screening tiers (Buckley §VII).</w:t>
            </w:r>
          </w:p>
        </w:tc>
        <w:tc>
          <w:tcPr>
            <w:tcW w:type="dxa" w:w="1152"/>
            <w:shd w:val="clear" w:color="auto" w:fill="F4CCCC"/>
          </w:tcPr>
          <w:p>
            <w:r/>
            <w:r>
              <w:rPr>
                <w:b/>
                <w:sz w:val="16"/>
              </w:rPr>
              <w:t>ADVERSE</w:t>
            </w:r>
          </w:p>
        </w:tc>
      </w:tr>
      <w:tr>
        <w:tc>
          <w:tcPr>
            <w:tcW w:type="dxa" w:w="1512"/>
          </w:tcPr>
          <w:p>
            <w:pPr>
              <w:spacing w:after="20"/>
            </w:pPr>
            <w:r/>
            <w:r>
              <w:rPr>
                <w:b w:val="0"/>
                <w:i w:val="0"/>
                <w:sz w:val="18"/>
              </w:rPr>
              <w:t>Mar. 15, 2020</w:t>
            </w:r>
          </w:p>
        </w:tc>
        <w:tc>
          <w:tcPr>
            <w:tcW w:type="dxa" w:w="3960"/>
          </w:tcPr>
          <w:p>
            <w:pPr>
              <w:spacing w:after="20"/>
            </w:pPr>
            <w:r/>
            <w:r>
              <w:rPr>
                <w:b/>
                <w:i w:val="0"/>
                <w:sz w:val="18"/>
              </w:rPr>
              <w:t>EDA executed</w:t>
            </w:r>
            <w:r>
              <w:rPr>
                <w:b w:val="0"/>
                <w:i w:val="0"/>
                <w:sz w:val="18"/>
              </w:rPr>
              <w:t xml:space="preserve"> (Stanton / Beckett). Initial term to Mar. 14, 2023. Key provisions: §3.1 exclusivity; §5.2 minimums ($4.0M / $5.5M / $7.0M / $7.5M renewal); §5.3 full-year measurement; §6.1 18% commission; §7.2 pre-shipment rejection only for lots not meeting "Quality Standards" (Ex. B); §9.2 termination for cause; §9.3 auto-renewal (90-day non-renewal notice); §§12.1–12.2 consequential-damages exclusion and 12-month-commission cap (Article 3 carved out); §14.5 written-waiver requirement; §14.8 Oregon law / Multnomah County venue; §14.12 no contra proferentem.</w:t>
            </w:r>
          </w:p>
        </w:tc>
        <w:tc>
          <w:tcPr>
            <w:tcW w:type="dxa" w:w="1656"/>
          </w:tcPr>
          <w:p>
            <w:pPr>
              <w:spacing w:after="20"/>
            </w:pPr>
            <w:r/>
            <w:r>
              <w:rPr>
                <w:b w:val="0"/>
                <w:i w:val="0"/>
                <w:sz w:val="18"/>
              </w:rPr>
              <w:t>EDA</w:t>
            </w:r>
          </w:p>
        </w:tc>
        <w:tc>
          <w:tcPr>
            <w:tcW w:type="dxa" w:w="5544"/>
          </w:tcPr>
          <w:p>
            <w:pPr>
              <w:spacing w:after="20"/>
            </w:pPr>
            <w:r/>
            <w:r>
              <w:rPr>
                <w:b/>
                <w:i w:val="0"/>
                <w:sz w:val="18"/>
              </w:rPr>
              <w:t>Critical text.</w:t>
            </w:r>
            <w:r>
              <w:rPr>
                <w:b w:val="0"/>
                <w:i w:val="0"/>
                <w:sz w:val="18"/>
              </w:rPr>
              <w:t xml:space="preserve"> (1) §9.2's last sentence voids a termination notice "issued prior to the occurrence of an actual material breach." (2) §9.2 has no 60-day notice period, although every pleading says it does. (3) §3.1 covers appointment "directly or through any third party" of any "distributor, dealer, reseller," which defeats Ans. ¶¶7, 18 as applied to Cascade. (4) §3.1 conditions exclusivity on "continued compliance" with the minimums. This is Greenleaf's only textual exclusivity defense, but it is weak because Harborview was compliant when the diversion began (June 2022). (5) Ex. B sets the APC limit at 10,000 CFU/g, so every microbial rejection in the Log (680–850 CFU/g) was more than 10x within the contract standard. (6) There is no fee-shifting clause. (7) §1.11 lets Greenleaf amend Quality Standards only "upon written notice to Distributor," and no notice of the enhanced protocol was given.</w:t>
            </w:r>
          </w:p>
        </w:tc>
        <w:tc>
          <w:tcPr>
            <w:tcW w:type="dxa" w:w="1152"/>
            <w:shd w:val="clear" w:color="auto" w:fill="F4CCCC"/>
          </w:tcPr>
          <w:p>
            <w:r/>
            <w:r>
              <w:rPr>
                <w:b/>
                <w:sz w:val="16"/>
              </w:rPr>
              <w:t>ADVERSE</w:t>
            </w:r>
          </w:p>
        </w:tc>
      </w:tr>
      <w:tr>
        <w:tc>
          <w:tcPr>
            <w:tcW w:type="dxa" w:w="1512"/>
          </w:tcPr>
          <w:p>
            <w:pPr>
              <w:spacing w:after="20"/>
            </w:pPr>
            <w:r/>
            <w:r>
              <w:rPr>
                <w:b w:val="0"/>
                <w:i w:val="0"/>
                <w:sz w:val="18"/>
              </w:rPr>
              <w:t>Mar. 15, 2020 – Mar. 14, 2021</w:t>
            </w:r>
          </w:p>
        </w:tc>
        <w:tc>
          <w:tcPr>
            <w:tcW w:type="dxa" w:w="3960"/>
          </w:tcPr>
          <w:p>
            <w:pPr>
              <w:spacing w:after="20"/>
            </w:pPr>
            <w:r/>
            <w:r>
              <w:rPr>
                <w:b w:val="0"/>
                <w:i w:val="0"/>
                <w:sz w:val="18"/>
              </w:rPr>
              <w:t>Year 1: Harborview purchases $4.3M against a $4.0M minimum (+$300K), during COVID.</w:t>
            </w:r>
          </w:p>
        </w:tc>
        <w:tc>
          <w:tcPr>
            <w:tcW w:type="dxa" w:w="1656"/>
          </w:tcPr>
          <w:p>
            <w:pPr>
              <w:spacing w:after="20"/>
            </w:pPr>
            <w:r/>
            <w:r>
              <w:rPr>
                <w:b w:val="0"/>
                <w:i w:val="0"/>
                <w:sz w:val="18"/>
              </w:rPr>
              <w:t>Ans. ¶47; Holcomb Dep. §III</w:t>
            </w:r>
          </w:p>
        </w:tc>
        <w:tc>
          <w:tcPr>
            <w:tcW w:type="dxa" w:w="5544"/>
          </w:tcPr>
          <w:p>
            <w:pPr>
              <w:spacing w:after="20"/>
            </w:pPr>
            <w:r/>
            <w:r>
              <w:rPr>
                <w:b w:val="0"/>
                <w:i w:val="0"/>
                <w:sz w:val="18"/>
              </w:rPr>
              <w:t>Admitted by Greenleaf. Supports Harborview's capability narrative.</w:t>
            </w:r>
          </w:p>
        </w:tc>
        <w:tc>
          <w:tcPr>
            <w:tcW w:type="dxa" w:w="1152"/>
            <w:shd w:val="clear" w:color="auto" w:fill="F4CCCC"/>
          </w:tcPr>
          <w:p>
            <w:r/>
            <w:r>
              <w:rPr>
                <w:b/>
                <w:sz w:val="16"/>
              </w:rPr>
              <w:t>ADVERSE</w:t>
            </w:r>
          </w:p>
        </w:tc>
      </w:tr>
      <w:tr>
        <w:tc>
          <w:tcPr>
            <w:tcW w:type="dxa" w:w="1512"/>
          </w:tcPr>
          <w:p>
            <w:pPr>
              <w:spacing w:after="20"/>
            </w:pPr>
            <w:r/>
            <w:r>
              <w:rPr>
                <w:b w:val="0"/>
                <w:i w:val="0"/>
                <w:sz w:val="18"/>
              </w:rPr>
              <w:t>Mar. 15, 2021 – Mar. 14, 2022</w:t>
            </w:r>
          </w:p>
        </w:tc>
        <w:tc>
          <w:tcPr>
            <w:tcW w:type="dxa" w:w="3960"/>
          </w:tcPr>
          <w:p>
            <w:pPr>
              <w:spacing w:after="20"/>
            </w:pPr>
            <w:r/>
            <w:r>
              <w:rPr>
                <w:b w:val="0"/>
                <w:i w:val="0"/>
                <w:sz w:val="18"/>
              </w:rPr>
              <w:t>Year 2: $6.1M against $5.5M (+$600K; +42% YoY). No breach notices or QA disputes. Holcomb calls the relationship "generally positive" and Beckett "responsive and professional."</w:t>
            </w:r>
          </w:p>
        </w:tc>
        <w:tc>
          <w:tcPr>
            <w:tcW w:type="dxa" w:w="1656"/>
          </w:tcPr>
          <w:p>
            <w:pPr>
              <w:spacing w:after="20"/>
            </w:pPr>
            <w:r/>
            <w:r>
              <w:rPr>
                <w:b w:val="0"/>
                <w:i w:val="0"/>
                <w:sz w:val="18"/>
              </w:rPr>
              <w:t>Ans. ¶47; Compl. ¶23; Holcomb Dep. §III</w:t>
            </w:r>
          </w:p>
        </w:tc>
        <w:tc>
          <w:tcPr>
            <w:tcW w:type="dxa" w:w="5544"/>
          </w:tcPr>
          <w:p>
            <w:pPr>
              <w:spacing w:after="20"/>
            </w:pPr>
            <w:r/>
            <w:r>
              <w:rPr>
                <w:b w:val="0"/>
                <w:i w:val="0"/>
                <w:sz w:val="18"/>
              </w:rPr>
              <w:t>Undercuts any claim of longstanding performance or quality problems. Stanton's Sept. 2022 "feedback about quality inconsistencies in the field" has no documented antecedent in the file.</w:t>
            </w:r>
          </w:p>
        </w:tc>
        <w:tc>
          <w:tcPr>
            <w:tcW w:type="dxa" w:w="1152"/>
            <w:shd w:val="clear" w:color="auto" w:fill="F4CCCC"/>
          </w:tcPr>
          <w:p>
            <w:r/>
            <w:r>
              <w:rPr>
                <w:b/>
                <w:sz w:val="16"/>
              </w:rPr>
              <w:t>ADVERSE</w:t>
            </w:r>
          </w:p>
        </w:tc>
      </w:tr>
      <w:tr>
        <w:tc>
          <w:tcPr>
            <w:tcW w:type="dxa" w:w="1512"/>
          </w:tcPr>
          <w:p>
            <w:pPr>
              <w:spacing w:after="20"/>
            </w:pPr>
            <w:r/>
            <w:r>
              <w:rPr>
                <w:b w:val="0"/>
                <w:i w:val="0"/>
                <w:sz w:val="18"/>
              </w:rPr>
              <w:t>Jan. 1, 2022</w:t>
            </w:r>
          </w:p>
        </w:tc>
        <w:tc>
          <w:tcPr>
            <w:tcW w:type="dxa" w:w="3960"/>
          </w:tcPr>
          <w:p>
            <w:pPr>
              <w:spacing w:after="20"/>
            </w:pPr>
            <w:r/>
            <w:r>
              <w:rPr>
                <w:b w:val="0"/>
                <w:i w:val="0"/>
                <w:sz w:val="18"/>
              </w:rPr>
              <w:t>QA Manual v3.2 effective. §2.1.4: all lots evaluated "without regard to the identity of the purchaser, distributor, or end customer."</w:t>
            </w:r>
          </w:p>
        </w:tc>
        <w:tc>
          <w:tcPr>
            <w:tcW w:type="dxa" w:w="1656"/>
          </w:tcPr>
          <w:p>
            <w:pPr>
              <w:spacing w:after="20"/>
            </w:pPr>
            <w:r/>
            <w:r>
              <w:rPr>
                <w:b w:val="0"/>
                <w:i w:val="0"/>
                <w:sz w:val="18"/>
              </w:rPr>
              <w:t>Buckley §VII</w:t>
            </w:r>
          </w:p>
        </w:tc>
        <w:tc>
          <w:tcPr>
            <w:tcW w:type="dxa" w:w="5544"/>
          </w:tcPr>
          <w:p>
            <w:pPr>
              <w:spacing w:after="20"/>
            </w:pPr>
            <w:r/>
            <w:r>
              <w:rPr>
                <w:b w:val="0"/>
                <w:i w:val="0"/>
                <w:sz w:val="18"/>
              </w:rPr>
              <w:t>Greenleaf's own written policy forbids destination-based screening. This directly contradicts Ans. ¶23 ("applied uniformly … regardless of … distributor").</w:t>
            </w:r>
          </w:p>
        </w:tc>
        <w:tc>
          <w:tcPr>
            <w:tcW w:type="dxa" w:w="1152"/>
            <w:shd w:val="clear" w:color="auto" w:fill="F4CCCC"/>
          </w:tcPr>
          <w:p>
            <w:r/>
            <w:r>
              <w:rPr>
                <w:b/>
                <w:sz w:val="16"/>
              </w:rPr>
              <w:t>ADVERSE</w:t>
            </w:r>
          </w:p>
        </w:tc>
      </w:tr>
      <w:tr>
        <w:tc>
          <w:tcPr>
            <w:tcW w:type="dxa" w:w="1512"/>
          </w:tcPr>
          <w:p>
            <w:pPr>
              <w:spacing w:after="20"/>
            </w:pPr>
            <w:r/>
            <w:r>
              <w:rPr>
                <w:b w:val="0"/>
                <w:i w:val="0"/>
                <w:sz w:val="18"/>
              </w:rPr>
              <w:t>Mar. 15, 2022</w:t>
            </w:r>
          </w:p>
        </w:tc>
        <w:tc>
          <w:tcPr>
            <w:tcW w:type="dxa" w:w="3960"/>
          </w:tcPr>
          <w:p>
            <w:pPr>
              <w:spacing w:after="20"/>
            </w:pPr>
            <w:r/>
            <w:r>
              <w:rPr>
                <w:b w:val="0"/>
                <w:i w:val="0"/>
                <w:sz w:val="18"/>
              </w:rPr>
              <w:t>Year 3 begins ($7.0M minimum; ends Mar. 14, 2023).</w:t>
            </w:r>
          </w:p>
        </w:tc>
        <w:tc>
          <w:tcPr>
            <w:tcW w:type="dxa" w:w="1656"/>
          </w:tcPr>
          <w:p>
            <w:pPr>
              <w:spacing w:after="20"/>
            </w:pPr>
            <w:r/>
            <w:r>
              <w:rPr>
                <w:b w:val="0"/>
                <w:i w:val="0"/>
                <w:sz w:val="18"/>
              </w:rPr>
              <w:t>EDA §§1.10, 5.2</w:t>
            </w:r>
          </w:p>
        </w:tc>
        <w:tc>
          <w:tcPr>
            <w:tcW w:type="dxa" w:w="5544"/>
          </w:tcPr>
          <w:p>
            <w:pPr>
              <w:spacing w:after="20"/>
            </w:pPr>
            <w:r/>
            <w:r>
              <w:rPr>
                <w:b w:val="0"/>
                <w:i w:val="0"/>
                <w:sz w:val="18"/>
              </w:rPr>
              <w:t>Measurement period for the counterclaim and the breach notice.</w:t>
            </w:r>
          </w:p>
        </w:tc>
        <w:tc>
          <w:tcPr>
            <w:tcW w:type="dxa" w:w="1152"/>
            <w:shd w:val="clear" w:color="auto" w:fill="E7E6E6"/>
          </w:tcPr>
          <w:p>
            <w:r/>
            <w:r>
              <w:rPr>
                <w:b/>
                <w:sz w:val="16"/>
              </w:rPr>
              <w:t>PROCEDURAL</w:t>
            </w:r>
          </w:p>
        </w:tc>
      </w:tr>
    </w:tbl>
    <w:p>
      <w:pPr>
        <w:spacing w:after="40"/>
      </w:pPr>
    </w:p>
    <w:p>
      <w:pPr>
        <w:pStyle w:val="Heading2"/>
      </w:pPr>
      <w:r>
        <w:t>Phase II — Cascade Diversion (June 2022 – February 2023)</w:t>
      </w:r>
    </w:p>
    <w:tbl>
      <w:tblPr>
        <w:tblStyle w:val="TableGrid"/>
        <w:tblW w:type="auto" w:w="0"/>
        <w:jc w:val="center"/>
        <w:tblLayout w:type="fixed"/>
        <w:tblLook w:firstColumn="1" w:firstRow="1" w:lastColumn="0" w:lastRow="0" w:noHBand="0" w:noVBand="1" w:val="04A0"/>
      </w:tblPr>
      <w:tblGrid>
        <w:gridCol w:w="2765"/>
        <w:gridCol w:w="2765"/>
        <w:gridCol w:w="2765"/>
        <w:gridCol w:w="2765"/>
        <w:gridCol w:w="2765"/>
      </w:tblGrid>
      <w:tr>
        <w:trPr>
          <w:tblHeader w:val="true"/>
        </w:trPr>
        <w:tc>
          <w:tcPr>
            <w:tcW w:type="dxa" w:w="1512"/>
            <w:shd w:val="clear" w:color="auto" w:fill="1F3864"/>
          </w:tcPr>
          <w:p>
            <w:r/>
            <w:r>
              <w:rPr>
                <w:b/>
                <w:color w:val="FFFFFF"/>
                <w:sz w:val="18"/>
              </w:rPr>
              <w:t>Date</w:t>
            </w:r>
          </w:p>
        </w:tc>
        <w:tc>
          <w:tcPr>
            <w:tcW w:type="dxa" w:w="3960"/>
            <w:shd w:val="clear" w:color="auto" w:fill="1F3864"/>
          </w:tcPr>
          <w:p>
            <w:r/>
            <w:r>
              <w:rPr>
                <w:b/>
                <w:color w:val="FFFFFF"/>
                <w:sz w:val="18"/>
              </w:rPr>
              <w:t>Event</w:t>
            </w:r>
          </w:p>
        </w:tc>
        <w:tc>
          <w:tcPr>
            <w:tcW w:type="dxa" w:w="1656"/>
            <w:shd w:val="clear" w:color="auto" w:fill="1F3864"/>
          </w:tcPr>
          <w:p>
            <w:r/>
            <w:r>
              <w:rPr>
                <w:b/>
                <w:color w:val="FFFFFF"/>
                <w:sz w:val="18"/>
              </w:rPr>
              <w:t>Source</w:t>
            </w:r>
          </w:p>
        </w:tc>
        <w:tc>
          <w:tcPr>
            <w:tcW w:type="dxa" w:w="5544"/>
            <w:shd w:val="clear" w:color="auto" w:fill="1F3864"/>
          </w:tcPr>
          <w:p>
            <w:r/>
            <w:r>
              <w:rPr>
                <w:b/>
                <w:color w:val="FFFFFF"/>
                <w:sz w:val="18"/>
              </w:rPr>
              <w:t>Strategic Annotation (SJ relevance)</w:t>
            </w:r>
          </w:p>
        </w:tc>
        <w:tc>
          <w:tcPr>
            <w:tcW w:type="dxa" w:w="1152"/>
            <w:shd w:val="clear" w:color="auto" w:fill="1F3864"/>
          </w:tcPr>
          <w:p>
            <w:r/>
            <w:r>
              <w:rPr>
                <w:b/>
                <w:color w:val="FFFFFF"/>
                <w:sz w:val="18"/>
              </w:rPr>
              <w:t>Impact</w:t>
            </w:r>
          </w:p>
        </w:tc>
      </w:tr>
      <w:tr>
        <w:tc>
          <w:tcPr>
            <w:tcW w:type="dxa" w:w="1512"/>
          </w:tcPr>
          <w:p>
            <w:pPr>
              <w:spacing w:after="20"/>
            </w:pPr>
            <w:r/>
            <w:r>
              <w:rPr>
                <w:b w:val="0"/>
                <w:i w:val="0"/>
                <w:sz w:val="18"/>
              </w:rPr>
              <w:t>June 8, 2022</w:t>
            </w:r>
          </w:p>
        </w:tc>
        <w:tc>
          <w:tcPr>
            <w:tcW w:type="dxa" w:w="3960"/>
          </w:tcPr>
          <w:p>
            <w:pPr>
              <w:spacing w:after="20"/>
            </w:pPr>
            <w:r/>
            <w:r>
              <w:rPr>
                <w:b w:val="0"/>
                <w:i w:val="0"/>
                <w:sz w:val="18"/>
              </w:rPr>
              <w:t xml:space="preserve">Holcomb → Yee: "Let's start with a small trial run — 2 pallets of the Trail Mix Bars. </w:t>
            </w:r>
            <w:r>
              <w:rPr>
                <w:b/>
                <w:i w:val="0"/>
                <w:sz w:val="18"/>
              </w:rPr>
              <w:t>Keep it quiet for now.</w:t>
            </w:r>
            <w:r>
              <w:rPr>
                <w:b w:val="0"/>
                <w:i w:val="0"/>
                <w:sz w:val="18"/>
              </w:rPr>
              <w:t xml:space="preserve">" Also: "I'd prefer to keep this informal and </w:t>
            </w:r>
            <w:r>
              <w:rPr>
                <w:b/>
                <w:i w:val="0"/>
                <w:sz w:val="18"/>
              </w:rPr>
              <w:t>off the books</w:t>
            </w:r>
            <w:r>
              <w:rPr>
                <w:b w:val="0"/>
                <w:i w:val="0"/>
                <w:sz w:val="18"/>
              </w:rPr>
              <w:t xml:space="preserve"> for now … I don't want retailers … to start asking questions."</w:t>
            </w:r>
          </w:p>
        </w:tc>
        <w:tc>
          <w:tcPr>
            <w:tcW w:type="dxa" w:w="1656"/>
          </w:tcPr>
          <w:p>
            <w:pPr>
              <w:spacing w:after="20"/>
            </w:pPr>
            <w:r/>
            <w:r>
              <w:rPr>
                <w:b w:val="0"/>
                <w:i w:val="0"/>
                <w:sz w:val="18"/>
              </w:rPr>
              <w:t>HYS (GRN-004217-18); Holcomb Dep. §IV</w:t>
            </w:r>
          </w:p>
        </w:tc>
        <w:tc>
          <w:tcPr>
            <w:tcW w:type="dxa" w:w="5544"/>
          </w:tcPr>
          <w:p>
            <w:pPr>
              <w:spacing w:after="20"/>
            </w:pPr>
            <w:r/>
            <w:r>
              <w:rPr>
                <w:b w:val="0"/>
                <w:i w:val="0"/>
                <w:sz w:val="18"/>
              </w:rPr>
              <w:t>Holcomb testified the phrase meant avoiding "confusion with the sales team." The full email (the "off the books" and retailer language, which the Complaint did not quote) contradicts that. Evidence of consciousness of wrongdoing for the implied covenant and fraud (concealment) claims.</w:t>
            </w:r>
          </w:p>
        </w:tc>
        <w:tc>
          <w:tcPr>
            <w:tcW w:type="dxa" w:w="1152"/>
            <w:shd w:val="clear" w:color="auto" w:fill="F4CCCC"/>
          </w:tcPr>
          <w:p>
            <w:r/>
            <w:r>
              <w:rPr>
                <w:b/>
                <w:sz w:val="16"/>
              </w:rPr>
              <w:t>ADVERSE</w:t>
            </w:r>
          </w:p>
        </w:tc>
      </w:tr>
      <w:tr>
        <w:tc>
          <w:tcPr>
            <w:tcW w:type="dxa" w:w="1512"/>
          </w:tcPr>
          <w:p>
            <w:pPr>
              <w:spacing w:after="20"/>
            </w:pPr>
            <w:r/>
            <w:r>
              <w:rPr>
                <w:b w:val="0"/>
                <w:i w:val="0"/>
                <w:sz w:val="18"/>
              </w:rPr>
              <w:t>June 10, 2022</w:t>
            </w:r>
          </w:p>
        </w:tc>
        <w:tc>
          <w:tcPr>
            <w:tcW w:type="dxa" w:w="3960"/>
          </w:tcPr>
          <w:p>
            <w:pPr>
              <w:spacing w:after="20"/>
            </w:pPr>
            <w:r/>
            <w:r>
              <w:rPr>
                <w:b w:val="0"/>
                <w:i w:val="0"/>
                <w:sz w:val="18"/>
              </w:rPr>
              <w:t>Yee: "I know Harborview handles Greenleaf distribution in this area — I've seen their trucks at a few of the same accounts." Holcomb: "On the Harborview thing — don't worry about it … we're managing the channel strategy internally." Yee names Bridgeport Market, Timberline Co-op, Riverstone Grocers.</w:t>
            </w:r>
          </w:p>
        </w:tc>
        <w:tc>
          <w:tcPr>
            <w:tcW w:type="dxa" w:w="1656"/>
          </w:tcPr>
          <w:p>
            <w:pPr>
              <w:spacing w:after="20"/>
            </w:pPr>
            <w:r/>
            <w:r>
              <w:rPr>
                <w:b w:val="0"/>
                <w:i w:val="0"/>
                <w:sz w:val="18"/>
              </w:rPr>
              <w:t>HYS (GRN-004219-22)</w:t>
            </w:r>
          </w:p>
        </w:tc>
        <w:tc>
          <w:tcPr>
            <w:tcW w:type="dxa" w:w="5544"/>
          </w:tcPr>
          <w:p>
            <w:pPr>
              <w:spacing w:after="20"/>
            </w:pPr>
            <w:r/>
            <w:r>
              <w:rPr>
                <w:b w:val="0"/>
                <w:i w:val="0"/>
                <w:sz w:val="18"/>
              </w:rPr>
              <w:t>Shows Cascade knew about Harborview's position. It also names specific retail accounts shared with Harborview, which Harborview can use to overcome Greenleaf's tortious-interference argument that no "specific relationship" is identified (Ans. ¶33).</w:t>
            </w:r>
          </w:p>
        </w:tc>
        <w:tc>
          <w:tcPr>
            <w:tcW w:type="dxa" w:w="1152"/>
            <w:shd w:val="clear" w:color="auto" w:fill="F4CCCC"/>
          </w:tcPr>
          <w:p>
            <w:r/>
            <w:r>
              <w:rPr>
                <w:b/>
                <w:sz w:val="16"/>
              </w:rPr>
              <w:t>ADVERSE</w:t>
            </w:r>
          </w:p>
        </w:tc>
      </w:tr>
      <w:tr>
        <w:tc>
          <w:tcPr>
            <w:tcW w:type="dxa" w:w="1512"/>
          </w:tcPr>
          <w:p>
            <w:pPr>
              <w:spacing w:after="20"/>
            </w:pPr>
            <w:r/>
            <w:r>
              <w:rPr>
                <w:b w:val="0"/>
                <w:i w:val="0"/>
                <w:sz w:val="18"/>
              </w:rPr>
              <w:t>June 22, 2022</w:t>
            </w:r>
          </w:p>
        </w:tc>
        <w:tc>
          <w:tcPr>
            <w:tcW w:type="dxa" w:w="3960"/>
          </w:tcPr>
          <w:p>
            <w:pPr>
              <w:spacing w:after="20"/>
            </w:pPr>
            <w:r/>
            <w:r>
              <w:rPr>
                <w:b w:val="0"/>
                <w:i w:val="0"/>
                <w:sz w:val="18"/>
              </w:rPr>
              <w:t>First Cascade shipment (2 pallets) scheduled, direct from 2750 NW Industrial Way to 600 SE Belmont.</w:t>
            </w:r>
          </w:p>
        </w:tc>
        <w:tc>
          <w:tcPr>
            <w:tcW w:type="dxa" w:w="1656"/>
          </w:tcPr>
          <w:p>
            <w:pPr>
              <w:spacing w:after="20"/>
            </w:pPr>
            <w:r/>
            <w:r>
              <w:rPr>
                <w:b w:val="0"/>
                <w:i w:val="0"/>
                <w:sz w:val="18"/>
              </w:rPr>
              <w:t>HYS</w:t>
            </w:r>
          </w:p>
        </w:tc>
        <w:tc>
          <w:tcPr>
            <w:tcW w:type="dxa" w:w="5544"/>
          </w:tcPr>
          <w:p>
            <w:pPr>
              <w:spacing w:after="20"/>
            </w:pPr>
            <w:r/>
            <w:r>
              <w:rPr>
                <w:b w:val="0"/>
                <w:i w:val="0"/>
                <w:sz w:val="18"/>
              </w:rPr>
              <w:t>Start of the §3.1 breach period. Harborview was in full compliance at this point, so the §3.1 "continued compliance" condition cannot excuse it.</w:t>
            </w:r>
          </w:p>
        </w:tc>
        <w:tc>
          <w:tcPr>
            <w:tcW w:type="dxa" w:w="1152"/>
            <w:shd w:val="clear" w:color="auto" w:fill="F4CCCC"/>
          </w:tcPr>
          <w:p>
            <w:r/>
            <w:r>
              <w:rPr>
                <w:b/>
                <w:sz w:val="16"/>
              </w:rPr>
              <w:t>ADVERSE</w:t>
            </w:r>
          </w:p>
        </w:tc>
      </w:tr>
      <w:tr>
        <w:tc>
          <w:tcPr>
            <w:tcW w:type="dxa" w:w="1512"/>
          </w:tcPr>
          <w:p>
            <w:pPr>
              <w:spacing w:after="20"/>
            </w:pPr>
            <w:r/>
            <w:r>
              <w:rPr>
                <w:b w:val="0"/>
                <w:i w:val="0"/>
                <w:sz w:val="18"/>
              </w:rPr>
              <w:t>June – Aug. 2022</w:t>
            </w:r>
          </w:p>
        </w:tc>
        <w:tc>
          <w:tcPr>
            <w:tcW w:type="dxa" w:w="3960"/>
          </w:tcPr>
          <w:p>
            <w:pPr>
              <w:spacing w:after="20"/>
            </w:pPr>
            <w:r/>
            <w:r>
              <w:rPr>
                <w:b w:val="0"/>
                <w:i w:val="0"/>
                <w:sz w:val="18"/>
              </w:rPr>
              <w:t xml:space="preserve">Cascade shipments ≈ </w:t>
            </w:r>
            <w:r>
              <w:rPr>
                <w:b/>
                <w:i w:val="0"/>
                <w:sz w:val="18"/>
              </w:rPr>
              <w:t>$420,000</w:t>
            </w:r>
            <w:r>
              <w:rPr>
                <w:b w:val="0"/>
                <w:i w:val="0"/>
                <w:sz w:val="18"/>
              </w:rPr>
              <w:t>.</w:t>
            </w:r>
          </w:p>
        </w:tc>
        <w:tc>
          <w:tcPr>
            <w:tcW w:type="dxa" w:w="1656"/>
          </w:tcPr>
          <w:p>
            <w:pPr>
              <w:spacing w:after="20"/>
            </w:pPr>
            <w:r/>
            <w:r>
              <w:rPr>
                <w:b w:val="0"/>
                <w:i w:val="0"/>
                <w:sz w:val="18"/>
              </w:rPr>
              <w:t>Holcomb Dep.; HYS (8/22); Chakrabarti</w:t>
            </w:r>
          </w:p>
        </w:tc>
        <w:tc>
          <w:tcPr>
            <w:tcW w:type="dxa" w:w="5544"/>
          </w:tcPr>
          <w:p>
            <w:pPr>
              <w:spacing w:after="20"/>
            </w:pPr>
            <w:r/>
            <w:r>
              <w:rPr>
                <w:b w:val="0"/>
                <w:i w:val="0"/>
                <w:sz w:val="18"/>
              </w:rPr>
              <w:t>Admitted. 18% = $75,600 (Category 1).</w:t>
            </w:r>
          </w:p>
        </w:tc>
        <w:tc>
          <w:tcPr>
            <w:tcW w:type="dxa" w:w="1152"/>
            <w:shd w:val="clear" w:color="auto" w:fill="F4CCCC"/>
          </w:tcPr>
          <w:p>
            <w:r/>
            <w:r>
              <w:rPr>
                <w:b/>
                <w:sz w:val="16"/>
              </w:rPr>
              <w:t>ADVERSE</w:t>
            </w:r>
          </w:p>
        </w:tc>
      </w:tr>
      <w:tr>
        <w:tc>
          <w:tcPr>
            <w:tcW w:type="dxa" w:w="1512"/>
          </w:tcPr>
          <w:p>
            <w:pPr>
              <w:spacing w:after="20"/>
            </w:pPr>
            <w:r/>
            <w:r>
              <w:rPr>
                <w:b w:val="0"/>
                <w:i w:val="0"/>
                <w:sz w:val="18"/>
              </w:rPr>
              <w:t>Aug. 22, 2022</w:t>
            </w:r>
          </w:p>
        </w:tc>
        <w:tc>
          <w:tcPr>
            <w:tcW w:type="dxa" w:w="3960"/>
          </w:tcPr>
          <w:p>
            <w:pPr>
              <w:spacing w:after="20"/>
            </w:pPr>
            <w:r/>
            <w:r>
              <w:rPr>
                <w:b w:val="0"/>
                <w:i w:val="0"/>
                <w:sz w:val="18"/>
              </w:rPr>
              <w:t xml:space="preserve">Holcomb → Stanton: "Cascade is moving product faster than Harborview in the Portland metro. We should think about transitioning." Recommends "phasing Harborview out of Portland metro in stages"; "I know we need to figure out the contract situation … </w:t>
            </w:r>
            <w:r>
              <w:rPr>
                <w:b/>
                <w:i w:val="0"/>
                <w:sz w:val="18"/>
              </w:rPr>
              <w:t>The EDA has specific terms around the territory.</w:t>
            </w:r>
            <w:r>
              <w:rPr>
                <w:b w:val="0"/>
                <w:i w:val="0"/>
                <w:sz w:val="18"/>
              </w:rPr>
              <w:t>" Asks whether to loop in Fong.</w:t>
            </w:r>
          </w:p>
        </w:tc>
        <w:tc>
          <w:tcPr>
            <w:tcW w:type="dxa" w:w="1656"/>
          </w:tcPr>
          <w:p>
            <w:pPr>
              <w:spacing w:after="20"/>
            </w:pPr>
            <w:r/>
            <w:r>
              <w:rPr>
                <w:b w:val="0"/>
                <w:i w:val="0"/>
                <w:sz w:val="18"/>
              </w:rPr>
              <w:t>HYS (GRN-004223-25); Holcomb Dep. §IV</w:t>
            </w:r>
          </w:p>
        </w:tc>
        <w:tc>
          <w:tcPr>
            <w:tcW w:type="dxa" w:w="5544"/>
          </w:tcPr>
          <w:p>
            <w:pPr>
              <w:spacing w:after="20"/>
            </w:pPr>
            <w:r/>
            <w:r>
              <w:rPr>
                <w:b w:val="0"/>
                <w:i w:val="0"/>
                <w:sz w:val="18"/>
              </w:rPr>
              <w:t xml:space="preserve">Holcomb called this "brainstorming," but the email contains a staged phase-out plan. It also shows contemporaneous awareness of the territorial restriction, which undercuts his "relied on internal guidance" testimony. </w:t>
            </w:r>
            <w:r>
              <w:rPr>
                <w:b/>
                <w:i w:val="0"/>
                <w:sz w:val="18"/>
              </w:rPr>
              <w:t>Favorable nugget:</w:t>
            </w:r>
            <w:r>
              <w:rPr>
                <w:b w:val="0"/>
                <w:i w:val="0"/>
                <w:sz w:val="18"/>
              </w:rPr>
              <w:t xml:space="preserve"> documented sell-through comparison (9 vs. 17 days; 48-hour vs. 5–6 day reorder cycle) supports a legitimate business-reason theme and a comparative-fault / mitigation defense. It does not excuse a §3.1 breach.</w:t>
            </w:r>
          </w:p>
        </w:tc>
        <w:tc>
          <w:tcPr>
            <w:tcW w:type="dxa" w:w="1152"/>
            <w:shd w:val="clear" w:color="auto" w:fill="FFF2CC"/>
          </w:tcPr>
          <w:p>
            <w:r/>
            <w:r>
              <w:rPr>
                <w:b/>
                <w:sz w:val="16"/>
              </w:rPr>
              <w:t>MIXED</w:t>
            </w:r>
          </w:p>
        </w:tc>
      </w:tr>
      <w:tr>
        <w:tc>
          <w:tcPr>
            <w:tcW w:type="dxa" w:w="1512"/>
          </w:tcPr>
          <w:p>
            <w:pPr>
              <w:spacing w:after="20"/>
            </w:pPr>
            <w:r/>
            <w:r>
              <w:rPr>
                <w:b w:val="0"/>
                <w:i w:val="0"/>
                <w:sz w:val="18"/>
              </w:rPr>
              <w:t>Aug. 23, 2022</w:t>
            </w:r>
          </w:p>
        </w:tc>
        <w:tc>
          <w:tcPr>
            <w:tcW w:type="dxa" w:w="3960"/>
          </w:tcPr>
          <w:p>
            <w:pPr>
              <w:spacing w:after="20"/>
            </w:pPr>
            <w:r/>
            <w:r>
              <w:rPr>
                <w:b/>
                <w:i w:val="0"/>
                <w:sz w:val="18"/>
              </w:rPr>
              <w:t>Stanton → Holcomb:</w:t>
            </w:r>
            <w:r>
              <w:rPr>
                <w:b w:val="0"/>
                <w:i w:val="0"/>
                <w:sz w:val="18"/>
              </w:rPr>
              <w:t xml:space="preserve"> "Continue scaling the Cascade arrangement … Let's be aggressive"; "keep the Cascade shipments on separate invoicing and </w:t>
            </w:r>
            <w:r>
              <w:rPr>
                <w:b/>
                <w:i w:val="0"/>
                <w:sz w:val="18"/>
              </w:rPr>
              <w:t>not run them through the Harborview account codes</w:t>
            </w:r>
            <w:r>
              <w:rPr>
                <w:b w:val="0"/>
                <w:i w:val="0"/>
                <w:sz w:val="18"/>
              </w:rPr>
              <w:t xml:space="preserve">"; "If Harborview finds out … I want to make sure we have </w:t>
            </w:r>
            <w:r>
              <w:rPr>
                <w:b/>
                <w:i w:val="0"/>
                <w:sz w:val="18"/>
              </w:rPr>
              <w:t>leverage</w:t>
            </w:r>
            <w:r>
              <w:rPr>
                <w:b w:val="0"/>
                <w:i w:val="0"/>
                <w:sz w:val="18"/>
              </w:rPr>
              <w:t xml:space="preserve">"; "Don't loop [Fong] in on the Cascade routing. </w:t>
            </w:r>
            <w:r>
              <w:rPr>
                <w:b/>
                <w:i w:val="0"/>
                <w:sz w:val="18"/>
              </w:rPr>
              <w:t>I'll handle the QA side separately.</w:t>
            </w:r>
            <w:r>
              <w:rPr>
                <w:b w:val="0"/>
                <w:i w:val="0"/>
                <w:sz w:val="18"/>
              </w:rPr>
              <w:t>" Keep "off the general agenda."</w:t>
            </w:r>
          </w:p>
        </w:tc>
        <w:tc>
          <w:tcPr>
            <w:tcW w:type="dxa" w:w="1656"/>
          </w:tcPr>
          <w:p>
            <w:pPr>
              <w:spacing w:after="20"/>
            </w:pPr>
            <w:r/>
            <w:r>
              <w:rPr>
                <w:b w:val="0"/>
                <w:i w:val="0"/>
                <w:sz w:val="18"/>
              </w:rPr>
              <w:t>HYS (GRN-004226-27)</w:t>
            </w:r>
          </w:p>
        </w:tc>
        <w:tc>
          <w:tcPr>
            <w:tcW w:type="dxa" w:w="5544"/>
          </w:tcPr>
          <w:p>
            <w:pPr>
              <w:spacing w:after="20"/>
            </w:pPr>
            <w:r/>
            <w:r>
              <w:rPr>
                <w:b/>
                <w:i w:val="0"/>
                <w:sz w:val="18"/>
              </w:rPr>
              <w:t>Single most damaging document.</w:t>
            </w:r>
            <w:r>
              <w:rPr>
                <w:b w:val="0"/>
                <w:i w:val="0"/>
                <w:sz w:val="18"/>
              </w:rPr>
              <w:t xml:space="preserve"> It establishes CEO knowledge of and direction over the diversion, concealment in the books, and a link between the Cascade strategy and QA three weeks before the QA directive. It contradicts Ans. ¶25 (denying Stanton influenced selective QA). It supports intent for implied covenant, fraud, punitive damages and the "improper means" element of interference. Stanton must be prepared on this before her deposition.</w:t>
            </w:r>
          </w:p>
        </w:tc>
        <w:tc>
          <w:tcPr>
            <w:tcW w:type="dxa" w:w="1152"/>
            <w:shd w:val="clear" w:color="auto" w:fill="F4CCCC"/>
          </w:tcPr>
          <w:p>
            <w:r/>
            <w:r>
              <w:rPr>
                <w:b/>
                <w:sz w:val="16"/>
              </w:rPr>
              <w:t>ADVERSE</w:t>
            </w:r>
          </w:p>
        </w:tc>
      </w:tr>
      <w:tr>
        <w:tc>
          <w:tcPr>
            <w:tcW w:type="dxa" w:w="1512"/>
          </w:tcPr>
          <w:p>
            <w:pPr>
              <w:spacing w:after="20"/>
            </w:pPr>
            <w:r/>
            <w:r>
              <w:rPr>
                <w:b w:val="0"/>
                <w:i w:val="0"/>
                <w:sz w:val="18"/>
              </w:rPr>
              <w:t>Sept. 6, 2022</w:t>
            </w:r>
          </w:p>
        </w:tc>
        <w:tc>
          <w:tcPr>
            <w:tcW w:type="dxa" w:w="3960"/>
          </w:tcPr>
          <w:p>
            <w:pPr>
              <w:spacing w:after="20"/>
            </w:pPr>
            <w:r/>
            <w:r>
              <w:rPr>
                <w:b w:val="0"/>
                <w:i w:val="0"/>
                <w:sz w:val="18"/>
              </w:rPr>
              <w:t xml:space="preserve">Holcomb → Yee: fall allocation of 28 pallets/month, about $630K for Sept–Nov; "we may need to </w:t>
            </w:r>
            <w:r>
              <w:rPr>
                <w:b/>
                <w:i w:val="0"/>
                <w:sz w:val="18"/>
              </w:rPr>
              <w:t>adjust shipments to some of our other channels</w:t>
            </w:r>
            <w:r>
              <w:rPr>
                <w:b w:val="0"/>
                <w:i w:val="0"/>
                <w:sz w:val="18"/>
              </w:rPr>
              <w:t xml:space="preserve"> to accommodate your increased allocation. Production capacity is finite." Increased routing starts "the week of September 19."</w:t>
            </w:r>
          </w:p>
        </w:tc>
        <w:tc>
          <w:tcPr>
            <w:tcW w:type="dxa" w:w="1656"/>
          </w:tcPr>
          <w:p>
            <w:pPr>
              <w:spacing w:after="20"/>
            </w:pPr>
            <w:r/>
            <w:r>
              <w:rPr>
                <w:b w:val="0"/>
                <w:i w:val="0"/>
                <w:sz w:val="18"/>
              </w:rPr>
              <w:t>HYS (GRN-004228-29)</w:t>
            </w:r>
          </w:p>
        </w:tc>
        <w:tc>
          <w:tcPr>
            <w:tcW w:type="dxa" w:w="5544"/>
          </w:tcPr>
          <w:p>
            <w:pPr>
              <w:spacing w:after="20"/>
            </w:pPr>
            <w:r/>
            <w:r>
              <w:rPr>
                <w:b w:val="0"/>
                <w:i w:val="0"/>
                <w:sz w:val="18"/>
              </w:rPr>
              <w:t>Direct evidence that the diversion reduced supply available to Harborview (the causation element of the counterclaim defense). The Sept. 19 start date is the same day the enhanced QA protocol began.</w:t>
            </w:r>
          </w:p>
        </w:tc>
        <w:tc>
          <w:tcPr>
            <w:tcW w:type="dxa" w:w="1152"/>
            <w:shd w:val="clear" w:color="auto" w:fill="F4CCCC"/>
          </w:tcPr>
          <w:p>
            <w:r/>
            <w:r>
              <w:rPr>
                <w:b/>
                <w:sz w:val="16"/>
              </w:rPr>
              <w:t>ADVERSE</w:t>
            </w:r>
          </w:p>
        </w:tc>
      </w:tr>
      <w:tr>
        <w:tc>
          <w:tcPr>
            <w:tcW w:type="dxa" w:w="1512"/>
          </w:tcPr>
          <w:p>
            <w:pPr>
              <w:spacing w:after="20"/>
            </w:pPr>
            <w:r/>
            <w:r>
              <w:rPr>
                <w:b w:val="0"/>
                <w:i w:val="0"/>
                <w:sz w:val="18"/>
              </w:rPr>
              <w:t>Sept. – Nov. 2022</w:t>
            </w:r>
          </w:p>
        </w:tc>
        <w:tc>
          <w:tcPr>
            <w:tcW w:type="dxa" w:w="3960"/>
          </w:tcPr>
          <w:p>
            <w:pPr>
              <w:spacing w:after="20"/>
            </w:pPr>
            <w:r/>
            <w:r>
              <w:rPr>
                <w:b w:val="0"/>
                <w:i w:val="0"/>
                <w:sz w:val="18"/>
              </w:rPr>
              <w:t xml:space="preserve">Cascade shipments ≈ </w:t>
            </w:r>
            <w:r>
              <w:rPr>
                <w:b/>
                <w:i w:val="0"/>
                <w:sz w:val="18"/>
              </w:rPr>
              <w:t>$630,000</w:t>
            </w:r>
            <w:r>
              <w:rPr>
                <w:b w:val="0"/>
                <w:i w:val="0"/>
                <w:sz w:val="18"/>
              </w:rPr>
              <w:t>.</w:t>
            </w:r>
          </w:p>
        </w:tc>
        <w:tc>
          <w:tcPr>
            <w:tcW w:type="dxa" w:w="1656"/>
          </w:tcPr>
          <w:p>
            <w:pPr>
              <w:spacing w:after="20"/>
            </w:pPr>
            <w:r/>
            <w:r>
              <w:rPr>
                <w:b w:val="0"/>
                <w:i w:val="0"/>
                <w:sz w:val="18"/>
              </w:rPr>
              <w:t>Holcomb Dep.; Chakrabarti</w:t>
            </w:r>
          </w:p>
        </w:tc>
        <w:tc>
          <w:tcPr>
            <w:tcW w:type="dxa" w:w="5544"/>
          </w:tcPr>
          <w:p>
            <w:pPr>
              <w:spacing w:after="20"/>
            </w:pPr>
            <w:r/>
            <w:r>
              <w:rPr>
                <w:b w:val="0"/>
                <w:i w:val="0"/>
                <w:sz w:val="18"/>
              </w:rPr>
              <w:t>18% = $113,400.</w:t>
            </w:r>
          </w:p>
        </w:tc>
        <w:tc>
          <w:tcPr>
            <w:tcW w:type="dxa" w:w="1152"/>
            <w:shd w:val="clear" w:color="auto" w:fill="F4CCCC"/>
          </w:tcPr>
          <w:p>
            <w:r/>
            <w:r>
              <w:rPr>
                <w:b/>
                <w:sz w:val="16"/>
              </w:rPr>
              <w:t>ADVERSE</w:t>
            </w:r>
          </w:p>
        </w:tc>
      </w:tr>
      <w:tr>
        <w:tc>
          <w:tcPr>
            <w:tcW w:type="dxa" w:w="1512"/>
          </w:tcPr>
          <w:p>
            <w:pPr>
              <w:spacing w:after="20"/>
            </w:pPr>
            <w:r/>
            <w:r>
              <w:rPr>
                <w:b w:val="0"/>
                <w:i w:val="0"/>
                <w:sz w:val="18"/>
              </w:rPr>
              <w:t>Dec. 2022 – Feb. 2023</w:t>
            </w:r>
          </w:p>
        </w:tc>
        <w:tc>
          <w:tcPr>
            <w:tcW w:type="dxa" w:w="3960"/>
          </w:tcPr>
          <w:p>
            <w:pPr>
              <w:spacing w:after="20"/>
            </w:pPr>
            <w:r/>
            <w:r>
              <w:rPr>
                <w:b w:val="0"/>
                <w:i w:val="0"/>
                <w:sz w:val="18"/>
              </w:rPr>
              <w:t xml:space="preserve">Cascade shipments ≈ </w:t>
            </w:r>
            <w:r>
              <w:rPr>
                <w:b/>
                <w:i w:val="0"/>
                <w:sz w:val="18"/>
              </w:rPr>
              <w:t>$850,000</w:t>
            </w:r>
            <w:r>
              <w:rPr>
                <w:b w:val="0"/>
                <w:i w:val="0"/>
                <w:sz w:val="18"/>
              </w:rPr>
              <w:t xml:space="preserve"> (total June 2022–Feb. 2023 ≈ </w:t>
            </w:r>
            <w:r>
              <w:rPr>
                <w:b/>
                <w:i w:val="0"/>
                <w:sz w:val="18"/>
              </w:rPr>
              <w:t>$1.9M</w:t>
            </w:r>
            <w:r>
              <w:rPr>
                <w:b w:val="0"/>
                <w:i w:val="0"/>
                <w:sz w:val="18"/>
              </w:rPr>
              <w:t>, all in Oregon).</w:t>
            </w:r>
          </w:p>
        </w:tc>
        <w:tc>
          <w:tcPr>
            <w:tcW w:type="dxa" w:w="1656"/>
          </w:tcPr>
          <w:p>
            <w:pPr>
              <w:spacing w:after="20"/>
            </w:pPr>
            <w:r/>
            <w:r>
              <w:rPr>
                <w:b w:val="0"/>
                <w:i w:val="0"/>
                <w:sz w:val="18"/>
              </w:rPr>
              <w:t>Holcomb Dep.; Compl. ¶26</w:t>
            </w:r>
          </w:p>
        </w:tc>
        <w:tc>
          <w:tcPr>
            <w:tcW w:type="dxa" w:w="5544"/>
          </w:tcPr>
          <w:p>
            <w:pPr>
              <w:spacing w:after="20"/>
            </w:pPr>
            <w:r/>
            <w:r>
              <w:rPr>
                <w:b w:val="0"/>
                <w:i w:val="0"/>
                <w:sz w:val="18"/>
              </w:rPr>
              <w:t>Escalation ($420K → $630K → $850K) continued through the cure period. Greenleaf was diverting product while demanding that Harborview "cure" by buying more. This is powerful for prevention and bad faith, and undermines Ans. ¶19 ("de minimis"): $1.9M ≈ 33% of Harborview's Year 3 purchases.</w:t>
            </w:r>
          </w:p>
        </w:tc>
        <w:tc>
          <w:tcPr>
            <w:tcW w:type="dxa" w:w="1152"/>
            <w:shd w:val="clear" w:color="auto" w:fill="F4CCCC"/>
          </w:tcPr>
          <w:p>
            <w:r/>
            <w:r>
              <w:rPr>
                <w:b/>
                <w:sz w:val="16"/>
              </w:rPr>
              <w:t>ADVERSE</w:t>
            </w:r>
          </w:p>
        </w:tc>
      </w:tr>
    </w:tbl>
    <w:p>
      <w:pPr>
        <w:spacing w:after="40"/>
      </w:pPr>
    </w:p>
    <w:p>
      <w:pPr>
        <w:pStyle w:val="Heading2"/>
      </w:pPr>
      <w:r>
        <w:t>Phase III — Selective QA Enforcement (September 2022 – February 2023)</w:t>
      </w:r>
    </w:p>
    <w:tbl>
      <w:tblPr>
        <w:tblStyle w:val="TableGrid"/>
        <w:tblW w:type="auto" w:w="0"/>
        <w:jc w:val="center"/>
        <w:tblLayout w:type="fixed"/>
        <w:tblLook w:firstColumn="1" w:firstRow="1" w:lastColumn="0" w:lastRow="0" w:noHBand="0" w:noVBand="1" w:val="04A0"/>
      </w:tblPr>
      <w:tblGrid>
        <w:gridCol w:w="2765"/>
        <w:gridCol w:w="2765"/>
        <w:gridCol w:w="2765"/>
        <w:gridCol w:w="2765"/>
        <w:gridCol w:w="2765"/>
      </w:tblGrid>
      <w:tr>
        <w:trPr>
          <w:tblHeader w:val="true"/>
        </w:trPr>
        <w:tc>
          <w:tcPr>
            <w:tcW w:type="dxa" w:w="1512"/>
            <w:shd w:val="clear" w:color="auto" w:fill="1F3864"/>
          </w:tcPr>
          <w:p>
            <w:r/>
            <w:r>
              <w:rPr>
                <w:b/>
                <w:color w:val="FFFFFF"/>
                <w:sz w:val="18"/>
              </w:rPr>
              <w:t>Date</w:t>
            </w:r>
          </w:p>
        </w:tc>
        <w:tc>
          <w:tcPr>
            <w:tcW w:type="dxa" w:w="3960"/>
            <w:shd w:val="clear" w:color="auto" w:fill="1F3864"/>
          </w:tcPr>
          <w:p>
            <w:r/>
            <w:r>
              <w:rPr>
                <w:b/>
                <w:color w:val="FFFFFF"/>
                <w:sz w:val="18"/>
              </w:rPr>
              <w:t>Event</w:t>
            </w:r>
          </w:p>
        </w:tc>
        <w:tc>
          <w:tcPr>
            <w:tcW w:type="dxa" w:w="1656"/>
            <w:shd w:val="clear" w:color="auto" w:fill="1F3864"/>
          </w:tcPr>
          <w:p>
            <w:r/>
            <w:r>
              <w:rPr>
                <w:b/>
                <w:color w:val="FFFFFF"/>
                <w:sz w:val="18"/>
              </w:rPr>
              <w:t>Source</w:t>
            </w:r>
          </w:p>
        </w:tc>
        <w:tc>
          <w:tcPr>
            <w:tcW w:type="dxa" w:w="5544"/>
            <w:shd w:val="clear" w:color="auto" w:fill="1F3864"/>
          </w:tcPr>
          <w:p>
            <w:r/>
            <w:r>
              <w:rPr>
                <w:b/>
                <w:color w:val="FFFFFF"/>
                <w:sz w:val="18"/>
              </w:rPr>
              <w:t>Strategic Annotation (SJ relevance)</w:t>
            </w:r>
          </w:p>
        </w:tc>
        <w:tc>
          <w:tcPr>
            <w:tcW w:type="dxa" w:w="1152"/>
            <w:shd w:val="clear" w:color="auto" w:fill="1F3864"/>
          </w:tcPr>
          <w:p>
            <w:r/>
            <w:r>
              <w:rPr>
                <w:b/>
                <w:color w:val="FFFFFF"/>
                <w:sz w:val="18"/>
              </w:rPr>
              <w:t>Impact</w:t>
            </w:r>
          </w:p>
        </w:tc>
      </w:tr>
      <w:tr>
        <w:tc>
          <w:tcPr>
            <w:tcW w:type="dxa" w:w="1512"/>
          </w:tcPr>
          <w:p>
            <w:pPr>
              <w:spacing w:after="20"/>
            </w:pPr>
            <w:r/>
            <w:r>
              <w:rPr>
                <w:b w:val="0"/>
                <w:i w:val="0"/>
                <w:sz w:val="18"/>
              </w:rPr>
              <w:t>Sept. 12, 2022</w:t>
            </w:r>
          </w:p>
        </w:tc>
        <w:tc>
          <w:tcPr>
            <w:tcW w:type="dxa" w:w="3960"/>
          </w:tcPr>
          <w:p>
            <w:pPr>
              <w:spacing w:after="20"/>
            </w:pPr>
            <w:r/>
            <w:r>
              <w:rPr>
                <w:b w:val="0"/>
                <w:i w:val="0"/>
                <w:sz w:val="18"/>
              </w:rPr>
              <w:t xml:space="preserve">Lot H-2201 rejected under the </w:t>
            </w:r>
            <w:r>
              <w:rPr>
                <w:b/>
                <w:i w:val="0"/>
                <w:sz w:val="18"/>
              </w:rPr>
              <w:t>Standard</w:t>
            </w:r>
            <w:r>
              <w:rPr>
                <w:b w:val="0"/>
                <w:i w:val="0"/>
                <w:sz w:val="18"/>
              </w:rPr>
              <w:t xml:space="preserve"> protocol (moisture 12.3% vs. 12.0% max; $86,400). The Log notes this was the last Standard-protocol lot before the directive.</w:t>
            </w:r>
          </w:p>
        </w:tc>
        <w:tc>
          <w:tcPr>
            <w:tcW w:type="dxa" w:w="1656"/>
          </w:tcPr>
          <w:p>
            <w:pPr>
              <w:spacing w:after="20"/>
            </w:pPr>
            <w:r/>
            <w:r>
              <w:rPr>
                <w:b w:val="0"/>
                <w:i w:val="0"/>
                <w:sz w:val="18"/>
              </w:rPr>
              <w:t>Log</w:t>
            </w:r>
          </w:p>
        </w:tc>
        <w:tc>
          <w:tcPr>
            <w:tcW w:type="dxa" w:w="5544"/>
          </w:tcPr>
          <w:p>
            <w:pPr>
              <w:spacing w:after="20"/>
            </w:pPr>
            <w:r/>
            <w:r>
              <w:rPr>
                <w:b w:val="0"/>
                <w:i w:val="0"/>
                <w:sz w:val="18"/>
              </w:rPr>
              <w:t xml:space="preserve">The only Harborview rejection in the Log that exceeded the standard threshold. </w:t>
            </w:r>
            <w:r>
              <w:rPr>
                <w:b/>
                <w:i w:val="0"/>
                <w:sz w:val="18"/>
              </w:rPr>
              <w:t>Conflict:</w:t>
            </w:r>
            <w:r>
              <w:rPr>
                <w:b w:val="0"/>
                <w:i w:val="0"/>
                <w:sz w:val="18"/>
              </w:rPr>
              <w:t xml:space="preserve"> Buckley lists H-2201 as a Sept. 8 granola lot rejected for coliform (45 CFU/g, $92,400) and calls it unjustified.</w:t>
            </w:r>
          </w:p>
        </w:tc>
        <w:tc>
          <w:tcPr>
            <w:tcW w:type="dxa" w:w="1152"/>
            <w:shd w:val="clear" w:color="auto" w:fill="FFF2CC"/>
          </w:tcPr>
          <w:p>
            <w:r/>
            <w:r>
              <w:rPr>
                <w:b/>
                <w:sz w:val="16"/>
              </w:rPr>
              <w:t>MIXED</w:t>
            </w:r>
          </w:p>
        </w:tc>
      </w:tr>
      <w:tr>
        <w:tc>
          <w:tcPr>
            <w:tcW w:type="dxa" w:w="1512"/>
          </w:tcPr>
          <w:p>
            <w:pPr>
              <w:spacing w:after="20"/>
            </w:pPr>
            <w:r/>
            <w:r>
              <w:rPr>
                <w:b w:val="0"/>
                <w:i w:val="0"/>
                <w:sz w:val="18"/>
              </w:rPr>
              <w:t>Sept. 14, 2022</w:t>
            </w:r>
          </w:p>
        </w:tc>
        <w:tc>
          <w:tcPr>
            <w:tcW w:type="dxa" w:w="3960"/>
          </w:tcPr>
          <w:p>
            <w:pPr>
              <w:spacing w:after="20"/>
            </w:pPr>
            <w:r/>
            <w:r>
              <w:rPr>
                <w:b/>
                <w:i w:val="0"/>
                <w:sz w:val="18"/>
              </w:rPr>
              <w:t>Stanton → Fong:</w:t>
            </w:r>
            <w:r>
              <w:rPr>
                <w:b w:val="0"/>
                <w:i w:val="0"/>
                <w:sz w:val="18"/>
              </w:rPr>
              <w:t xml:space="preserve"> "Can we tighten up QA on the Harborview batches? I want to make sure we're holding them to the highest standard." Cites unspecified "feedback about quality inconsistencies in the field." Directs enhanced screening "on all lots destined for Harborview."</w:t>
            </w:r>
          </w:p>
        </w:tc>
        <w:tc>
          <w:tcPr>
            <w:tcW w:type="dxa" w:w="1656"/>
          </w:tcPr>
          <w:p>
            <w:pPr>
              <w:spacing w:after="20"/>
            </w:pPr>
            <w:r/>
            <w:r>
              <w:rPr>
                <w:b w:val="0"/>
                <w:i w:val="0"/>
                <w:sz w:val="18"/>
              </w:rPr>
              <w:t>SF (GL-PROD-004217); Fong Dep. Ex. 5; Buckley (cites as GL-QA-00412-13)</w:t>
            </w:r>
          </w:p>
        </w:tc>
        <w:tc>
          <w:tcPr>
            <w:tcW w:type="dxa" w:w="5544"/>
          </w:tcPr>
          <w:p>
            <w:pPr>
              <w:spacing w:after="20"/>
            </w:pPr>
            <w:r/>
            <w:r>
              <w:rPr>
                <w:b w:val="0"/>
                <w:i w:val="0"/>
                <w:sz w:val="18"/>
              </w:rPr>
              <w:t xml:space="preserve">The facially neutral "brand integrity" language is Greenleaf's best good-faith hook, but only if the "field feedback" can be documented (customer complaints, §7.3 distributor notices, retailer reports). None appears in the file. Follow up with a targeted search before the SJ brief. </w:t>
            </w:r>
            <w:r>
              <w:rPr>
                <w:b/>
                <w:i w:val="0"/>
                <w:sz w:val="18"/>
              </w:rPr>
              <w:t>Bates discrepancy:</w:t>
            </w:r>
            <w:r>
              <w:rPr>
                <w:b w:val="0"/>
                <w:i w:val="0"/>
                <w:sz w:val="18"/>
              </w:rPr>
              <w:t xml:space="preserve"> Buckley cites GL-QA-series numbers that do not match the produced GL-PROD numbers.</w:t>
            </w:r>
          </w:p>
        </w:tc>
        <w:tc>
          <w:tcPr>
            <w:tcW w:type="dxa" w:w="1152"/>
            <w:shd w:val="clear" w:color="auto" w:fill="F4CCCC"/>
          </w:tcPr>
          <w:p>
            <w:r/>
            <w:r>
              <w:rPr>
                <w:b/>
                <w:sz w:val="16"/>
              </w:rPr>
              <w:t>ADVERSE</w:t>
            </w:r>
          </w:p>
        </w:tc>
      </w:tr>
      <w:tr>
        <w:tc>
          <w:tcPr>
            <w:tcW w:type="dxa" w:w="1512"/>
          </w:tcPr>
          <w:p>
            <w:pPr>
              <w:spacing w:after="20"/>
            </w:pPr>
            <w:r/>
            <w:r>
              <w:rPr>
                <w:b w:val="0"/>
                <w:i w:val="0"/>
                <w:sz w:val="18"/>
              </w:rPr>
              <w:t>Sept. 15, 2022 (9:12 a.m.)</w:t>
            </w:r>
          </w:p>
        </w:tc>
        <w:tc>
          <w:tcPr>
            <w:tcW w:type="dxa" w:w="3960"/>
          </w:tcPr>
          <w:p>
            <w:pPr>
              <w:spacing w:after="20"/>
            </w:pPr>
            <w:r/>
            <w:r>
              <w:rPr>
                <w:b w:val="0"/>
                <w:i w:val="0"/>
                <w:sz w:val="18"/>
              </w:rPr>
              <w:t>Fong → Stanton: asks whether to apply the enhanced protocol to all channels because best practice is "consistent screening across all outgoing product regardless of destination"; describes the thresholds in writing (seal tolerance ±3mm → ±1.5mm; composite microbial pulls on every lot; secondary visual station); warns rejections will rise "not necessarily because the product is bad — just because we're drawing the line in a different place."</w:t>
            </w:r>
          </w:p>
        </w:tc>
        <w:tc>
          <w:tcPr>
            <w:tcW w:type="dxa" w:w="1656"/>
          </w:tcPr>
          <w:p>
            <w:pPr>
              <w:spacing w:after="20"/>
            </w:pPr>
            <w:r/>
            <w:r>
              <w:rPr>
                <w:b w:val="0"/>
                <w:i w:val="0"/>
                <w:sz w:val="18"/>
              </w:rPr>
              <w:t>SF (GL-PROD-004218)</w:t>
            </w:r>
          </w:p>
        </w:tc>
        <w:tc>
          <w:tcPr>
            <w:tcW w:type="dxa" w:w="5544"/>
          </w:tcPr>
          <w:p>
            <w:pPr>
              <w:spacing w:after="20"/>
            </w:pPr>
            <w:r/>
            <w:r>
              <w:rPr>
                <w:b/>
                <w:i w:val="0"/>
                <w:sz w:val="18"/>
              </w:rPr>
              <w:t>Impeaches Fong Dep.</w:t>
            </w:r>
            <w:r>
              <w:rPr>
                <w:b w:val="0"/>
                <w:i w:val="0"/>
                <w:sz w:val="18"/>
              </w:rPr>
              <w:t xml:space="preserve"> She testified that no written record of the enhanced thresholds was created "at any time" and that she did not push back. This email is both. It also proves management was told in advance that the protocol would reject conforming product.</w:t>
            </w:r>
          </w:p>
        </w:tc>
        <w:tc>
          <w:tcPr>
            <w:tcW w:type="dxa" w:w="1152"/>
            <w:shd w:val="clear" w:color="auto" w:fill="F4CCCC"/>
          </w:tcPr>
          <w:p>
            <w:r/>
            <w:r>
              <w:rPr>
                <w:b/>
                <w:sz w:val="16"/>
              </w:rPr>
              <w:t>ADVERSE</w:t>
            </w:r>
          </w:p>
        </w:tc>
      </w:tr>
      <w:tr>
        <w:tc>
          <w:tcPr>
            <w:tcW w:type="dxa" w:w="1512"/>
          </w:tcPr>
          <w:p>
            <w:pPr>
              <w:spacing w:after="20"/>
            </w:pPr>
            <w:r/>
            <w:r>
              <w:rPr>
                <w:b w:val="0"/>
                <w:i w:val="0"/>
                <w:sz w:val="18"/>
              </w:rPr>
              <w:t>Sept. 15, 2022 (10:03 a.m.)</w:t>
            </w:r>
          </w:p>
        </w:tc>
        <w:tc>
          <w:tcPr>
            <w:tcW w:type="dxa" w:w="3960"/>
          </w:tcPr>
          <w:p>
            <w:pPr>
              <w:spacing w:after="20"/>
            </w:pPr>
            <w:r/>
            <w:r>
              <w:rPr>
                <w:b w:val="0"/>
                <w:i w:val="0"/>
                <w:sz w:val="18"/>
              </w:rPr>
              <w:t xml:space="preserve">Stanton → Fong: "Let's keep it </w:t>
            </w:r>
            <w:r>
              <w:rPr>
                <w:b/>
                <w:i w:val="0"/>
                <w:sz w:val="18"/>
              </w:rPr>
              <w:t>targeted to Harborview batches</w:t>
            </w:r>
            <w:r>
              <w:rPr>
                <w:b w:val="0"/>
                <w:i w:val="0"/>
                <w:sz w:val="18"/>
              </w:rPr>
              <w:t xml:space="preserve"> for now … Go ahead and get it started Monday."</w:t>
            </w:r>
          </w:p>
        </w:tc>
        <w:tc>
          <w:tcPr>
            <w:tcW w:type="dxa" w:w="1656"/>
          </w:tcPr>
          <w:p>
            <w:pPr>
              <w:spacing w:after="20"/>
            </w:pPr>
            <w:r/>
            <w:r>
              <w:rPr>
                <w:b w:val="0"/>
                <w:i w:val="0"/>
                <w:sz w:val="18"/>
              </w:rPr>
              <w:t>SF (GL-PROD-004219)</w:t>
            </w:r>
          </w:p>
        </w:tc>
        <w:tc>
          <w:tcPr>
            <w:tcW w:type="dxa" w:w="5544"/>
          </w:tcPr>
          <w:p>
            <w:pPr>
              <w:spacing w:after="20"/>
            </w:pPr>
            <w:r/>
            <w:r>
              <w:rPr>
                <w:b w:val="0"/>
                <w:i w:val="0"/>
                <w:sz w:val="18"/>
              </w:rPr>
              <w:t>CEO-level decision to discriminate after the QA director raised best practice. Defeats any "rogue employee" or independent-judgment theory (Ans. ¶24).</w:t>
            </w:r>
          </w:p>
        </w:tc>
        <w:tc>
          <w:tcPr>
            <w:tcW w:type="dxa" w:w="1152"/>
            <w:shd w:val="clear" w:color="auto" w:fill="F4CCCC"/>
          </w:tcPr>
          <w:p>
            <w:r/>
            <w:r>
              <w:rPr>
                <w:b/>
                <w:sz w:val="16"/>
              </w:rPr>
              <w:t>ADVERSE</w:t>
            </w:r>
          </w:p>
        </w:tc>
      </w:tr>
      <w:tr>
        <w:tc>
          <w:tcPr>
            <w:tcW w:type="dxa" w:w="1512"/>
          </w:tcPr>
          <w:p>
            <w:pPr>
              <w:spacing w:after="20"/>
            </w:pPr>
            <w:r/>
            <w:r>
              <w:rPr>
                <w:b w:val="0"/>
                <w:i w:val="0"/>
                <w:sz w:val="18"/>
              </w:rPr>
              <w:t>Sept. 15, 2022</w:t>
            </w:r>
          </w:p>
        </w:tc>
        <w:tc>
          <w:tcPr>
            <w:tcW w:type="dxa" w:w="3960"/>
          </w:tcPr>
          <w:p>
            <w:pPr>
              <w:spacing w:after="20"/>
            </w:pPr>
            <w:r/>
            <w:r>
              <w:rPr>
                <w:b w:val="0"/>
                <w:i w:val="0"/>
                <w:sz w:val="18"/>
              </w:rPr>
              <w:t xml:space="preserve">Log shows H-2202 inspected under the </w:t>
            </w:r>
            <w:r>
              <w:rPr>
                <w:b/>
                <w:i w:val="0"/>
                <w:sz w:val="18"/>
              </w:rPr>
              <w:t>Enhanced</w:t>
            </w:r>
            <w:r>
              <w:rPr>
                <w:b w:val="0"/>
                <w:i w:val="0"/>
                <w:sz w:val="18"/>
              </w:rPr>
              <w:t xml:space="preserve"> protocol (passed).</w:t>
            </w:r>
          </w:p>
        </w:tc>
        <w:tc>
          <w:tcPr>
            <w:tcW w:type="dxa" w:w="1656"/>
          </w:tcPr>
          <w:p>
            <w:pPr>
              <w:spacing w:after="20"/>
            </w:pPr>
            <w:r/>
            <w:r>
              <w:rPr>
                <w:b w:val="0"/>
                <w:i w:val="0"/>
                <w:sz w:val="18"/>
              </w:rPr>
              <w:t>Log</w:t>
            </w:r>
          </w:p>
        </w:tc>
        <w:tc>
          <w:tcPr>
            <w:tcW w:type="dxa" w:w="5544"/>
          </w:tcPr>
          <w:p>
            <w:pPr>
              <w:spacing w:after="20"/>
            </w:pPr>
            <w:r/>
            <w:r>
              <w:rPr>
                <w:b/>
                <w:i w:val="0"/>
                <w:sz w:val="18"/>
              </w:rPr>
              <w:t>Discrepancy:</w:t>
            </w:r>
            <w:r>
              <w:rPr>
                <w:b w:val="0"/>
                <w:i w:val="0"/>
                <w:sz w:val="18"/>
              </w:rPr>
              <w:t xml:space="preserve"> predates the Sept. 19 start confirmed by both Fong and Stanton. Requires explanation (possible after-the-fact log reconstruction).</w:t>
            </w:r>
          </w:p>
        </w:tc>
        <w:tc>
          <w:tcPr>
            <w:tcW w:type="dxa" w:w="1152"/>
            <w:shd w:val="clear" w:color="auto" w:fill="FFF2CC"/>
          </w:tcPr>
          <w:p>
            <w:r/>
            <w:r>
              <w:rPr>
                <w:b/>
                <w:sz w:val="16"/>
              </w:rPr>
              <w:t>MIXED</w:t>
            </w:r>
          </w:p>
        </w:tc>
      </w:tr>
      <w:tr>
        <w:tc>
          <w:tcPr>
            <w:tcW w:type="dxa" w:w="1512"/>
          </w:tcPr>
          <w:p>
            <w:pPr>
              <w:spacing w:after="20"/>
            </w:pPr>
            <w:r/>
            <w:r>
              <w:rPr>
                <w:b w:val="0"/>
                <w:i w:val="0"/>
                <w:sz w:val="18"/>
              </w:rPr>
              <w:t>Sept. 19, 2022</w:t>
            </w:r>
          </w:p>
        </w:tc>
        <w:tc>
          <w:tcPr>
            <w:tcW w:type="dxa" w:w="3960"/>
          </w:tcPr>
          <w:p>
            <w:pPr>
              <w:spacing w:after="20"/>
            </w:pPr>
            <w:r/>
            <w:r>
              <w:rPr>
                <w:b w:val="0"/>
                <w:i w:val="0"/>
                <w:sz w:val="18"/>
              </w:rPr>
              <w:t>Enhanced protocol begins on Harborview lots. H-2203 rejected (seal integrity; $71,250). The same week, increased Cascade routing begins.</w:t>
            </w:r>
          </w:p>
        </w:tc>
        <w:tc>
          <w:tcPr>
            <w:tcW w:type="dxa" w:w="1656"/>
          </w:tcPr>
          <w:p>
            <w:pPr>
              <w:spacing w:after="20"/>
            </w:pPr>
            <w:r/>
            <w:r>
              <w:rPr>
                <w:b w:val="0"/>
                <w:i w:val="0"/>
                <w:sz w:val="18"/>
              </w:rPr>
              <w:t>SF (10/3); Log; HYS (9/6)</w:t>
            </w:r>
          </w:p>
        </w:tc>
        <w:tc>
          <w:tcPr>
            <w:tcW w:type="dxa" w:w="5544"/>
          </w:tcPr>
          <w:p>
            <w:pPr>
              <w:spacing w:after="20"/>
            </w:pPr>
            <w:r/>
            <w:r>
              <w:rPr>
                <w:b w:val="0"/>
                <w:i w:val="0"/>
                <w:sz w:val="18"/>
              </w:rPr>
              <w:t>Simultaneous start of both "prongs" (Holcomb Dep. summary characterizes it as a "coordinated two-pronged strategy"). A jury issue at minimum.</w:t>
            </w:r>
          </w:p>
        </w:tc>
        <w:tc>
          <w:tcPr>
            <w:tcW w:type="dxa" w:w="1152"/>
            <w:shd w:val="clear" w:color="auto" w:fill="F4CCCC"/>
          </w:tcPr>
          <w:p>
            <w:r/>
            <w:r>
              <w:rPr>
                <w:b/>
                <w:sz w:val="16"/>
              </w:rPr>
              <w:t>ADVERSE</w:t>
            </w:r>
          </w:p>
        </w:tc>
      </w:tr>
      <w:tr>
        <w:tc>
          <w:tcPr>
            <w:tcW w:type="dxa" w:w="1512"/>
          </w:tcPr>
          <w:p>
            <w:pPr>
              <w:spacing w:after="20"/>
            </w:pPr>
            <w:r/>
            <w:r>
              <w:rPr>
                <w:b w:val="0"/>
                <w:i w:val="0"/>
                <w:sz w:val="18"/>
              </w:rPr>
              <w:t>Oct. 1–3, 2022</w:t>
            </w:r>
          </w:p>
        </w:tc>
        <w:tc>
          <w:tcPr>
            <w:tcW w:type="dxa" w:w="3960"/>
          </w:tcPr>
          <w:p>
            <w:pPr>
              <w:spacing w:after="20"/>
            </w:pPr>
            <w:r/>
            <w:r>
              <w:rPr>
                <w:b w:val="0"/>
                <w:i w:val="0"/>
                <w:sz w:val="18"/>
              </w:rPr>
              <w:t>Rejections under the Log: H-2207 (weight −3.7%; Standard allows 5.0%); H-2208 (label font 0.3pt); H-2209 (TPC 850 vs. enhanced 500; Standard 1,000; lot destroyed, $112,000).</w:t>
            </w:r>
          </w:p>
        </w:tc>
        <w:tc>
          <w:tcPr>
            <w:tcW w:type="dxa" w:w="1656"/>
          </w:tcPr>
          <w:p>
            <w:pPr>
              <w:spacing w:after="20"/>
            </w:pPr>
            <w:r/>
            <w:r>
              <w:rPr>
                <w:b w:val="0"/>
                <w:i w:val="0"/>
                <w:sz w:val="18"/>
              </w:rPr>
              <w:t>Log</w:t>
            </w:r>
          </w:p>
        </w:tc>
        <w:tc>
          <w:tcPr>
            <w:tcW w:type="dxa" w:w="5544"/>
          </w:tcPr>
          <w:p>
            <w:pPr>
              <w:spacing w:after="20"/>
            </w:pPr>
            <w:r/>
            <w:r>
              <w:rPr>
                <w:b w:val="0"/>
                <w:i w:val="0"/>
                <w:sz w:val="18"/>
              </w:rPr>
              <w:t>The Log's own notes say each would have passed Standard. The EDA Ex. B APC limit (10,000 CFU/g) makes the H-2209 destruction especially hard to defend under §7.2.</w:t>
            </w:r>
          </w:p>
        </w:tc>
        <w:tc>
          <w:tcPr>
            <w:tcW w:type="dxa" w:w="1152"/>
            <w:shd w:val="clear" w:color="auto" w:fill="F4CCCC"/>
          </w:tcPr>
          <w:p>
            <w:r/>
            <w:r>
              <w:rPr>
                <w:b/>
                <w:sz w:val="16"/>
              </w:rPr>
              <w:t>ADVERSE</w:t>
            </w:r>
          </w:p>
        </w:tc>
      </w:tr>
      <w:tr>
        <w:tc>
          <w:tcPr>
            <w:tcW w:type="dxa" w:w="1512"/>
          </w:tcPr>
          <w:p>
            <w:pPr>
              <w:spacing w:after="20"/>
            </w:pPr>
            <w:r/>
            <w:r>
              <w:rPr>
                <w:b w:val="0"/>
                <w:i w:val="0"/>
                <w:sz w:val="18"/>
              </w:rPr>
              <w:t>Oct. 3, 2022</w:t>
            </w:r>
          </w:p>
        </w:tc>
        <w:tc>
          <w:tcPr>
            <w:tcW w:type="dxa" w:w="3960"/>
          </w:tcPr>
          <w:p>
            <w:pPr>
              <w:spacing w:after="20"/>
            </w:pPr>
            <w:r/>
            <w:r>
              <w:rPr>
                <w:b/>
                <w:i w:val="0"/>
                <w:sz w:val="18"/>
              </w:rPr>
              <w:t>Fong → Stanton:</w:t>
            </w:r>
            <w:r>
              <w:rPr>
                <w:b w:val="0"/>
                <w:i w:val="0"/>
                <w:sz w:val="18"/>
              </w:rPr>
              <w:t xml:space="preserve"> "Applied enhanced screening to lots H-2209 through H-2215. Rejected 4 lots. FYI — same criteria applied to Cascade lots would have flagged at least 2, but those weren't in the enhanced screening protocol." Identifies H-2209, H-2211, H-2213, H-2214 ($187K); names Cascade lots C-2210 and C-2212 as comparable; rejection rate "about 57%"; "we talked about this being a likely outcome."</w:t>
            </w:r>
          </w:p>
        </w:tc>
        <w:tc>
          <w:tcPr>
            <w:tcW w:type="dxa" w:w="1656"/>
          </w:tcPr>
          <w:p>
            <w:pPr>
              <w:spacing w:after="20"/>
            </w:pPr>
            <w:r/>
            <w:r>
              <w:rPr>
                <w:b w:val="0"/>
                <w:i w:val="0"/>
                <w:sz w:val="18"/>
              </w:rPr>
              <w:t>SF (GL-PROD-004220); Fong Dep. Ex. 7; Buckley</w:t>
            </w:r>
          </w:p>
        </w:tc>
        <w:tc>
          <w:tcPr>
            <w:tcW w:type="dxa" w:w="5544"/>
          </w:tcPr>
          <w:p>
            <w:pPr>
              <w:spacing w:after="20"/>
            </w:pPr>
            <w:r/>
            <w:r>
              <w:rPr>
                <w:b w:val="0"/>
                <w:i w:val="0"/>
                <w:sz w:val="18"/>
              </w:rPr>
              <w:t xml:space="preserve">The key admission for the implied covenant and fraud claims. Fong's testimony ("can't say for certain") is impeached by her own specific lot identifications, and the Log itself says C-2210 (TPC 780) would have failed Enhanced. </w:t>
            </w:r>
            <w:r>
              <w:rPr>
                <w:b/>
                <w:i w:val="0"/>
                <w:sz w:val="18"/>
              </w:rPr>
              <w:t>Integrity conflicts:</w:t>
            </w:r>
            <w:r>
              <w:rPr>
                <w:b w:val="0"/>
                <w:i w:val="0"/>
                <w:sz w:val="18"/>
              </w:rPr>
              <w:t xml:space="preserve"> the Log shows H-2211 inspected Oct. 7, H-2213 Oct. 14, H-2214 Oct. 18 (all after this email); H-2213 and H-2214 as PASSED; different products for the same lot numbers; no lot C-2212. Fong testified 4 of 7 were rejected, but the Log shows 3 (H-2209, H-2211, H-2215).</w:t>
            </w:r>
          </w:p>
        </w:tc>
        <w:tc>
          <w:tcPr>
            <w:tcW w:type="dxa" w:w="1152"/>
            <w:shd w:val="clear" w:color="auto" w:fill="F4CCCC"/>
          </w:tcPr>
          <w:p>
            <w:r/>
            <w:r>
              <w:rPr>
                <w:b/>
                <w:sz w:val="16"/>
              </w:rPr>
              <w:t>ADVERSE</w:t>
            </w:r>
          </w:p>
        </w:tc>
      </w:tr>
      <w:tr>
        <w:tc>
          <w:tcPr>
            <w:tcW w:type="dxa" w:w="1512"/>
          </w:tcPr>
          <w:p>
            <w:pPr>
              <w:spacing w:after="20"/>
            </w:pPr>
            <w:r/>
            <w:r>
              <w:rPr>
                <w:b w:val="0"/>
                <w:i w:val="0"/>
                <w:sz w:val="18"/>
              </w:rPr>
              <w:t>Oct. 7 / Oct. 21, 2022</w:t>
            </w:r>
          </w:p>
        </w:tc>
        <w:tc>
          <w:tcPr>
            <w:tcW w:type="dxa" w:w="3960"/>
          </w:tcPr>
          <w:p>
            <w:pPr>
              <w:spacing w:after="20"/>
            </w:pPr>
            <w:r/>
            <w:r>
              <w:rPr>
                <w:b w:val="0"/>
                <w:i w:val="0"/>
                <w:sz w:val="18"/>
              </w:rPr>
              <w:t>H-2211 rejected (moisture 11.7% vs. enhanced 11.5%; Standard 12.0%). H-2215 rejected (sensory panel "bitterness"; the sensory step does not exist in the SOP).</w:t>
            </w:r>
          </w:p>
        </w:tc>
        <w:tc>
          <w:tcPr>
            <w:tcW w:type="dxa" w:w="1656"/>
          </w:tcPr>
          <w:p>
            <w:pPr>
              <w:spacing w:after="20"/>
            </w:pPr>
            <w:r/>
            <w:r>
              <w:rPr>
                <w:b w:val="0"/>
                <w:i w:val="0"/>
                <w:sz w:val="18"/>
              </w:rPr>
              <w:t>Log</w:t>
            </w:r>
          </w:p>
        </w:tc>
        <w:tc>
          <w:tcPr>
            <w:tcW w:type="dxa" w:w="5544"/>
          </w:tcPr>
          <w:p>
            <w:pPr>
              <w:spacing w:after="20"/>
            </w:pPr>
            <w:r/>
            <w:r>
              <w:rPr>
                <w:b w:val="0"/>
                <w:i w:val="0"/>
                <w:sz w:val="18"/>
              </w:rPr>
              <w:t>Subjective sensory criterion added only for Harborview. Weak under §7.2 "reasonable discretion" against Ex. B standards.</w:t>
            </w:r>
          </w:p>
        </w:tc>
        <w:tc>
          <w:tcPr>
            <w:tcW w:type="dxa" w:w="1152"/>
            <w:shd w:val="clear" w:color="auto" w:fill="F4CCCC"/>
          </w:tcPr>
          <w:p>
            <w:r/>
            <w:r>
              <w:rPr>
                <w:b/>
                <w:sz w:val="16"/>
              </w:rPr>
              <w:t>ADVERSE</w:t>
            </w:r>
          </w:p>
        </w:tc>
      </w:tr>
      <w:tr>
        <w:tc>
          <w:tcPr>
            <w:tcW w:type="dxa" w:w="1512"/>
          </w:tcPr>
          <w:p>
            <w:pPr>
              <w:spacing w:after="20"/>
            </w:pPr>
            <w:r/>
            <w:r>
              <w:rPr>
                <w:b w:val="0"/>
                <w:i w:val="0"/>
                <w:sz w:val="18"/>
              </w:rPr>
              <w:t>Oct. 17, 2022</w:t>
            </w:r>
          </w:p>
        </w:tc>
        <w:tc>
          <w:tcPr>
            <w:tcW w:type="dxa" w:w="3960"/>
          </w:tcPr>
          <w:p>
            <w:pPr>
              <w:spacing w:after="20"/>
            </w:pPr>
            <w:r/>
            <w:r>
              <w:rPr>
                <w:b w:val="0"/>
                <w:i w:val="0"/>
                <w:sz w:val="18"/>
              </w:rPr>
              <w:t>Cascade lot C-2218 rejected under Standard (metal fragment; destroyed).</w:t>
            </w:r>
          </w:p>
        </w:tc>
        <w:tc>
          <w:tcPr>
            <w:tcW w:type="dxa" w:w="1656"/>
          </w:tcPr>
          <w:p>
            <w:pPr>
              <w:spacing w:after="20"/>
            </w:pPr>
            <w:r/>
            <w:r>
              <w:rPr>
                <w:b w:val="0"/>
                <w:i w:val="0"/>
                <w:sz w:val="18"/>
              </w:rPr>
              <w:t>Log</w:t>
            </w:r>
          </w:p>
        </w:tc>
        <w:tc>
          <w:tcPr>
            <w:tcW w:type="dxa" w:w="5544"/>
          </w:tcPr>
          <w:p>
            <w:pPr>
              <w:spacing w:after="20"/>
            </w:pPr>
            <w:r/>
            <w:r>
              <w:rPr>
                <w:b w:val="0"/>
                <w:i w:val="0"/>
                <w:sz w:val="18"/>
              </w:rPr>
              <w:t xml:space="preserve">A legitimate safety rejection, and the only Cascade rejection. </w:t>
            </w:r>
            <w:r>
              <w:rPr>
                <w:b/>
                <w:i w:val="0"/>
                <w:sz w:val="18"/>
              </w:rPr>
              <w:t>Conflict:</w:t>
            </w:r>
            <w:r>
              <w:rPr>
                <w:b w:val="0"/>
                <w:i w:val="0"/>
                <w:sz w:val="18"/>
              </w:rPr>
              <w:t xml:space="preserve"> Buckley instead describes an Oct. 18 Cascade granola APC rejection and places the metal-fragment rejection on Harborview lot H-2218 (Nov. 9), which does not appear in the Log.</w:t>
            </w:r>
          </w:p>
        </w:tc>
        <w:tc>
          <w:tcPr>
            <w:tcW w:type="dxa" w:w="1152"/>
            <w:shd w:val="clear" w:color="auto" w:fill="FFF2CC"/>
          </w:tcPr>
          <w:p>
            <w:r/>
            <w:r>
              <w:rPr>
                <w:b/>
                <w:sz w:val="16"/>
              </w:rPr>
              <w:t>MIXED</w:t>
            </w:r>
          </w:p>
        </w:tc>
      </w:tr>
      <w:tr>
        <w:tc>
          <w:tcPr>
            <w:tcW w:type="dxa" w:w="1512"/>
          </w:tcPr>
          <w:p>
            <w:pPr>
              <w:spacing w:after="20"/>
            </w:pPr>
            <w:r/>
            <w:r>
              <w:rPr>
                <w:b w:val="0"/>
                <w:i w:val="0"/>
                <w:sz w:val="18"/>
              </w:rPr>
              <w:t>Late Oct. – Nov. 2022</w:t>
            </w:r>
          </w:p>
        </w:tc>
        <w:tc>
          <w:tcPr>
            <w:tcW w:type="dxa" w:w="3960"/>
          </w:tcPr>
          <w:p>
            <w:pPr>
              <w:spacing w:after="20"/>
            </w:pPr>
            <w:r/>
            <w:r>
              <w:rPr>
                <w:b w:val="0"/>
                <w:i w:val="0"/>
                <w:sz w:val="18"/>
              </w:rPr>
              <w:t>Beckett begins pressing Holcomb about declining shipments.</w:t>
            </w:r>
          </w:p>
        </w:tc>
        <w:tc>
          <w:tcPr>
            <w:tcW w:type="dxa" w:w="1656"/>
          </w:tcPr>
          <w:p>
            <w:pPr>
              <w:spacing w:after="20"/>
            </w:pPr>
            <w:r/>
            <w:r>
              <w:rPr>
                <w:b w:val="0"/>
                <w:i w:val="0"/>
                <w:sz w:val="18"/>
              </w:rPr>
              <w:t>Holcomb Dep. §VII</w:t>
            </w:r>
          </w:p>
        </w:tc>
        <w:tc>
          <w:tcPr>
            <w:tcW w:type="dxa" w:w="5544"/>
          </w:tcPr>
          <w:p>
            <w:pPr>
              <w:spacing w:after="20"/>
            </w:pPr>
            <w:r/>
            <w:r>
              <w:rPr>
                <w:b w:val="0"/>
                <w:i w:val="0"/>
                <w:sz w:val="18"/>
              </w:rPr>
              <w:t>Shows protest, which undercuts Greenleaf's waiver/estoppel defense (Ans. 9th Aff. Def.). §14.5 also requires waivers in writing.</w:t>
            </w:r>
          </w:p>
        </w:tc>
        <w:tc>
          <w:tcPr>
            <w:tcW w:type="dxa" w:w="1152"/>
            <w:shd w:val="clear" w:color="auto" w:fill="F4CCCC"/>
          </w:tcPr>
          <w:p>
            <w:r/>
            <w:r>
              <w:rPr>
                <w:b/>
                <w:sz w:val="16"/>
              </w:rPr>
              <w:t>ADVERSE</w:t>
            </w:r>
          </w:p>
        </w:tc>
      </w:tr>
      <w:tr>
        <w:tc>
          <w:tcPr>
            <w:tcW w:type="dxa" w:w="1512"/>
          </w:tcPr>
          <w:p>
            <w:pPr>
              <w:spacing w:after="20"/>
            </w:pPr>
            <w:r/>
            <w:r>
              <w:rPr>
                <w:b w:val="0"/>
                <w:i w:val="0"/>
                <w:sz w:val="18"/>
              </w:rPr>
              <w:t>Nov. 2 – Dec. 19, 2022</w:t>
            </w:r>
          </w:p>
        </w:tc>
        <w:tc>
          <w:tcPr>
            <w:tcW w:type="dxa" w:w="3960"/>
          </w:tcPr>
          <w:p>
            <w:pPr>
              <w:spacing w:after="20"/>
            </w:pPr>
            <w:r/>
            <w:r>
              <w:rPr>
                <w:b w:val="0"/>
                <w:i w:val="0"/>
                <w:sz w:val="18"/>
              </w:rPr>
              <w:t>Log rejections: H-2220 (TPC 720), H-2223 (moisture 11.6%), H-2226 (plant fiber; 2x sample), H-2230 (weight 3.2%), H-2233 (micro-perforations; enhanced sample size).</w:t>
            </w:r>
          </w:p>
        </w:tc>
        <w:tc>
          <w:tcPr>
            <w:tcW w:type="dxa" w:w="1656"/>
          </w:tcPr>
          <w:p>
            <w:pPr>
              <w:spacing w:after="20"/>
            </w:pPr>
            <w:r/>
            <w:r>
              <w:rPr>
                <w:b w:val="0"/>
                <w:i w:val="0"/>
                <w:sz w:val="18"/>
              </w:rPr>
              <w:t>Log</w:t>
            </w:r>
          </w:p>
        </w:tc>
        <w:tc>
          <w:tcPr>
            <w:tcW w:type="dxa" w:w="5544"/>
          </w:tcPr>
          <w:p>
            <w:pPr>
              <w:spacing w:after="20"/>
            </w:pPr>
            <w:r/>
            <w:r>
              <w:rPr>
                <w:b w:val="0"/>
                <w:i w:val="0"/>
                <w:sz w:val="18"/>
              </w:rPr>
              <w:t>H-2226 and H-2233 are Greenleaf's strongest post-directive rejections (genuine defects arguably found because of larger samples). Consider framing them as legitimate quality findings.</w:t>
            </w:r>
          </w:p>
        </w:tc>
        <w:tc>
          <w:tcPr>
            <w:tcW w:type="dxa" w:w="1152"/>
            <w:shd w:val="clear" w:color="auto" w:fill="FFF2CC"/>
          </w:tcPr>
          <w:p>
            <w:r/>
            <w:r>
              <w:rPr>
                <w:b/>
                <w:sz w:val="16"/>
              </w:rPr>
              <w:t>MIXED</w:t>
            </w:r>
          </w:p>
        </w:tc>
      </w:tr>
      <w:tr>
        <w:tc>
          <w:tcPr>
            <w:tcW w:type="dxa" w:w="1512"/>
          </w:tcPr>
          <w:p>
            <w:pPr>
              <w:spacing w:after="20"/>
            </w:pPr>
            <w:r/>
            <w:r>
              <w:rPr>
                <w:b w:val="0"/>
                <w:i w:val="0"/>
                <w:sz w:val="18"/>
              </w:rPr>
              <w:t>Dec. 1, 2022</w:t>
            </w:r>
          </w:p>
        </w:tc>
        <w:tc>
          <w:tcPr>
            <w:tcW w:type="dxa" w:w="3960"/>
          </w:tcPr>
          <w:p>
            <w:pPr>
              <w:spacing w:after="20"/>
            </w:pPr>
            <w:r/>
            <w:r>
              <w:rPr>
                <w:b/>
                <w:i w:val="0"/>
                <w:sz w:val="18"/>
              </w:rPr>
              <w:t>Holcomb → Stanton:</w:t>
            </w:r>
            <w:r>
              <w:rPr>
                <w:b w:val="0"/>
                <w:i w:val="0"/>
                <w:sz w:val="18"/>
              </w:rPr>
              <w:t xml:space="preserve"> "Randy is asking why shipments are down. </w:t>
            </w:r>
            <w:r>
              <w:rPr>
                <w:b/>
                <w:i w:val="0"/>
                <w:sz w:val="18"/>
              </w:rPr>
              <w:t>I told him supply chain issues.</w:t>
            </w:r>
            <w:r>
              <w:rPr>
                <w:b w:val="0"/>
                <w:i w:val="0"/>
                <w:sz w:val="18"/>
              </w:rPr>
              <w:t>" Considers citing the almond supplier / wrapper issues but "if he starts digging and finds out those issues were resolved months ago, it falls apart." Beckett reports Greenleaf product "still showing up on shelves in Portland through other channels." Projects Year 3 at about $5.8–6.0M: "If they miss the minimum, that gives us a basis to act." Flags the "December 15" non-renewal deadline: "belt-and-suspenders" or "termination-for-cause route … we need to pick one."</w:t>
            </w:r>
          </w:p>
        </w:tc>
        <w:tc>
          <w:tcPr>
            <w:tcW w:type="dxa" w:w="1656"/>
          </w:tcPr>
          <w:p>
            <w:pPr>
              <w:spacing w:after="20"/>
            </w:pPr>
            <w:r/>
            <w:r>
              <w:rPr>
                <w:b w:val="0"/>
                <w:i w:val="0"/>
                <w:sz w:val="18"/>
              </w:rPr>
              <w:t>HYS (GRN-004230-31); Holcomb Dep. §§IV, VII</w:t>
            </w:r>
          </w:p>
        </w:tc>
        <w:tc>
          <w:tcPr>
            <w:tcW w:type="dxa" w:w="5544"/>
          </w:tcPr>
          <w:p>
            <w:pPr>
              <w:spacing w:after="20"/>
            </w:pPr>
            <w:r/>
            <w:r>
              <w:rPr>
                <w:b w:val="0"/>
                <w:i w:val="0"/>
                <w:sz w:val="18"/>
              </w:rPr>
              <w:t xml:space="preserve">Shows knowledge of falsity (fraud scienter). Holcomb could not identify any supply disruption. </w:t>
            </w:r>
            <w:r>
              <w:rPr>
                <w:b/>
                <w:i w:val="0"/>
                <w:sz w:val="18"/>
              </w:rPr>
              <w:t>Favorable for Greenleaf on reliance:</w:t>
            </w:r>
            <w:r>
              <w:rPr>
                <w:b w:val="0"/>
                <w:i w:val="0"/>
                <w:sz w:val="18"/>
              </w:rPr>
              <w:t xml:space="preserve"> Beckett was "not buying it entirely" and already had intel on "other channels." This is the basis of Greenleaf's strongest fraud SJ argument (no justifiable reliance; no damages caused by reliance distinct from contract damages). The email also shows the shortfall was anticipated as a pretext opportunity.</w:t>
            </w:r>
          </w:p>
        </w:tc>
        <w:tc>
          <w:tcPr>
            <w:tcW w:type="dxa" w:w="1152"/>
            <w:shd w:val="clear" w:color="auto" w:fill="FFF2CC"/>
          </w:tcPr>
          <w:p>
            <w:r/>
            <w:r>
              <w:rPr>
                <w:b/>
                <w:sz w:val="16"/>
              </w:rPr>
              <w:t>MIXED</w:t>
            </w:r>
          </w:p>
        </w:tc>
      </w:tr>
      <w:tr>
        <w:tc>
          <w:tcPr>
            <w:tcW w:type="dxa" w:w="1512"/>
          </w:tcPr>
          <w:p>
            <w:pPr>
              <w:spacing w:after="20"/>
            </w:pPr>
            <w:r/>
            <w:r>
              <w:rPr>
                <w:b w:val="0"/>
                <w:i w:val="0"/>
                <w:sz w:val="18"/>
              </w:rPr>
              <w:t>Dec. 14, 2022</w:t>
            </w:r>
          </w:p>
        </w:tc>
        <w:tc>
          <w:tcPr>
            <w:tcW w:type="dxa" w:w="3960"/>
          </w:tcPr>
          <w:p>
            <w:pPr>
              <w:spacing w:after="20"/>
            </w:pPr>
            <w:r/>
            <w:r>
              <w:rPr>
                <w:b/>
                <w:i w:val="0"/>
                <w:sz w:val="18"/>
              </w:rPr>
              <w:t>Last day for §9.3 non-renewal notice</w:t>
            </w:r>
            <w:r>
              <w:rPr>
                <w:b w:val="0"/>
                <w:i w:val="0"/>
                <w:sz w:val="18"/>
              </w:rPr>
              <w:t xml:space="preserve"> (90 days before Mar. 14, 2023). No notice sent.</w:t>
            </w:r>
          </w:p>
        </w:tc>
        <w:tc>
          <w:tcPr>
            <w:tcW w:type="dxa" w:w="1656"/>
          </w:tcPr>
          <w:p>
            <w:pPr>
              <w:spacing w:after="20"/>
            </w:pPr>
            <w:r/>
            <w:r>
              <w:rPr>
                <w:b w:val="0"/>
                <w:i w:val="0"/>
                <w:sz w:val="18"/>
              </w:rPr>
              <w:t>EDA §9.3; Holcomb Dep. §VI; Chakrabarti §IV</w:t>
            </w:r>
          </w:p>
        </w:tc>
        <w:tc>
          <w:tcPr>
            <w:tcW w:type="dxa" w:w="5544"/>
          </w:tcPr>
          <w:p>
            <w:pPr>
              <w:spacing w:after="20"/>
            </w:pPr>
            <w:r/>
            <w:r>
              <w:rPr>
                <w:b w:val="0"/>
                <w:i w:val="0"/>
                <w:sz w:val="18"/>
              </w:rPr>
              <w:t xml:space="preserve">The pleadings, Chakrabarti and Holcomb's email say Dec. 15. The correct count is Dec. 14; immaterial here because nothing was sent. The Dec. 1 email proves a deliberate choice. Consequence: auto-renewal on Mar. 15, 2023 (Harborview). </w:t>
            </w:r>
            <w:r>
              <w:rPr>
                <w:b/>
                <w:i w:val="0"/>
                <w:sz w:val="18"/>
              </w:rPr>
              <w:t>Greenleaf counter-use:</w:t>
            </w:r>
            <w:r>
              <w:rPr>
                <w:b w:val="0"/>
                <w:i w:val="0"/>
                <w:sz w:val="18"/>
              </w:rPr>
              <w:t xml:space="preserve"> caps expectation damages at the one-year Renewal Term.</w:t>
            </w:r>
          </w:p>
        </w:tc>
        <w:tc>
          <w:tcPr>
            <w:tcW w:type="dxa" w:w="1152"/>
            <w:shd w:val="clear" w:color="auto" w:fill="FFF2CC"/>
          </w:tcPr>
          <w:p>
            <w:r/>
            <w:r>
              <w:rPr>
                <w:b/>
                <w:sz w:val="16"/>
              </w:rPr>
              <w:t>MIXED</w:t>
            </w:r>
          </w:p>
        </w:tc>
      </w:tr>
      <w:tr>
        <w:tc>
          <w:tcPr>
            <w:tcW w:type="dxa" w:w="1512"/>
          </w:tcPr>
          <w:p>
            <w:pPr>
              <w:spacing w:after="20"/>
            </w:pPr>
            <w:r/>
            <w:r>
              <w:rPr>
                <w:b w:val="0"/>
                <w:i w:val="0"/>
                <w:sz w:val="18"/>
              </w:rPr>
              <w:t>Late Dec. 2022</w:t>
            </w:r>
          </w:p>
        </w:tc>
        <w:tc>
          <w:tcPr>
            <w:tcW w:type="dxa" w:w="3960"/>
          </w:tcPr>
          <w:p>
            <w:pPr>
              <w:spacing w:after="20"/>
            </w:pPr>
            <w:r/>
            <w:r>
              <w:rPr>
                <w:b w:val="0"/>
                <w:i w:val="0"/>
                <w:sz w:val="18"/>
              </w:rPr>
              <w:t>Stanton call with Ivers regarding termination ("our call last week").</w:t>
            </w:r>
          </w:p>
        </w:tc>
        <w:tc>
          <w:tcPr>
            <w:tcW w:type="dxa" w:w="1656"/>
          </w:tcPr>
          <w:p>
            <w:pPr>
              <w:spacing w:after="20"/>
            </w:pPr>
            <w:r/>
            <w:r>
              <w:rPr>
                <w:b w:val="0"/>
                <w:i w:val="0"/>
                <w:sz w:val="18"/>
              </w:rPr>
              <w:t>SI</w:t>
            </w:r>
          </w:p>
        </w:tc>
        <w:tc>
          <w:tcPr>
            <w:tcW w:type="dxa" w:w="5544"/>
          </w:tcPr>
          <w:p>
            <w:pPr>
              <w:spacing w:after="20"/>
            </w:pPr>
            <w:r/>
            <w:r>
              <w:rPr>
                <w:b w:val="0"/>
                <w:i w:val="0"/>
                <w:sz w:val="18"/>
              </w:rPr>
              <w:t>Termination planning predates the breach notice.</w:t>
            </w:r>
          </w:p>
        </w:tc>
        <w:tc>
          <w:tcPr>
            <w:tcW w:type="dxa" w:w="1152"/>
            <w:shd w:val="clear" w:color="auto" w:fill="F4CCCC"/>
          </w:tcPr>
          <w:p>
            <w:r/>
            <w:r>
              <w:rPr>
                <w:b/>
                <w:sz w:val="16"/>
              </w:rPr>
              <w:t>ADVERSE</w:t>
            </w:r>
          </w:p>
        </w:tc>
      </w:tr>
      <w:tr>
        <w:tc>
          <w:tcPr>
            <w:tcW w:type="dxa" w:w="1512"/>
          </w:tcPr>
          <w:p>
            <w:pPr>
              <w:spacing w:after="20"/>
            </w:pPr>
            <w:r/>
            <w:r>
              <w:rPr>
                <w:b w:val="0"/>
                <w:i w:val="0"/>
                <w:sz w:val="18"/>
              </w:rPr>
              <w:t>Jan. 3, 2023</w:t>
            </w:r>
          </w:p>
        </w:tc>
        <w:tc>
          <w:tcPr>
            <w:tcW w:type="dxa" w:w="3960"/>
          </w:tcPr>
          <w:p>
            <w:pPr>
              <w:spacing w:after="20"/>
            </w:pPr>
            <w:r/>
            <w:r>
              <w:rPr>
                <w:b/>
                <w:i w:val="0"/>
                <w:sz w:val="18"/>
              </w:rPr>
              <w:t>Stanton → Ivers:</w:t>
            </w:r>
            <w:r>
              <w:rPr>
                <w:b w:val="0"/>
                <w:i w:val="0"/>
                <w:sz w:val="18"/>
              </w:rPr>
              <w:t xml:space="preserve"> "We need to move on terminating Harborview. They're not hitting minimums — </w:t>
            </w:r>
            <w:r>
              <w:rPr>
                <w:b/>
                <w:i w:val="0"/>
                <w:sz w:val="18"/>
              </w:rPr>
              <w:t>let's use that as the basis.</w:t>
            </w:r>
            <w:r>
              <w:rPr>
                <w:b w:val="0"/>
                <w:i w:val="0"/>
                <w:sz w:val="18"/>
              </w:rPr>
              <w:t>" Estimates Year 3 "somewhere around $5M or so." Wants the process started "this week."</w:t>
            </w:r>
          </w:p>
        </w:tc>
        <w:tc>
          <w:tcPr>
            <w:tcW w:type="dxa" w:w="1656"/>
          </w:tcPr>
          <w:p>
            <w:pPr>
              <w:spacing w:after="20"/>
            </w:pPr>
            <w:r/>
            <w:r>
              <w:rPr>
                <w:b w:val="0"/>
                <w:i w:val="0"/>
                <w:sz w:val="18"/>
              </w:rPr>
              <w:t>SI (GL-PROD-007834); Fong Dep. §VII; Compl. ¶50</w:t>
            </w:r>
          </w:p>
        </w:tc>
        <w:tc>
          <w:tcPr>
            <w:tcW w:type="dxa" w:w="5544"/>
          </w:tcPr>
          <w:p>
            <w:pPr>
              <w:spacing w:after="20"/>
            </w:pPr>
            <w:r/>
            <w:r>
              <w:rPr>
                <w:b/>
                <w:i w:val="0"/>
                <w:sz w:val="18"/>
              </w:rPr>
              <w:t>Privilege issue:</w:t>
            </w:r>
            <w:r>
              <w:rPr>
                <w:b w:val="0"/>
                <w:i w:val="0"/>
                <w:sz w:val="18"/>
              </w:rPr>
              <w:t xml:space="preserve"> produced Sept. 30, 2024. Privilege was asserted at the Nov. 5 deposition, but no FRE 502(b) clawback is documented. Plaintiff will argue waiver or crime-fraud. On the merits, "use that as the basis" is pretext evidence. The $5M figure conflicts with the $4.27M stated a week later (NMB) and the $5.8–6.0M projection (Dec. 1).</w:t>
            </w:r>
          </w:p>
        </w:tc>
        <w:tc>
          <w:tcPr>
            <w:tcW w:type="dxa" w:w="1152"/>
            <w:shd w:val="clear" w:color="auto" w:fill="F4CCCC"/>
          </w:tcPr>
          <w:p>
            <w:r/>
            <w:r>
              <w:rPr>
                <w:b/>
                <w:sz w:val="16"/>
              </w:rPr>
              <w:t>ADVERSE</w:t>
            </w:r>
          </w:p>
        </w:tc>
      </w:tr>
      <w:tr>
        <w:tc>
          <w:tcPr>
            <w:tcW w:type="dxa" w:w="1512"/>
          </w:tcPr>
          <w:p>
            <w:pPr>
              <w:spacing w:after="20"/>
            </w:pPr>
            <w:r/>
            <w:r>
              <w:rPr>
                <w:b w:val="0"/>
                <w:i w:val="0"/>
                <w:sz w:val="18"/>
              </w:rPr>
              <w:t>Jan. 9 / Jan. 23 / Feb. 13, 2023</w:t>
            </w:r>
          </w:p>
        </w:tc>
        <w:tc>
          <w:tcPr>
            <w:tcW w:type="dxa" w:w="3960"/>
          </w:tcPr>
          <w:p>
            <w:pPr>
              <w:spacing w:after="20"/>
            </w:pPr>
            <w:r/>
            <w:r>
              <w:rPr>
                <w:b w:val="0"/>
                <w:i w:val="0"/>
                <w:sz w:val="18"/>
              </w:rPr>
              <w:t>Log rejections H-2237 (TPC 680), H-2240 (allergen placement 2mm), H-2245 (moisture 11.9%): the last rejection.</w:t>
            </w:r>
          </w:p>
        </w:tc>
        <w:tc>
          <w:tcPr>
            <w:tcW w:type="dxa" w:w="1656"/>
          </w:tcPr>
          <w:p>
            <w:pPr>
              <w:spacing w:after="20"/>
            </w:pPr>
            <w:r/>
            <w:r>
              <w:rPr>
                <w:b w:val="0"/>
                <w:i w:val="0"/>
                <w:sz w:val="18"/>
              </w:rPr>
              <w:t>Log</w:t>
            </w:r>
          </w:p>
        </w:tc>
        <w:tc>
          <w:tcPr>
            <w:tcW w:type="dxa" w:w="5544"/>
          </w:tcPr>
          <w:p>
            <w:pPr>
              <w:spacing w:after="20"/>
            </w:pPr>
            <w:r/>
            <w:r>
              <w:rPr>
                <w:b w:val="0"/>
                <w:i w:val="0"/>
                <w:sz w:val="18"/>
              </w:rPr>
              <w:t>All three would pass Standard per the Log. Rejections continued throughout the cure period, which supports prevention.</w:t>
            </w:r>
          </w:p>
        </w:tc>
        <w:tc>
          <w:tcPr>
            <w:tcW w:type="dxa" w:w="1152"/>
            <w:shd w:val="clear" w:color="auto" w:fill="F4CCCC"/>
          </w:tcPr>
          <w:p>
            <w:r/>
            <w:r>
              <w:rPr>
                <w:b/>
                <w:sz w:val="16"/>
              </w:rPr>
              <w:t>ADVERSE</w:t>
            </w:r>
          </w:p>
        </w:tc>
      </w:tr>
    </w:tbl>
    <w:p>
      <w:pPr>
        <w:spacing w:after="40"/>
      </w:pPr>
    </w:p>
    <w:p>
      <w:pPr>
        <w:pStyle w:val="Heading2"/>
      </w:pPr>
      <w:r>
        <w:t>Phase IV — Breach Notice, Termination and Renewal (January – March 2023)</w:t>
      </w:r>
    </w:p>
    <w:tbl>
      <w:tblPr>
        <w:tblStyle w:val="TableGrid"/>
        <w:tblW w:type="auto" w:w="0"/>
        <w:jc w:val="center"/>
        <w:tblLayout w:type="fixed"/>
        <w:tblLook w:firstColumn="1" w:firstRow="1" w:lastColumn="0" w:lastRow="0" w:noHBand="0" w:noVBand="1" w:val="04A0"/>
      </w:tblPr>
      <w:tblGrid>
        <w:gridCol w:w="2765"/>
        <w:gridCol w:w="2765"/>
        <w:gridCol w:w="2765"/>
        <w:gridCol w:w="2765"/>
        <w:gridCol w:w="2765"/>
      </w:tblGrid>
      <w:tr>
        <w:trPr>
          <w:tblHeader w:val="true"/>
        </w:trPr>
        <w:tc>
          <w:tcPr>
            <w:tcW w:type="dxa" w:w="1512"/>
            <w:shd w:val="clear" w:color="auto" w:fill="1F3864"/>
          </w:tcPr>
          <w:p>
            <w:r/>
            <w:r>
              <w:rPr>
                <w:b/>
                <w:color w:val="FFFFFF"/>
                <w:sz w:val="18"/>
              </w:rPr>
              <w:t>Date</w:t>
            </w:r>
          </w:p>
        </w:tc>
        <w:tc>
          <w:tcPr>
            <w:tcW w:type="dxa" w:w="3960"/>
            <w:shd w:val="clear" w:color="auto" w:fill="1F3864"/>
          </w:tcPr>
          <w:p>
            <w:r/>
            <w:r>
              <w:rPr>
                <w:b/>
                <w:color w:val="FFFFFF"/>
                <w:sz w:val="18"/>
              </w:rPr>
              <w:t>Event</w:t>
            </w:r>
          </w:p>
        </w:tc>
        <w:tc>
          <w:tcPr>
            <w:tcW w:type="dxa" w:w="1656"/>
            <w:shd w:val="clear" w:color="auto" w:fill="1F3864"/>
          </w:tcPr>
          <w:p>
            <w:r/>
            <w:r>
              <w:rPr>
                <w:b/>
                <w:color w:val="FFFFFF"/>
                <w:sz w:val="18"/>
              </w:rPr>
              <w:t>Source</w:t>
            </w:r>
          </w:p>
        </w:tc>
        <w:tc>
          <w:tcPr>
            <w:tcW w:type="dxa" w:w="5544"/>
            <w:shd w:val="clear" w:color="auto" w:fill="1F3864"/>
          </w:tcPr>
          <w:p>
            <w:r/>
            <w:r>
              <w:rPr>
                <w:b/>
                <w:color w:val="FFFFFF"/>
                <w:sz w:val="18"/>
              </w:rPr>
              <w:t>Strategic Annotation (SJ relevance)</w:t>
            </w:r>
          </w:p>
        </w:tc>
        <w:tc>
          <w:tcPr>
            <w:tcW w:type="dxa" w:w="1152"/>
            <w:shd w:val="clear" w:color="auto" w:fill="1F3864"/>
          </w:tcPr>
          <w:p>
            <w:r/>
            <w:r>
              <w:rPr>
                <w:b/>
                <w:color w:val="FFFFFF"/>
                <w:sz w:val="18"/>
              </w:rPr>
              <w:t>Impact</w:t>
            </w:r>
          </w:p>
        </w:tc>
      </w:tr>
      <w:tr>
        <w:tc>
          <w:tcPr>
            <w:tcW w:type="dxa" w:w="1512"/>
          </w:tcPr>
          <w:p>
            <w:pPr>
              <w:spacing w:after="20"/>
            </w:pPr>
            <w:r/>
            <w:r>
              <w:rPr>
                <w:b w:val="0"/>
                <w:i w:val="0"/>
                <w:sz w:val="18"/>
              </w:rPr>
              <w:t>Jan. 10, 2023</w:t>
            </w:r>
          </w:p>
        </w:tc>
        <w:tc>
          <w:tcPr>
            <w:tcW w:type="dxa" w:w="3960"/>
          </w:tcPr>
          <w:p>
            <w:pPr>
              <w:spacing w:after="20"/>
            </w:pPr>
            <w:r/>
            <w:r>
              <w:rPr>
                <w:b/>
                <w:i w:val="0"/>
                <w:sz w:val="18"/>
              </w:rPr>
              <w:t>Notice of Material Breach</w:t>
            </w:r>
            <w:r>
              <w:rPr>
                <w:b w:val="0"/>
                <w:i w:val="0"/>
                <w:sz w:val="18"/>
              </w:rPr>
              <w:t xml:space="preserve"> (signed by Holcomb; cc Stanton, Ivers). Claims Year 3 purchases ≈ </w:t>
            </w:r>
            <w:r>
              <w:rPr>
                <w:b/>
                <w:i w:val="0"/>
                <w:sz w:val="18"/>
              </w:rPr>
              <w:t>$4,270,000</w:t>
            </w:r>
            <w:r>
              <w:rPr>
                <w:b w:val="0"/>
                <w:i w:val="0"/>
                <w:sz w:val="18"/>
              </w:rPr>
              <w:t xml:space="preserve"> (shortfall $2.73M). Demands cure within 30 days by a binding purchase plan or purchases "sufficient to eliminate or substantially reduce" the shortfall. Describes §9.2 as requiring "sixty (60) days' written notice."</w:t>
            </w:r>
          </w:p>
        </w:tc>
        <w:tc>
          <w:tcPr>
            <w:tcW w:type="dxa" w:w="1656"/>
          </w:tcPr>
          <w:p>
            <w:pPr>
              <w:spacing w:after="20"/>
            </w:pPr>
            <w:r/>
            <w:r>
              <w:rPr>
                <w:b w:val="0"/>
                <w:i w:val="0"/>
                <w:sz w:val="18"/>
              </w:rPr>
              <w:t>NMB; Ans. ¶13; Holcomb Dep. §VI</w:t>
            </w:r>
          </w:p>
        </w:tc>
        <w:tc>
          <w:tcPr>
            <w:tcW w:type="dxa" w:w="5544"/>
          </w:tcPr>
          <w:p>
            <w:pPr>
              <w:spacing w:after="20"/>
            </w:pPr>
            <w:r/>
            <w:r>
              <w:rPr>
                <w:b w:val="0"/>
                <w:i w:val="0"/>
                <w:sz w:val="18"/>
              </w:rPr>
              <w:t xml:space="preserve">Issued 63 days before Year 3 ended. §5.3 measures the "full applicable Purchase Year," and there are no interim benchmarks. Holcomb admitted Year 3 had not concluded. </w:t>
            </w:r>
            <w:r>
              <w:rPr>
                <w:b/>
                <w:i w:val="0"/>
                <w:sz w:val="18"/>
              </w:rPr>
              <w:t>Greenleaf's best argument:</w:t>
            </w:r>
            <w:r>
              <w:rPr>
                <w:b w:val="0"/>
                <w:i w:val="0"/>
                <w:sz w:val="18"/>
              </w:rPr>
              <w:t xml:space="preserve"> the notice framed the issue as impracticability of performance (anticipatory), and Harborview in fact missed. But the EDA has no anticipatory-breach mechanism, and the notice alleges an existing breach. </w:t>
            </w:r>
            <w:r>
              <w:rPr>
                <w:b/>
                <w:i w:val="0"/>
                <w:sz w:val="18"/>
              </w:rPr>
              <w:t>Figure conflict:</w:t>
            </w:r>
            <w:r>
              <w:rPr>
                <w:b w:val="0"/>
                <w:i w:val="0"/>
                <w:sz w:val="18"/>
              </w:rPr>
              <w:t xml:space="preserve"> $4.27M vs. the $5M (Stanton, 1/3) and $5.8–6.0M projection (Holcomb, 12/1). Pull the sales ledger.</w:t>
            </w:r>
          </w:p>
        </w:tc>
        <w:tc>
          <w:tcPr>
            <w:tcW w:type="dxa" w:w="1152"/>
            <w:shd w:val="clear" w:color="auto" w:fill="F4CCCC"/>
          </w:tcPr>
          <w:p>
            <w:r/>
            <w:r>
              <w:rPr>
                <w:b/>
                <w:sz w:val="16"/>
              </w:rPr>
              <w:t>ADVERSE</w:t>
            </w:r>
          </w:p>
        </w:tc>
      </w:tr>
      <w:tr>
        <w:tc>
          <w:tcPr>
            <w:tcW w:type="dxa" w:w="1512"/>
          </w:tcPr>
          <w:p>
            <w:pPr>
              <w:spacing w:after="20"/>
            </w:pPr>
            <w:r/>
            <w:r>
              <w:rPr>
                <w:b w:val="0"/>
                <w:i w:val="0"/>
                <w:sz w:val="18"/>
              </w:rPr>
              <w:t>≈ Feb. 9, 2023</w:t>
            </w:r>
          </w:p>
        </w:tc>
        <w:tc>
          <w:tcPr>
            <w:tcW w:type="dxa" w:w="3960"/>
          </w:tcPr>
          <w:p>
            <w:pPr>
              <w:spacing w:after="20"/>
            </w:pPr>
            <w:r/>
            <w:r>
              <w:rPr>
                <w:b w:val="0"/>
                <w:i w:val="0"/>
                <w:sz w:val="18"/>
              </w:rPr>
              <w:t>Cure period ends per NOT (computed from Jan. 10 mailing).</w:t>
            </w:r>
          </w:p>
        </w:tc>
        <w:tc>
          <w:tcPr>
            <w:tcW w:type="dxa" w:w="1656"/>
          </w:tcPr>
          <w:p>
            <w:pPr>
              <w:spacing w:after="20"/>
            </w:pPr>
            <w:r/>
            <w:r>
              <w:rPr>
                <w:b w:val="0"/>
                <w:i w:val="0"/>
                <w:sz w:val="18"/>
              </w:rPr>
              <w:t>NOT</w:t>
            </w:r>
          </w:p>
        </w:tc>
        <w:tc>
          <w:tcPr>
            <w:tcW w:type="dxa" w:w="5544"/>
          </w:tcPr>
          <w:p>
            <w:pPr>
              <w:spacing w:after="20"/>
            </w:pPr>
            <w:r/>
            <w:r>
              <w:rPr>
                <w:b w:val="0"/>
                <w:i w:val="0"/>
                <w:sz w:val="18"/>
              </w:rPr>
              <w:t>EDA §14.4: notice is effective on actual receipt (certified mail). Confirm the green-card date. Receipt after Jan. 16 would still leave Feb. 15 outside the cure period, but verify.</w:t>
            </w:r>
          </w:p>
        </w:tc>
        <w:tc>
          <w:tcPr>
            <w:tcW w:type="dxa" w:w="1152"/>
            <w:shd w:val="clear" w:color="auto" w:fill="E7E6E6"/>
          </w:tcPr>
          <w:p>
            <w:r/>
            <w:r>
              <w:rPr>
                <w:b/>
                <w:sz w:val="16"/>
              </w:rPr>
              <w:t>PROCEDURAL</w:t>
            </w:r>
          </w:p>
        </w:tc>
      </w:tr>
      <w:tr>
        <w:tc>
          <w:tcPr>
            <w:tcW w:type="dxa" w:w="1512"/>
          </w:tcPr>
          <w:p>
            <w:pPr>
              <w:spacing w:after="20"/>
            </w:pPr>
            <w:r/>
            <w:r>
              <w:rPr>
                <w:b w:val="0"/>
                <w:i w:val="0"/>
                <w:sz w:val="18"/>
              </w:rPr>
              <w:t>Jan. 10 – Feb. 15, 2023</w:t>
            </w:r>
          </w:p>
        </w:tc>
        <w:tc>
          <w:tcPr>
            <w:tcW w:type="dxa" w:w="3960"/>
          </w:tcPr>
          <w:p>
            <w:pPr>
              <w:spacing w:after="20"/>
            </w:pPr>
            <w:r/>
            <w:r>
              <w:rPr>
                <w:b w:val="0"/>
                <w:i w:val="0"/>
                <w:sz w:val="18"/>
              </w:rPr>
              <w:t xml:space="preserve">Implied Harborview purchases during the cure period ≈ </w:t>
            </w:r>
            <w:r>
              <w:rPr>
                <w:b/>
                <w:i w:val="0"/>
                <w:sz w:val="18"/>
              </w:rPr>
              <w:t>$1.33M</w:t>
            </w:r>
            <w:r>
              <w:rPr>
                <w:b w:val="0"/>
                <w:i w:val="0"/>
                <w:sz w:val="18"/>
              </w:rPr>
              <w:t xml:space="preserve"> ($4.27M → $5.6M in 36 days).</w:t>
            </w:r>
          </w:p>
        </w:tc>
        <w:tc>
          <w:tcPr>
            <w:tcW w:type="dxa" w:w="1656"/>
          </w:tcPr>
          <w:p>
            <w:pPr>
              <w:spacing w:after="20"/>
            </w:pPr>
            <w:r/>
            <w:r>
              <w:rPr>
                <w:b w:val="0"/>
                <w:i w:val="0"/>
                <w:sz w:val="18"/>
              </w:rPr>
              <w:t>NMB; NOT (derived)</w:t>
            </w:r>
          </w:p>
        </w:tc>
        <w:tc>
          <w:tcPr>
            <w:tcW w:type="dxa" w:w="5544"/>
          </w:tcPr>
          <w:p>
            <w:pPr>
              <w:spacing w:after="20"/>
            </w:pPr>
            <w:r/>
            <w:r>
              <w:rPr>
                <w:b/>
                <w:i w:val="0"/>
                <w:sz w:val="18"/>
              </w:rPr>
              <w:t>Contradicts Ans./Counterclaim ¶51</w:t>
            </w:r>
            <w:r>
              <w:rPr>
                <w:b w:val="0"/>
                <w:i w:val="0"/>
                <w:sz w:val="18"/>
              </w:rPr>
              <w:t xml:space="preserve"> ("did not increase its purchasing volume"). If accurate, Harborview was actively curing at a pace (≈ $1.1M/month) that would have closed the gap by Mar. 14. If inaccurate, the NMB figure was wrong. Either way, </w:t>
            </w:r>
            <w:r>
              <w:rPr>
                <w:b/>
                <w:i w:val="0"/>
                <w:sz w:val="18"/>
              </w:rPr>
              <w:t>amend ¶51 before relying on it in Rule 56 papers.</w:t>
            </w:r>
          </w:p>
        </w:tc>
        <w:tc>
          <w:tcPr>
            <w:tcW w:type="dxa" w:w="1152"/>
            <w:shd w:val="clear" w:color="auto" w:fill="F4CCCC"/>
          </w:tcPr>
          <w:p>
            <w:r/>
            <w:r>
              <w:rPr>
                <w:b/>
                <w:sz w:val="16"/>
              </w:rPr>
              <w:t>ADVERSE</w:t>
            </w:r>
          </w:p>
        </w:tc>
      </w:tr>
      <w:tr>
        <w:tc>
          <w:tcPr>
            <w:tcW w:type="dxa" w:w="1512"/>
          </w:tcPr>
          <w:p>
            <w:pPr>
              <w:spacing w:after="20"/>
            </w:pPr>
            <w:r/>
            <w:r>
              <w:rPr>
                <w:b w:val="0"/>
                <w:i w:val="0"/>
                <w:sz w:val="18"/>
              </w:rPr>
              <w:t>Feb. 15, 2023</w:t>
            </w:r>
          </w:p>
        </w:tc>
        <w:tc>
          <w:tcPr>
            <w:tcW w:type="dxa" w:w="3960"/>
          </w:tcPr>
          <w:p>
            <w:pPr>
              <w:spacing w:after="20"/>
            </w:pPr>
            <w:r/>
            <w:r>
              <w:rPr>
                <w:b/>
                <w:i w:val="0"/>
                <w:sz w:val="18"/>
              </w:rPr>
              <w:t>Notice of Termination</w:t>
            </w:r>
            <w:r>
              <w:rPr>
                <w:b w:val="0"/>
                <w:i w:val="0"/>
                <w:sz w:val="18"/>
              </w:rPr>
              <w:t xml:space="preserve"> (Stanton) effective </w:t>
            </w:r>
            <w:r>
              <w:rPr>
                <w:b/>
                <w:i w:val="0"/>
                <w:sz w:val="18"/>
              </w:rPr>
              <w:t>Mar. 17, 2023</w:t>
            </w:r>
            <w:r>
              <w:rPr>
                <w:b w:val="0"/>
                <w:i w:val="0"/>
                <w:sz w:val="18"/>
              </w:rPr>
              <w:t>. States purchases ≈ $5.6M, shortfall ≈ $1.4M, "approximately one month remaining."</w:t>
            </w:r>
          </w:p>
        </w:tc>
        <w:tc>
          <w:tcPr>
            <w:tcW w:type="dxa" w:w="1656"/>
          </w:tcPr>
          <w:p>
            <w:pPr>
              <w:spacing w:after="20"/>
            </w:pPr>
            <w:r/>
            <w:r>
              <w:rPr>
                <w:b w:val="0"/>
                <w:i w:val="0"/>
                <w:sz w:val="18"/>
              </w:rPr>
              <w:t>NOT; Ans. ¶14</w:t>
            </w:r>
          </w:p>
        </w:tc>
        <w:tc>
          <w:tcPr>
            <w:tcW w:type="dxa" w:w="5544"/>
          </w:tcPr>
          <w:p>
            <w:pPr>
              <w:spacing w:after="20"/>
            </w:pPr>
            <w:r/>
            <w:r>
              <w:rPr>
                <w:b w:val="0"/>
                <w:i w:val="0"/>
                <w:sz w:val="18"/>
              </w:rPr>
              <w:t>(1) Issued before any "actual material breach" (Year 3 still open), so void under §9.2's last sentence. (2) Gives 30 days, not the 60 days Greenleaf itself says §9.2 requires (Ans. ¶52 asserts 60 days were given, which is inaccurate). Under the actual EDA text no 60-day period exists, so argue the actual text, not the pleading. (3) Cites survival "Sections 11, 13, 15," but the EDA's §9.6 lists Arts. 1, 10, 11, 13, 14. (4) The effective date falls after the Initial Term ended, which is exposure under §9.3.</w:t>
            </w:r>
          </w:p>
        </w:tc>
        <w:tc>
          <w:tcPr>
            <w:tcW w:type="dxa" w:w="1152"/>
            <w:shd w:val="clear" w:color="auto" w:fill="F4CCCC"/>
          </w:tcPr>
          <w:p>
            <w:r/>
            <w:r>
              <w:rPr>
                <w:b/>
                <w:sz w:val="16"/>
              </w:rPr>
              <w:t>ADVERSE</w:t>
            </w:r>
          </w:p>
        </w:tc>
      </w:tr>
      <w:tr>
        <w:tc>
          <w:tcPr>
            <w:tcW w:type="dxa" w:w="1512"/>
          </w:tcPr>
          <w:p>
            <w:pPr>
              <w:spacing w:after="20"/>
            </w:pPr>
            <w:r/>
            <w:r>
              <w:rPr>
                <w:b w:val="0"/>
                <w:i w:val="0"/>
                <w:sz w:val="18"/>
              </w:rPr>
              <w:t>Feb. 22, 2023</w:t>
            </w:r>
          </w:p>
        </w:tc>
        <w:tc>
          <w:tcPr>
            <w:tcW w:type="dxa" w:w="3960"/>
          </w:tcPr>
          <w:p>
            <w:pPr>
              <w:spacing w:after="20"/>
            </w:pPr>
            <w:r/>
            <w:r>
              <w:rPr>
                <w:b w:val="0"/>
                <w:i w:val="0"/>
                <w:sz w:val="18"/>
              </w:rPr>
              <w:t xml:space="preserve">Harborview (DGW) response: breach notice premature; shortfall caused by diversion ($1.9M) and QA ($1.4M); demands withdrawal, cessation of Cascade shipments, accounting; </w:t>
            </w:r>
            <w:r>
              <w:rPr>
                <w:b/>
                <w:i w:val="0"/>
                <w:sz w:val="18"/>
              </w:rPr>
              <w:t>litigation preservation demand</w:t>
            </w:r>
            <w:r>
              <w:rPr>
                <w:b w:val="0"/>
                <w:i w:val="0"/>
                <w:sz w:val="18"/>
              </w:rPr>
              <w:t xml:space="preserve"> naming Holcomb and Fong.</w:t>
            </w:r>
          </w:p>
        </w:tc>
        <w:tc>
          <w:tcPr>
            <w:tcW w:type="dxa" w:w="1656"/>
          </w:tcPr>
          <w:p>
            <w:pPr>
              <w:spacing w:after="20"/>
            </w:pPr>
            <w:r/>
            <w:r>
              <w:rPr>
                <w:b w:val="0"/>
                <w:i w:val="0"/>
                <w:sz w:val="18"/>
              </w:rPr>
              <w:t>HV Ltr; Ans. ¶53; Holcomb Dep.</w:t>
            </w:r>
          </w:p>
        </w:tc>
        <w:tc>
          <w:tcPr>
            <w:tcW w:type="dxa" w:w="5544"/>
          </w:tcPr>
          <w:p>
            <w:pPr>
              <w:spacing w:after="20"/>
            </w:pPr>
            <w:r/>
            <w:r>
              <w:rPr>
                <w:b w:val="0"/>
                <w:i w:val="0"/>
                <w:sz w:val="18"/>
              </w:rPr>
              <w:t xml:space="preserve">Rebuts waiver/estoppel. </w:t>
            </w:r>
            <w:r>
              <w:rPr>
                <w:b/>
                <w:i w:val="0"/>
                <w:sz w:val="18"/>
              </w:rPr>
              <w:t>Triggers the preservation duty no later than this date</w:t>
            </w:r>
            <w:r>
              <w:rPr>
                <w:b w:val="0"/>
                <w:i w:val="0"/>
                <w:sz w:val="18"/>
              </w:rPr>
              <w:t xml:space="preserve"> (arguably Dec. 1, 2022 or Jan. 3, 2023). The Cascade "separate invoicing" records Stanton ordered on Aug. 23 must be preserved and produced. Harborview was already naming Cascade and the $1.9M figure here, and the Complaint (¶54) says Harborview first suspected only after termination. That tension is immaterial to limitations (see Section 4.4) but useful for credibility.</w:t>
            </w:r>
          </w:p>
        </w:tc>
        <w:tc>
          <w:tcPr>
            <w:tcW w:type="dxa" w:w="1152"/>
            <w:shd w:val="clear" w:color="auto" w:fill="F4CCCC"/>
          </w:tcPr>
          <w:p>
            <w:r/>
            <w:r>
              <w:rPr>
                <w:b/>
                <w:sz w:val="16"/>
              </w:rPr>
              <w:t>ADVERSE</w:t>
            </w:r>
          </w:p>
        </w:tc>
      </w:tr>
      <w:tr>
        <w:tc>
          <w:tcPr>
            <w:tcW w:type="dxa" w:w="1512"/>
          </w:tcPr>
          <w:p>
            <w:pPr>
              <w:spacing w:after="20"/>
            </w:pPr>
            <w:r/>
            <w:r>
              <w:rPr>
                <w:b w:val="0"/>
                <w:i w:val="0"/>
                <w:sz w:val="18"/>
              </w:rPr>
              <w:t>≈ Mar. 8, 2023</w:t>
            </w:r>
          </w:p>
        </w:tc>
        <w:tc>
          <w:tcPr>
            <w:tcW w:type="dxa" w:w="3960"/>
          </w:tcPr>
          <w:p>
            <w:pPr>
              <w:spacing w:after="20"/>
            </w:pPr>
            <w:r/>
            <w:r>
              <w:rPr>
                <w:b w:val="0"/>
                <w:i w:val="0"/>
                <w:sz w:val="18"/>
              </w:rPr>
              <w:t>14-day compliance deadline in the Harborview demand passes; no withdrawal.</w:t>
            </w:r>
          </w:p>
        </w:tc>
        <w:tc>
          <w:tcPr>
            <w:tcW w:type="dxa" w:w="1656"/>
          </w:tcPr>
          <w:p>
            <w:pPr>
              <w:spacing w:after="20"/>
            </w:pPr>
            <w:r/>
            <w:r>
              <w:rPr>
                <w:b w:val="0"/>
                <w:i w:val="0"/>
                <w:sz w:val="18"/>
              </w:rPr>
              <w:t>HV Ltr</w:t>
            </w:r>
          </w:p>
        </w:tc>
        <w:tc>
          <w:tcPr>
            <w:tcW w:type="dxa" w:w="5544"/>
          </w:tcPr>
          <w:p>
            <w:pPr>
              <w:spacing w:after="20"/>
            </w:pPr>
            <w:r/>
            <w:r>
              <w:rPr>
                <w:b w:val="0"/>
                <w:i w:val="0"/>
                <w:sz w:val="18"/>
              </w:rPr>
              <w:t>EDA §§13.1–13.2 require CEO-level negotiation (30 days) and mediation before litigation. The file does not show either party invoking them. Possible (minor) defense argument; likely waived by both.</w:t>
            </w:r>
          </w:p>
        </w:tc>
        <w:tc>
          <w:tcPr>
            <w:tcW w:type="dxa" w:w="1152"/>
            <w:shd w:val="clear" w:color="auto" w:fill="E7E6E6"/>
          </w:tcPr>
          <w:p>
            <w:r/>
            <w:r>
              <w:rPr>
                <w:b/>
                <w:sz w:val="16"/>
              </w:rPr>
              <w:t>PROCEDURAL</w:t>
            </w:r>
          </w:p>
        </w:tc>
      </w:tr>
      <w:tr>
        <w:tc>
          <w:tcPr>
            <w:tcW w:type="dxa" w:w="1512"/>
          </w:tcPr>
          <w:p>
            <w:pPr>
              <w:spacing w:after="20"/>
            </w:pPr>
            <w:r/>
            <w:r>
              <w:rPr>
                <w:b w:val="0"/>
                <w:i w:val="0"/>
                <w:sz w:val="18"/>
              </w:rPr>
              <w:t>Mar. 14, 2023</w:t>
            </w:r>
          </w:p>
        </w:tc>
        <w:tc>
          <w:tcPr>
            <w:tcW w:type="dxa" w:w="3960"/>
          </w:tcPr>
          <w:p>
            <w:pPr>
              <w:spacing w:after="20"/>
            </w:pPr>
            <w:r/>
            <w:r>
              <w:rPr>
                <w:b/>
                <w:i w:val="0"/>
                <w:sz w:val="18"/>
              </w:rPr>
              <w:t>Year 3 and Initial Term end.</w:t>
            </w:r>
            <w:r>
              <w:rPr>
                <w:b w:val="0"/>
                <w:i w:val="0"/>
                <w:sz w:val="18"/>
              </w:rPr>
              <w:t xml:space="preserve"> Final Year 3 purchases </w:t>
            </w:r>
            <w:r>
              <w:rPr>
                <w:b/>
                <w:i w:val="0"/>
                <w:sz w:val="18"/>
              </w:rPr>
              <w:t>$5.8M</w:t>
            </w:r>
            <w:r>
              <w:rPr>
                <w:b w:val="0"/>
                <w:i w:val="0"/>
                <w:sz w:val="18"/>
              </w:rPr>
              <w:t xml:space="preserve"> (shortfall $1.2M, 17.1%).</w:t>
            </w:r>
          </w:p>
        </w:tc>
        <w:tc>
          <w:tcPr>
            <w:tcW w:type="dxa" w:w="1656"/>
          </w:tcPr>
          <w:p>
            <w:pPr>
              <w:spacing w:after="20"/>
            </w:pPr>
            <w:r/>
            <w:r>
              <w:rPr>
                <w:b w:val="0"/>
                <w:i w:val="0"/>
                <w:sz w:val="18"/>
              </w:rPr>
              <w:t>Ans. ¶54; Holcomb Dep.; Chakrabarti</w:t>
            </w:r>
          </w:p>
        </w:tc>
        <w:tc>
          <w:tcPr>
            <w:tcW w:type="dxa" w:w="5544"/>
          </w:tcPr>
          <w:p>
            <w:pPr>
              <w:spacing w:after="20"/>
            </w:pPr>
            <w:r/>
            <w:r>
              <w:rPr>
                <w:b w:val="0"/>
                <w:i w:val="0"/>
                <w:sz w:val="18"/>
              </w:rPr>
              <w:t xml:space="preserve">The first date an "actual" §5.2 breach could exist. </w:t>
            </w:r>
            <w:r>
              <w:rPr>
                <w:b/>
                <w:i w:val="0"/>
                <w:sz w:val="18"/>
              </w:rPr>
              <w:t>Causation math:</w:t>
            </w:r>
            <w:r>
              <w:rPr>
                <w:b w:val="0"/>
                <w:i w:val="0"/>
                <w:sz w:val="18"/>
              </w:rPr>
              <w:t xml:space="preserve"> $5.8M + $1.9M diverted = $7.7M (above the minimum even with zero QA impact); + $1.1M Buckley-unjustified = $8.8M; + full $1.4M = $9.1M.</w:t>
            </w:r>
          </w:p>
        </w:tc>
        <w:tc>
          <w:tcPr>
            <w:tcW w:type="dxa" w:w="1152"/>
            <w:shd w:val="clear" w:color="auto" w:fill="FFF2CC"/>
          </w:tcPr>
          <w:p>
            <w:r/>
            <w:r>
              <w:rPr>
                <w:b/>
                <w:sz w:val="16"/>
              </w:rPr>
              <w:t>MIXED</w:t>
            </w:r>
          </w:p>
        </w:tc>
      </w:tr>
      <w:tr>
        <w:tc>
          <w:tcPr>
            <w:tcW w:type="dxa" w:w="1512"/>
          </w:tcPr>
          <w:p>
            <w:pPr>
              <w:spacing w:after="20"/>
            </w:pPr>
            <w:r/>
            <w:r>
              <w:rPr>
                <w:b w:val="0"/>
                <w:i w:val="0"/>
                <w:sz w:val="18"/>
              </w:rPr>
              <w:t>Mar. 15, 2023</w:t>
            </w:r>
          </w:p>
        </w:tc>
        <w:tc>
          <w:tcPr>
            <w:tcW w:type="dxa" w:w="3960"/>
          </w:tcPr>
          <w:p>
            <w:pPr>
              <w:spacing w:after="20"/>
            </w:pPr>
            <w:r/>
            <w:r>
              <w:rPr>
                <w:b w:val="0"/>
                <w:i w:val="0"/>
                <w:sz w:val="18"/>
              </w:rPr>
              <w:t>Renewal Term (Year 4) begins by operation of §9.3, absent timely non-renewal ($7.5M minimum). Finance memo reconciles "canonical" rejection value to $1.4M.</w:t>
            </w:r>
          </w:p>
        </w:tc>
        <w:tc>
          <w:tcPr>
            <w:tcW w:type="dxa" w:w="1656"/>
          </w:tcPr>
          <w:p>
            <w:pPr>
              <w:spacing w:after="20"/>
            </w:pPr>
            <w:r/>
            <w:r>
              <w:rPr>
                <w:b w:val="0"/>
                <w:i w:val="0"/>
                <w:sz w:val="18"/>
              </w:rPr>
              <w:t>EDA §9.3; Log (summary row)</w:t>
            </w:r>
          </w:p>
        </w:tc>
        <w:tc>
          <w:tcPr>
            <w:tcW w:type="dxa" w:w="5544"/>
          </w:tcPr>
          <w:p>
            <w:pPr>
              <w:spacing w:after="20"/>
            </w:pPr>
            <w:r/>
            <w:r>
              <w:rPr>
                <w:b w:val="0"/>
                <w:i w:val="0"/>
                <w:sz w:val="18"/>
              </w:rPr>
              <w:t xml:space="preserve">The $1.4M figure is an "adjusted" number that includes rework costs and write-downs. It is </w:t>
            </w:r>
            <w:r>
              <w:rPr>
                <w:b/>
                <w:i w:val="0"/>
                <w:sz w:val="18"/>
              </w:rPr>
              <w:t>not</w:t>
            </w:r>
            <w:r>
              <w:rPr>
                <w:b w:val="0"/>
                <w:i w:val="0"/>
                <w:sz w:val="18"/>
              </w:rPr>
              <w:t xml:space="preserve"> wholesale value; the Log's line-item sum is $1,317,900. Greenleaf judicially admitted $1.4M (Ans. ¶26). Consider whether a correction is worth the credibility cost.</w:t>
            </w:r>
          </w:p>
        </w:tc>
        <w:tc>
          <w:tcPr>
            <w:tcW w:type="dxa" w:w="1152"/>
            <w:shd w:val="clear" w:color="auto" w:fill="FFF2CC"/>
          </w:tcPr>
          <w:p>
            <w:r/>
            <w:r>
              <w:rPr>
                <w:b/>
                <w:sz w:val="16"/>
              </w:rPr>
              <w:t>MIXED</w:t>
            </w:r>
          </w:p>
        </w:tc>
      </w:tr>
      <w:tr>
        <w:tc>
          <w:tcPr>
            <w:tcW w:type="dxa" w:w="1512"/>
          </w:tcPr>
          <w:p>
            <w:pPr>
              <w:spacing w:after="20"/>
            </w:pPr>
            <w:r/>
            <w:r>
              <w:rPr>
                <w:b w:val="0"/>
                <w:i w:val="0"/>
                <w:sz w:val="18"/>
              </w:rPr>
              <w:t>Mar. 17, 2023</w:t>
            </w:r>
          </w:p>
        </w:tc>
        <w:tc>
          <w:tcPr>
            <w:tcW w:type="dxa" w:w="3960"/>
          </w:tcPr>
          <w:p>
            <w:pPr>
              <w:spacing w:after="20"/>
            </w:pPr>
            <w:r/>
            <w:r>
              <w:rPr>
                <w:b w:val="0"/>
                <w:i w:val="0"/>
                <w:sz w:val="18"/>
              </w:rPr>
              <w:t>Termination effective (two days into the Renewal Term).</w:t>
            </w:r>
          </w:p>
        </w:tc>
        <w:tc>
          <w:tcPr>
            <w:tcW w:type="dxa" w:w="1656"/>
          </w:tcPr>
          <w:p>
            <w:pPr>
              <w:spacing w:after="20"/>
            </w:pPr>
            <w:r/>
            <w:r>
              <w:rPr>
                <w:b w:val="0"/>
                <w:i w:val="0"/>
                <w:sz w:val="18"/>
              </w:rPr>
              <w:t>NOT</w:t>
            </w:r>
          </w:p>
        </w:tc>
        <w:tc>
          <w:tcPr>
            <w:tcW w:type="dxa" w:w="5544"/>
          </w:tcPr>
          <w:p>
            <w:pPr>
              <w:spacing w:after="20"/>
            </w:pPr>
            <w:r/>
            <w:r>
              <w:rPr>
                <w:b w:val="0"/>
                <w:i w:val="0"/>
                <w:sz w:val="18"/>
              </w:rPr>
              <w:t>Harborview's damages theory depends on this. Greenleaf's damages-limitation argument: the maximum lost term is Mar. 17, 2023 – Mar. 14, 2024.</w:t>
            </w:r>
          </w:p>
        </w:tc>
        <w:tc>
          <w:tcPr>
            <w:tcW w:type="dxa" w:w="1152"/>
            <w:shd w:val="clear" w:color="auto" w:fill="F4CCCC"/>
          </w:tcPr>
          <w:p>
            <w:r/>
            <w:r>
              <w:rPr>
                <w:b/>
                <w:sz w:val="16"/>
              </w:rPr>
              <w:t>ADVERSE</w:t>
            </w:r>
          </w:p>
        </w:tc>
      </w:tr>
      <w:tr>
        <w:tc>
          <w:tcPr>
            <w:tcW w:type="dxa" w:w="1512"/>
          </w:tcPr>
          <w:p>
            <w:pPr>
              <w:spacing w:after="20"/>
            </w:pPr>
            <w:r/>
            <w:r>
              <w:rPr>
                <w:b w:val="0"/>
                <w:i w:val="0"/>
                <w:sz w:val="18"/>
              </w:rPr>
              <w:t>Apr. – Dec. 2023</w:t>
            </w:r>
          </w:p>
        </w:tc>
        <w:tc>
          <w:tcPr>
            <w:tcW w:type="dxa" w:w="3960"/>
          </w:tcPr>
          <w:p>
            <w:pPr>
              <w:spacing w:after="20"/>
            </w:pPr>
            <w:r/>
            <w:r>
              <w:rPr>
                <w:b w:val="0"/>
                <w:i w:val="0"/>
                <w:sz w:val="18"/>
              </w:rPr>
              <w:t>Harborview mitigation: warehouse reconfiguration, personnel, shelf-space fees, replacement lines ($1.808M claimed).</w:t>
            </w:r>
          </w:p>
        </w:tc>
        <w:tc>
          <w:tcPr>
            <w:tcW w:type="dxa" w:w="1656"/>
          </w:tcPr>
          <w:p>
            <w:pPr>
              <w:spacing w:after="20"/>
            </w:pPr>
            <w:r/>
            <w:r>
              <w:rPr>
                <w:b w:val="0"/>
                <w:i w:val="0"/>
                <w:sz w:val="18"/>
              </w:rPr>
              <w:t>Chakrabarti §VI.D</w:t>
            </w:r>
          </w:p>
        </w:tc>
        <w:tc>
          <w:tcPr>
            <w:tcW w:type="dxa" w:w="5544"/>
          </w:tcPr>
          <w:p>
            <w:pPr>
              <w:spacing w:after="20"/>
            </w:pPr>
            <w:r/>
            <w:r>
              <w:rPr>
                <w:b w:val="0"/>
                <w:i w:val="0"/>
                <w:sz w:val="18"/>
              </w:rPr>
              <w:t>Attack: overlap with lost profits; "retaining economic consultants and legal counsel" is not recoverable mitigation; shelf-space and promotional fees look consequential (§12.1).</w:t>
            </w:r>
          </w:p>
        </w:tc>
        <w:tc>
          <w:tcPr>
            <w:tcW w:type="dxa" w:w="1152"/>
            <w:shd w:val="clear" w:color="auto" w:fill="FFF2CC"/>
          </w:tcPr>
          <w:p>
            <w:r/>
            <w:r>
              <w:rPr>
                <w:b/>
                <w:sz w:val="16"/>
              </w:rPr>
              <w:t>MIXED</w:t>
            </w:r>
          </w:p>
        </w:tc>
      </w:tr>
    </w:tbl>
    <w:p>
      <w:pPr>
        <w:spacing w:after="40"/>
      </w:pPr>
    </w:p>
    <w:p>
      <w:pPr>
        <w:pStyle w:val="Heading2"/>
      </w:pPr>
      <w:r>
        <w:t>Phase V — Litigation (February 2024 – Present)</w:t>
      </w:r>
    </w:p>
    <w:tbl>
      <w:tblPr>
        <w:tblStyle w:val="TableGrid"/>
        <w:tblW w:type="auto" w:w="0"/>
        <w:jc w:val="center"/>
        <w:tblLayout w:type="fixed"/>
        <w:tblLook w:firstColumn="1" w:firstRow="1" w:lastColumn="0" w:lastRow="0" w:noHBand="0" w:noVBand="1" w:val="04A0"/>
      </w:tblPr>
      <w:tblGrid>
        <w:gridCol w:w="2765"/>
        <w:gridCol w:w="2765"/>
        <w:gridCol w:w="2765"/>
        <w:gridCol w:w="2765"/>
        <w:gridCol w:w="2765"/>
      </w:tblGrid>
      <w:tr>
        <w:trPr>
          <w:tblHeader w:val="true"/>
        </w:trPr>
        <w:tc>
          <w:tcPr>
            <w:tcW w:type="dxa" w:w="1512"/>
            <w:shd w:val="clear" w:color="auto" w:fill="1F3864"/>
          </w:tcPr>
          <w:p>
            <w:r/>
            <w:r>
              <w:rPr>
                <w:b/>
                <w:color w:val="FFFFFF"/>
                <w:sz w:val="18"/>
              </w:rPr>
              <w:t>Date</w:t>
            </w:r>
          </w:p>
        </w:tc>
        <w:tc>
          <w:tcPr>
            <w:tcW w:type="dxa" w:w="3960"/>
            <w:shd w:val="clear" w:color="auto" w:fill="1F3864"/>
          </w:tcPr>
          <w:p>
            <w:r/>
            <w:r>
              <w:rPr>
                <w:b/>
                <w:color w:val="FFFFFF"/>
                <w:sz w:val="18"/>
              </w:rPr>
              <w:t>Event</w:t>
            </w:r>
          </w:p>
        </w:tc>
        <w:tc>
          <w:tcPr>
            <w:tcW w:type="dxa" w:w="1656"/>
            <w:shd w:val="clear" w:color="auto" w:fill="1F3864"/>
          </w:tcPr>
          <w:p>
            <w:r/>
            <w:r>
              <w:rPr>
                <w:b/>
                <w:color w:val="FFFFFF"/>
                <w:sz w:val="18"/>
              </w:rPr>
              <w:t>Source</w:t>
            </w:r>
          </w:p>
        </w:tc>
        <w:tc>
          <w:tcPr>
            <w:tcW w:type="dxa" w:w="5544"/>
            <w:shd w:val="clear" w:color="auto" w:fill="1F3864"/>
          </w:tcPr>
          <w:p>
            <w:r/>
            <w:r>
              <w:rPr>
                <w:b/>
                <w:color w:val="FFFFFF"/>
                <w:sz w:val="18"/>
              </w:rPr>
              <w:t>Strategic Annotation (SJ relevance)</w:t>
            </w:r>
          </w:p>
        </w:tc>
        <w:tc>
          <w:tcPr>
            <w:tcW w:type="dxa" w:w="1152"/>
            <w:shd w:val="clear" w:color="auto" w:fill="1F3864"/>
          </w:tcPr>
          <w:p>
            <w:r/>
            <w:r>
              <w:rPr>
                <w:b/>
                <w:color w:val="FFFFFF"/>
                <w:sz w:val="18"/>
              </w:rPr>
              <w:t>Impact</w:t>
            </w:r>
          </w:p>
        </w:tc>
      </w:tr>
      <w:tr>
        <w:tc>
          <w:tcPr>
            <w:tcW w:type="dxa" w:w="1512"/>
          </w:tcPr>
          <w:p>
            <w:pPr>
              <w:spacing w:after="20"/>
            </w:pPr>
            <w:r/>
            <w:r>
              <w:rPr>
                <w:b w:val="0"/>
                <w:i w:val="0"/>
                <w:sz w:val="18"/>
              </w:rPr>
              <w:t>Feb. 28, 2024</w:t>
            </w:r>
          </w:p>
        </w:tc>
        <w:tc>
          <w:tcPr>
            <w:tcW w:type="dxa" w:w="3960"/>
          </w:tcPr>
          <w:p>
            <w:pPr>
              <w:spacing w:after="20"/>
            </w:pPr>
            <w:r/>
            <w:r>
              <w:rPr>
                <w:b w:val="0"/>
                <w:i w:val="0"/>
                <w:sz w:val="18"/>
              </w:rPr>
              <w:t>Complaint filed (4 counts; $8,202,000).</w:t>
            </w:r>
          </w:p>
        </w:tc>
        <w:tc>
          <w:tcPr>
            <w:tcW w:type="dxa" w:w="1656"/>
          </w:tcPr>
          <w:p>
            <w:pPr>
              <w:spacing w:after="20"/>
            </w:pPr>
            <w:r/>
            <w:r>
              <w:rPr>
                <w:b w:val="0"/>
                <w:i w:val="0"/>
                <w:sz w:val="18"/>
              </w:rPr>
              <w:t>Compl.</w:t>
            </w:r>
          </w:p>
        </w:tc>
        <w:tc>
          <w:tcPr>
            <w:tcW w:type="dxa" w:w="5544"/>
          </w:tcPr>
          <w:p>
            <w:pPr>
              <w:spacing w:after="20"/>
            </w:pPr>
            <w:r/>
            <w:r>
              <w:rPr>
                <w:b w:val="0"/>
                <w:i w:val="0"/>
                <w:sz w:val="18"/>
              </w:rPr>
              <w:t xml:space="preserve">Filed within 2 years of every alleged act (earliest June 8, 2022), so the ORS 12.110 limitations defense fails regardless of the discovery rule. Complaint cites §14.6 (forum), §14.1 (governing law), §14.8 (fees); the EDA's actual clauses are §14.8 (law/venue) and there is </w:t>
            </w:r>
            <w:r>
              <w:rPr>
                <w:b/>
                <w:i w:val="0"/>
                <w:sz w:val="18"/>
              </w:rPr>
              <w:t>no fee clause</w:t>
            </w:r>
            <w:r>
              <w:rPr>
                <w:b w:val="0"/>
                <w:i w:val="0"/>
                <w:sz w:val="18"/>
              </w:rPr>
              <w:t>.</w:t>
            </w:r>
          </w:p>
        </w:tc>
        <w:tc>
          <w:tcPr>
            <w:tcW w:type="dxa" w:w="1152"/>
            <w:shd w:val="clear" w:color="auto" w:fill="FFF2CC"/>
          </w:tcPr>
          <w:p>
            <w:r/>
            <w:r>
              <w:rPr>
                <w:b/>
                <w:sz w:val="16"/>
              </w:rPr>
              <w:t>MIXED</w:t>
            </w:r>
          </w:p>
        </w:tc>
      </w:tr>
      <w:tr>
        <w:tc>
          <w:tcPr>
            <w:tcW w:type="dxa" w:w="1512"/>
          </w:tcPr>
          <w:p>
            <w:pPr>
              <w:spacing w:after="20"/>
            </w:pPr>
            <w:r/>
            <w:r>
              <w:rPr>
                <w:b w:val="0"/>
                <w:i w:val="0"/>
                <w:sz w:val="18"/>
              </w:rPr>
              <w:t>≈ Mar. 2024</w:t>
            </w:r>
          </w:p>
        </w:tc>
        <w:tc>
          <w:tcPr>
            <w:tcW w:type="dxa" w:w="3960"/>
          </w:tcPr>
          <w:p>
            <w:pPr>
              <w:spacing w:after="20"/>
            </w:pPr>
            <w:r/>
            <w:r>
              <w:rPr>
                <w:b w:val="0"/>
                <w:i w:val="0"/>
                <w:sz w:val="18"/>
              </w:rPr>
              <w:t>Greenleaf litigation hold issued via counsel.</w:t>
            </w:r>
          </w:p>
        </w:tc>
        <w:tc>
          <w:tcPr>
            <w:tcW w:type="dxa" w:w="1656"/>
          </w:tcPr>
          <w:p>
            <w:pPr>
              <w:spacing w:after="20"/>
            </w:pPr>
            <w:r/>
            <w:r>
              <w:rPr>
                <w:b w:val="0"/>
                <w:i w:val="0"/>
                <w:sz w:val="18"/>
              </w:rPr>
              <w:t>Holcomb Dep. §VIII</w:t>
            </w:r>
          </w:p>
        </w:tc>
        <w:tc>
          <w:tcPr>
            <w:tcW w:type="dxa" w:w="5544"/>
          </w:tcPr>
          <w:p>
            <w:pPr>
              <w:spacing w:after="20"/>
            </w:pPr>
            <w:r/>
            <w:r>
              <w:rPr>
                <w:b w:val="0"/>
                <w:i w:val="0"/>
                <w:sz w:val="18"/>
              </w:rPr>
              <w:t>About 13 months after the preservation demand. Holcomb was vague on retention policy. Rule 37(e) spoliation / adverse-inference exposure. Audit custodial collections now (Holcomb, Stanton, Fong, logistics, finance "general distribution codes").</w:t>
            </w:r>
          </w:p>
        </w:tc>
        <w:tc>
          <w:tcPr>
            <w:tcW w:type="dxa" w:w="1152"/>
            <w:shd w:val="clear" w:color="auto" w:fill="F4CCCC"/>
          </w:tcPr>
          <w:p>
            <w:r/>
            <w:r>
              <w:rPr>
                <w:b/>
                <w:sz w:val="16"/>
              </w:rPr>
              <w:t>ADVERSE</w:t>
            </w:r>
          </w:p>
        </w:tc>
      </w:tr>
      <w:tr>
        <w:tc>
          <w:tcPr>
            <w:tcW w:type="dxa" w:w="1512"/>
          </w:tcPr>
          <w:p>
            <w:pPr>
              <w:spacing w:after="20"/>
            </w:pPr>
            <w:r/>
            <w:r>
              <w:rPr>
                <w:b w:val="0"/>
                <w:i w:val="0"/>
                <w:sz w:val="18"/>
              </w:rPr>
              <w:t>Apr. 15, 2024</w:t>
            </w:r>
          </w:p>
        </w:tc>
        <w:tc>
          <w:tcPr>
            <w:tcW w:type="dxa" w:w="3960"/>
          </w:tcPr>
          <w:p>
            <w:pPr>
              <w:spacing w:after="20"/>
            </w:pPr>
            <w:r/>
            <w:r>
              <w:rPr>
                <w:b w:val="0"/>
                <w:i w:val="0"/>
                <w:sz w:val="18"/>
              </w:rPr>
              <w:t>Answer, 10 affirmative defenses, Counterclaim ($1.2M) (ECF 12).</w:t>
            </w:r>
          </w:p>
        </w:tc>
        <w:tc>
          <w:tcPr>
            <w:tcW w:type="dxa" w:w="1656"/>
          </w:tcPr>
          <w:p>
            <w:pPr>
              <w:spacing w:after="20"/>
            </w:pPr>
            <w:r/>
            <w:r>
              <w:rPr>
                <w:b w:val="0"/>
                <w:i w:val="0"/>
                <w:sz w:val="18"/>
              </w:rPr>
              <w:t>Ans.</w:t>
            </w:r>
          </w:p>
        </w:tc>
        <w:tc>
          <w:tcPr>
            <w:tcW w:type="dxa" w:w="5544"/>
          </w:tcPr>
          <w:p>
            <w:pPr>
              <w:spacing w:after="20"/>
            </w:pPr>
            <w:r/>
            <w:r>
              <w:rPr>
                <w:b w:val="0"/>
                <w:i w:val="0"/>
                <w:sz w:val="18"/>
              </w:rPr>
              <w:t>Several averments are now contradicted by discovery (¶¶7/18, 19, 23, 24, 25, 51, 52). Evaluate amendment (good cause required after Aug. 1, 2024) or narrowing in the SJ papers to avoid Rule 11 / credibility problems.</w:t>
            </w:r>
          </w:p>
        </w:tc>
        <w:tc>
          <w:tcPr>
            <w:tcW w:type="dxa" w:w="1152"/>
            <w:shd w:val="clear" w:color="auto" w:fill="F4CCCC"/>
          </w:tcPr>
          <w:p>
            <w:r/>
            <w:r>
              <w:rPr>
                <w:b/>
                <w:sz w:val="16"/>
              </w:rPr>
              <w:t>ADVERSE</w:t>
            </w:r>
          </w:p>
        </w:tc>
      </w:tr>
      <w:tr>
        <w:tc>
          <w:tcPr>
            <w:tcW w:type="dxa" w:w="1512"/>
          </w:tcPr>
          <w:p>
            <w:pPr>
              <w:spacing w:after="20"/>
            </w:pPr>
            <w:r/>
            <w:r>
              <w:rPr>
                <w:b w:val="0"/>
                <w:i w:val="0"/>
                <w:sz w:val="18"/>
              </w:rPr>
              <w:t>May 21 / May 28 / June 3, 2024</w:t>
            </w:r>
          </w:p>
        </w:tc>
        <w:tc>
          <w:tcPr>
            <w:tcW w:type="dxa" w:w="3960"/>
          </w:tcPr>
          <w:p>
            <w:pPr>
              <w:spacing w:after="20"/>
            </w:pPr>
            <w:r/>
            <w:r>
              <w:rPr>
                <w:b w:val="0"/>
                <w:i w:val="0"/>
                <w:sz w:val="18"/>
              </w:rPr>
              <w:t>Joint Rule 26(f) Report; Rule 16 conference; Scheduling Order entered.</w:t>
            </w:r>
          </w:p>
        </w:tc>
        <w:tc>
          <w:tcPr>
            <w:tcW w:type="dxa" w:w="1656"/>
          </w:tcPr>
          <w:p>
            <w:pPr>
              <w:spacing w:after="20"/>
            </w:pPr>
            <w:r/>
            <w:r>
              <w:rPr>
                <w:b w:val="0"/>
                <w:i w:val="0"/>
                <w:sz w:val="18"/>
              </w:rPr>
              <w:t>SO</w:t>
            </w:r>
          </w:p>
        </w:tc>
        <w:tc>
          <w:tcPr>
            <w:tcW w:type="dxa" w:w="5544"/>
          </w:tcPr>
          <w:p>
            <w:pPr>
              <w:spacing w:after="20"/>
            </w:pPr>
            <w:r/>
            <w:r>
              <w:rPr>
                <w:b w:val="0"/>
                <w:i w:val="0"/>
                <w:sz w:val="18"/>
              </w:rPr>
              <w:t>Deadlines in Section 2. The Order reminds parties of FRE 502(b) (relevant to GL-PROD-007834).</w:t>
            </w:r>
          </w:p>
        </w:tc>
        <w:tc>
          <w:tcPr>
            <w:tcW w:type="dxa" w:w="1152"/>
            <w:shd w:val="clear" w:color="auto" w:fill="E7E6E6"/>
          </w:tcPr>
          <w:p>
            <w:r/>
            <w:r>
              <w:rPr>
                <w:b/>
                <w:sz w:val="16"/>
              </w:rPr>
              <w:t>PROCEDURAL</w:t>
            </w:r>
          </w:p>
        </w:tc>
      </w:tr>
      <w:tr>
        <w:tc>
          <w:tcPr>
            <w:tcW w:type="dxa" w:w="1512"/>
          </w:tcPr>
          <w:p>
            <w:pPr>
              <w:spacing w:after="20"/>
            </w:pPr>
            <w:r/>
            <w:r>
              <w:rPr>
                <w:b w:val="0"/>
                <w:i w:val="0"/>
                <w:sz w:val="18"/>
              </w:rPr>
              <w:t>June 17 / June 24, 2024</w:t>
            </w:r>
          </w:p>
        </w:tc>
        <w:tc>
          <w:tcPr>
            <w:tcW w:type="dxa" w:w="3960"/>
          </w:tcPr>
          <w:p>
            <w:pPr>
              <w:spacing w:after="20"/>
            </w:pPr>
            <w:r/>
            <w:r>
              <w:rPr>
                <w:b w:val="0"/>
                <w:i w:val="0"/>
                <w:sz w:val="18"/>
              </w:rPr>
              <w:t>Initial disclosures; ESI meet-and-confer.</w:t>
            </w:r>
          </w:p>
        </w:tc>
        <w:tc>
          <w:tcPr>
            <w:tcW w:type="dxa" w:w="1656"/>
          </w:tcPr>
          <w:p>
            <w:pPr>
              <w:spacing w:after="20"/>
            </w:pPr>
            <w:r/>
            <w:r>
              <w:rPr>
                <w:b w:val="0"/>
                <w:i w:val="0"/>
                <w:sz w:val="18"/>
              </w:rPr>
              <w:t>SO</w:t>
            </w:r>
          </w:p>
        </w:tc>
        <w:tc>
          <w:tcPr>
            <w:tcW w:type="dxa" w:w="5544"/>
          </w:tcPr>
          <w:p>
            <w:pPr>
              <w:spacing w:after="20"/>
            </w:pPr>
            <w:r/>
            <w:r>
              <w:rPr>
                <w:b w:val="0"/>
                <w:i w:val="0"/>
                <w:sz w:val="18"/>
              </w:rPr>
              <w:t>Confirm whether a Rule 502(d) order or clawback stipulation was entered. It would materially improve the Jan. 3 email position.</w:t>
            </w:r>
          </w:p>
        </w:tc>
        <w:tc>
          <w:tcPr>
            <w:tcW w:type="dxa" w:w="1152"/>
            <w:shd w:val="clear" w:color="auto" w:fill="E7E6E6"/>
          </w:tcPr>
          <w:p>
            <w:r/>
            <w:r>
              <w:rPr>
                <w:b/>
                <w:sz w:val="16"/>
              </w:rPr>
              <w:t>PROCEDURAL</w:t>
            </w:r>
          </w:p>
        </w:tc>
      </w:tr>
      <w:tr>
        <w:tc>
          <w:tcPr>
            <w:tcW w:type="dxa" w:w="1512"/>
          </w:tcPr>
          <w:p>
            <w:pPr>
              <w:spacing w:after="20"/>
            </w:pPr>
            <w:r/>
            <w:r>
              <w:rPr>
                <w:b w:val="0"/>
                <w:i w:val="0"/>
                <w:sz w:val="18"/>
              </w:rPr>
              <w:t>Aug. 1, 2024</w:t>
            </w:r>
          </w:p>
        </w:tc>
        <w:tc>
          <w:tcPr>
            <w:tcW w:type="dxa" w:w="3960"/>
          </w:tcPr>
          <w:p>
            <w:pPr>
              <w:spacing w:after="20"/>
            </w:pPr>
            <w:r/>
            <w:r>
              <w:rPr>
                <w:b w:val="0"/>
                <w:i w:val="0"/>
                <w:sz w:val="18"/>
              </w:rPr>
              <w:t>Deadline to amend pleadings / join parties (incl. Cascade).</w:t>
            </w:r>
          </w:p>
        </w:tc>
        <w:tc>
          <w:tcPr>
            <w:tcW w:type="dxa" w:w="1656"/>
          </w:tcPr>
          <w:p>
            <w:pPr>
              <w:spacing w:after="20"/>
            </w:pPr>
            <w:r/>
            <w:r>
              <w:rPr>
                <w:b w:val="0"/>
                <w:i w:val="0"/>
                <w:sz w:val="18"/>
              </w:rPr>
              <w:t>SO</w:t>
            </w:r>
          </w:p>
        </w:tc>
        <w:tc>
          <w:tcPr>
            <w:tcW w:type="dxa" w:w="5544"/>
          </w:tcPr>
          <w:p>
            <w:pPr>
              <w:spacing w:after="20"/>
            </w:pPr>
            <w:r/>
            <w:r>
              <w:rPr>
                <w:b w:val="0"/>
                <w:i w:val="0"/>
                <w:sz w:val="18"/>
              </w:rPr>
              <w:t>Cascade not joined by either side. Greenleaf cannot shift fault to Cascade as a co-defendant. Harborview cannot recover against Cascade here. No Rule 9(b) motion was filed despite the reservation in Ans. ¶30.</w:t>
            </w:r>
          </w:p>
        </w:tc>
        <w:tc>
          <w:tcPr>
            <w:tcW w:type="dxa" w:w="1152"/>
            <w:shd w:val="clear" w:color="auto" w:fill="E7E6E6"/>
          </w:tcPr>
          <w:p>
            <w:r/>
            <w:r>
              <w:rPr>
                <w:b/>
                <w:sz w:val="16"/>
              </w:rPr>
              <w:t>PROCEDURAL</w:t>
            </w:r>
          </w:p>
        </w:tc>
      </w:tr>
      <w:tr>
        <w:tc>
          <w:tcPr>
            <w:tcW w:type="dxa" w:w="1512"/>
          </w:tcPr>
          <w:p>
            <w:pPr>
              <w:spacing w:after="20"/>
            </w:pPr>
            <w:r/>
            <w:r>
              <w:rPr>
                <w:b w:val="0"/>
                <w:i w:val="0"/>
                <w:sz w:val="18"/>
              </w:rPr>
              <w:t>Aug. 2024</w:t>
            </w:r>
          </w:p>
        </w:tc>
        <w:tc>
          <w:tcPr>
            <w:tcW w:type="dxa" w:w="3960"/>
          </w:tcPr>
          <w:p>
            <w:pPr>
              <w:spacing w:after="20"/>
            </w:pPr>
            <w:r/>
            <w:r>
              <w:rPr>
                <w:b w:val="0"/>
                <w:i w:val="0"/>
                <w:sz w:val="18"/>
              </w:rPr>
              <w:t>Chakrabarti engaged by plaintiff.</w:t>
            </w:r>
          </w:p>
        </w:tc>
        <w:tc>
          <w:tcPr>
            <w:tcW w:type="dxa" w:w="1656"/>
          </w:tcPr>
          <w:p>
            <w:pPr>
              <w:spacing w:after="20"/>
            </w:pPr>
            <w:r/>
            <w:r>
              <w:rPr>
                <w:b w:val="0"/>
                <w:i w:val="0"/>
                <w:sz w:val="18"/>
              </w:rPr>
              <w:t>Chakrabarti §I</w:t>
            </w:r>
          </w:p>
        </w:tc>
        <w:tc>
          <w:tcPr>
            <w:tcW w:type="dxa" w:w="5544"/>
          </w:tcPr>
          <w:p>
            <w:pPr>
              <w:spacing w:after="20"/>
            </w:pPr>
            <w:r/>
            <w:r>
              <w:rPr>
                <w:b w:val="0"/>
                <w:i w:val="0"/>
                <w:sz w:val="18"/>
              </w:rPr>
              <w:t>—</w:t>
            </w:r>
          </w:p>
        </w:tc>
        <w:tc>
          <w:tcPr>
            <w:tcW w:type="dxa" w:w="1152"/>
            <w:shd w:val="clear" w:color="auto" w:fill="E7E6E6"/>
          </w:tcPr>
          <w:p>
            <w:r/>
            <w:r>
              <w:rPr>
                <w:b/>
                <w:sz w:val="16"/>
              </w:rPr>
              <w:t>PROCEDURAL</w:t>
            </w:r>
          </w:p>
        </w:tc>
      </w:tr>
      <w:tr>
        <w:tc>
          <w:tcPr>
            <w:tcW w:type="dxa" w:w="1512"/>
          </w:tcPr>
          <w:p>
            <w:pPr>
              <w:spacing w:after="20"/>
            </w:pPr>
            <w:r/>
            <w:r>
              <w:rPr>
                <w:b w:val="0"/>
                <w:i w:val="0"/>
                <w:sz w:val="18"/>
              </w:rPr>
              <w:t>Sept. 30, 2024</w:t>
            </w:r>
          </w:p>
        </w:tc>
        <w:tc>
          <w:tcPr>
            <w:tcW w:type="dxa" w:w="3960"/>
          </w:tcPr>
          <w:p>
            <w:pPr>
              <w:spacing w:after="20"/>
            </w:pPr>
            <w:r/>
            <w:r>
              <w:rPr>
                <w:b w:val="0"/>
                <w:i w:val="0"/>
                <w:sz w:val="18"/>
              </w:rPr>
              <w:t xml:space="preserve">Greenleaf production (≈ 12,400 docs), including SF emails, HYS emails, QA Log and </w:t>
            </w:r>
            <w:r>
              <w:rPr>
                <w:b/>
                <w:i w:val="0"/>
                <w:sz w:val="18"/>
              </w:rPr>
              <w:t>GL-PROD-007834 (Stanton→Ivers)</w:t>
            </w:r>
            <w:r>
              <w:rPr>
                <w:b w:val="0"/>
                <w:i w:val="0"/>
                <w:sz w:val="18"/>
              </w:rPr>
              <w:t>.</w:t>
            </w:r>
          </w:p>
        </w:tc>
        <w:tc>
          <w:tcPr>
            <w:tcW w:type="dxa" w:w="1656"/>
          </w:tcPr>
          <w:p>
            <w:pPr>
              <w:spacing w:after="20"/>
            </w:pPr>
            <w:r/>
            <w:r>
              <w:rPr>
                <w:b w:val="0"/>
                <w:i w:val="0"/>
                <w:sz w:val="18"/>
              </w:rPr>
              <w:t>Holcomb Dep.; Fong Dep.</w:t>
            </w:r>
          </w:p>
        </w:tc>
        <w:tc>
          <w:tcPr>
            <w:tcW w:type="dxa" w:w="5544"/>
          </w:tcPr>
          <w:p>
            <w:pPr>
              <w:spacing w:after="20"/>
            </w:pPr>
            <w:r/>
            <w:r>
              <w:rPr>
                <w:b w:val="0"/>
                <w:i w:val="0"/>
                <w:sz w:val="18"/>
              </w:rPr>
              <w:t>Privilege-review failure. Check the privilege log for this date (the Order requires logs concurrent with production).</w:t>
            </w:r>
          </w:p>
        </w:tc>
        <w:tc>
          <w:tcPr>
            <w:tcW w:type="dxa" w:w="1152"/>
            <w:shd w:val="clear" w:color="auto" w:fill="F4CCCC"/>
          </w:tcPr>
          <w:p>
            <w:r/>
            <w:r>
              <w:rPr>
                <w:b/>
                <w:sz w:val="16"/>
              </w:rPr>
              <w:t>ADVERSE</w:t>
            </w:r>
          </w:p>
        </w:tc>
      </w:tr>
      <w:tr>
        <w:tc>
          <w:tcPr>
            <w:tcW w:type="dxa" w:w="1512"/>
          </w:tcPr>
          <w:p>
            <w:pPr>
              <w:spacing w:after="20"/>
            </w:pPr>
            <w:r/>
            <w:r>
              <w:rPr>
                <w:b w:val="0"/>
                <w:i w:val="0"/>
                <w:sz w:val="18"/>
              </w:rPr>
              <w:t>Oct. 18, 2024</w:t>
            </w:r>
          </w:p>
        </w:tc>
        <w:tc>
          <w:tcPr>
            <w:tcW w:type="dxa" w:w="3960"/>
          </w:tcPr>
          <w:p>
            <w:pPr>
              <w:spacing w:after="20"/>
            </w:pPr>
            <w:r/>
            <w:r>
              <w:rPr>
                <w:b w:val="0"/>
                <w:i w:val="0"/>
                <w:sz w:val="18"/>
              </w:rPr>
              <w:t>Holcomb deposition (187 pp.).</w:t>
            </w:r>
          </w:p>
        </w:tc>
        <w:tc>
          <w:tcPr>
            <w:tcW w:type="dxa" w:w="1656"/>
          </w:tcPr>
          <w:p>
            <w:pPr>
              <w:spacing w:after="20"/>
            </w:pPr>
            <w:r/>
            <w:r>
              <w:rPr>
                <w:b w:val="0"/>
                <w:i w:val="0"/>
                <w:sz w:val="18"/>
              </w:rPr>
              <w:t>Holcomb Dep.</w:t>
            </w:r>
          </w:p>
        </w:tc>
        <w:tc>
          <w:tcPr>
            <w:tcW w:type="dxa" w:w="5544"/>
          </w:tcPr>
          <w:p>
            <w:pPr>
              <w:spacing w:after="20"/>
            </w:pPr>
            <w:r/>
            <w:r>
              <w:rPr>
                <w:b w:val="0"/>
                <w:i w:val="0"/>
                <w:sz w:val="18"/>
              </w:rPr>
              <w:t>Key admissions: $1.9M Cascade in Oregon; no notice to Harborview; no identifiable supply disruption; notice sent before Year 3 ended; no recollection of non-renewal notice; "the minimum is the minimum regardless"; "relied on internal guidance" (at-issue waiver risk if Greenleaf relies on counsel's advice).</w:t>
            </w:r>
          </w:p>
        </w:tc>
        <w:tc>
          <w:tcPr>
            <w:tcW w:type="dxa" w:w="1152"/>
            <w:shd w:val="clear" w:color="auto" w:fill="F4CCCC"/>
          </w:tcPr>
          <w:p>
            <w:r/>
            <w:r>
              <w:rPr>
                <w:b/>
                <w:sz w:val="16"/>
              </w:rPr>
              <w:t>ADVERSE</w:t>
            </w:r>
          </w:p>
        </w:tc>
      </w:tr>
      <w:tr>
        <w:tc>
          <w:tcPr>
            <w:tcW w:type="dxa" w:w="1512"/>
          </w:tcPr>
          <w:p>
            <w:pPr>
              <w:spacing w:after="20"/>
            </w:pPr>
            <w:r/>
            <w:r>
              <w:rPr>
                <w:b w:val="0"/>
                <w:i w:val="0"/>
                <w:sz w:val="18"/>
              </w:rPr>
              <w:t>Nov. 5, 2024</w:t>
            </w:r>
          </w:p>
        </w:tc>
        <w:tc>
          <w:tcPr>
            <w:tcW w:type="dxa" w:w="3960"/>
          </w:tcPr>
          <w:p>
            <w:pPr>
              <w:spacing w:after="20"/>
            </w:pPr>
            <w:r/>
            <w:r>
              <w:rPr>
                <w:b w:val="0"/>
                <w:i w:val="0"/>
                <w:sz w:val="18"/>
              </w:rPr>
              <w:t>Fong deposition. Privilege instruction on the Jan. 3 email; question withdrawn but preserved.</w:t>
            </w:r>
          </w:p>
        </w:tc>
        <w:tc>
          <w:tcPr>
            <w:tcW w:type="dxa" w:w="1656"/>
          </w:tcPr>
          <w:p>
            <w:pPr>
              <w:spacing w:after="20"/>
            </w:pPr>
            <w:r/>
            <w:r>
              <w:rPr>
                <w:b w:val="0"/>
                <w:i w:val="0"/>
                <w:sz w:val="18"/>
              </w:rPr>
              <w:t>Fong Dep.</w:t>
            </w:r>
          </w:p>
        </w:tc>
        <w:tc>
          <w:tcPr>
            <w:tcW w:type="dxa" w:w="5544"/>
          </w:tcPr>
          <w:p>
            <w:pPr>
              <w:spacing w:after="20"/>
            </w:pPr>
            <w:r/>
            <w:r>
              <w:rPr>
                <w:b w:val="0"/>
                <w:i w:val="0"/>
                <w:sz w:val="18"/>
              </w:rPr>
              <w:t>Admissions: CEO directive; enhanced criteria applied only to Harborview; 14 vs. 2; "I was told to focus on Harborview." Impeached by her Sept. 15 and Oct. 3 emails. Redirect testimony that all rejections were in "good faith" is thin against Buckley.</w:t>
            </w:r>
          </w:p>
        </w:tc>
        <w:tc>
          <w:tcPr>
            <w:tcW w:type="dxa" w:w="1152"/>
            <w:shd w:val="clear" w:color="auto" w:fill="F4CCCC"/>
          </w:tcPr>
          <w:p>
            <w:r/>
            <w:r>
              <w:rPr>
                <w:b/>
                <w:sz w:val="16"/>
              </w:rPr>
              <w:t>ADVERSE</w:t>
            </w:r>
          </w:p>
        </w:tc>
      </w:tr>
      <w:tr>
        <w:tc>
          <w:tcPr>
            <w:tcW w:type="dxa" w:w="1512"/>
          </w:tcPr>
          <w:p>
            <w:pPr>
              <w:spacing w:after="20"/>
            </w:pPr>
            <w:r/>
            <w:r>
              <w:rPr>
                <w:b w:val="0"/>
                <w:i w:val="0"/>
                <w:sz w:val="18"/>
              </w:rPr>
              <w:t>Nov. 12, 2024</w:t>
            </w:r>
          </w:p>
        </w:tc>
        <w:tc>
          <w:tcPr>
            <w:tcW w:type="dxa" w:w="3960"/>
          </w:tcPr>
          <w:p>
            <w:pPr>
              <w:spacing w:after="20"/>
            </w:pPr>
            <w:r/>
            <w:r>
              <w:rPr>
                <w:b w:val="0"/>
                <w:i w:val="0"/>
                <w:sz w:val="18"/>
              </w:rPr>
              <w:t>Fong deposition summary prepared; references Buckley's "3 of 14" determination.</w:t>
            </w:r>
          </w:p>
        </w:tc>
        <w:tc>
          <w:tcPr>
            <w:tcW w:type="dxa" w:w="1656"/>
          </w:tcPr>
          <w:p>
            <w:pPr>
              <w:spacing w:after="20"/>
            </w:pPr>
            <w:r/>
            <w:r>
              <w:rPr>
                <w:b w:val="0"/>
                <w:i w:val="0"/>
                <w:sz w:val="18"/>
              </w:rPr>
              <w:t>Fong Dep. §VIII</w:t>
            </w:r>
          </w:p>
        </w:tc>
        <w:tc>
          <w:tcPr>
            <w:tcW w:type="dxa" w:w="5544"/>
          </w:tcPr>
          <w:p>
            <w:pPr>
              <w:spacing w:after="20"/>
            </w:pPr>
            <w:r/>
            <w:r>
              <w:rPr>
                <w:b w:val="0"/>
                <w:i w:val="0"/>
                <w:sz w:val="18"/>
              </w:rPr>
              <w:t>Buckley's report is dated Dec. 10. Draft opinions are protected (Rule 26(b)(4)(B)), but make sure no draft or summary is produced.</w:t>
            </w:r>
          </w:p>
        </w:tc>
        <w:tc>
          <w:tcPr>
            <w:tcW w:type="dxa" w:w="1152"/>
            <w:shd w:val="clear" w:color="auto" w:fill="E7E6E6"/>
          </w:tcPr>
          <w:p>
            <w:r/>
            <w:r>
              <w:rPr>
                <w:b/>
                <w:sz w:val="16"/>
              </w:rPr>
              <w:t>PROCEDURAL</w:t>
            </w:r>
          </w:p>
        </w:tc>
      </w:tr>
      <w:tr>
        <w:tc>
          <w:tcPr>
            <w:tcW w:type="dxa" w:w="1512"/>
          </w:tcPr>
          <w:p>
            <w:pPr>
              <w:spacing w:after="20"/>
            </w:pPr>
            <w:r/>
            <w:r>
              <w:rPr>
                <w:b w:val="0"/>
                <w:i w:val="0"/>
                <w:sz w:val="18"/>
              </w:rPr>
              <w:t>Nov. 22, 2024</w:t>
            </w:r>
          </w:p>
        </w:tc>
        <w:tc>
          <w:tcPr>
            <w:tcW w:type="dxa" w:w="3960"/>
          </w:tcPr>
          <w:p>
            <w:pPr>
              <w:spacing w:after="20"/>
            </w:pPr>
            <w:r/>
            <w:r>
              <w:rPr>
                <w:b w:val="0"/>
                <w:i w:val="0"/>
                <w:sz w:val="18"/>
              </w:rPr>
              <w:t>Beckett deposition (per Chakrabarti; no summary in file).</w:t>
            </w:r>
          </w:p>
        </w:tc>
        <w:tc>
          <w:tcPr>
            <w:tcW w:type="dxa" w:w="1656"/>
          </w:tcPr>
          <w:p>
            <w:pPr>
              <w:spacing w:after="20"/>
            </w:pPr>
            <w:r/>
            <w:r>
              <w:rPr>
                <w:b w:val="0"/>
                <w:i w:val="0"/>
                <w:sz w:val="18"/>
              </w:rPr>
              <w:t>Chakrabarti §III</w:t>
            </w:r>
          </w:p>
        </w:tc>
        <w:tc>
          <w:tcPr>
            <w:tcW w:type="dxa" w:w="5544"/>
          </w:tcPr>
          <w:p>
            <w:pPr>
              <w:spacing w:after="20"/>
            </w:pPr>
            <w:r/>
            <w:r>
              <w:rPr>
                <w:b w:val="0"/>
                <w:i w:val="0"/>
                <w:sz w:val="18"/>
              </w:rPr>
              <w:t>Obtain the transcript. Needed for reliance (fraud), mitigation, and the claim that Beckett is Harborview's "CFO" (he is Managing Member).</w:t>
            </w:r>
          </w:p>
        </w:tc>
        <w:tc>
          <w:tcPr>
            <w:tcW w:type="dxa" w:w="1152"/>
            <w:shd w:val="clear" w:color="auto" w:fill="E7E6E6"/>
          </w:tcPr>
          <w:p>
            <w:r/>
            <w:r>
              <w:rPr>
                <w:b/>
                <w:sz w:val="16"/>
              </w:rPr>
              <w:t>PROCEDURAL</w:t>
            </w:r>
          </w:p>
        </w:tc>
      </w:tr>
      <w:tr>
        <w:tc>
          <w:tcPr>
            <w:tcW w:type="dxa" w:w="1512"/>
          </w:tcPr>
          <w:p>
            <w:pPr>
              <w:spacing w:after="20"/>
            </w:pPr>
            <w:r/>
            <w:r>
              <w:rPr>
                <w:b w:val="0"/>
                <w:i w:val="0"/>
                <w:sz w:val="18"/>
              </w:rPr>
              <w:t>Dec. 1, 2024 (Sun.)</w:t>
            </w:r>
          </w:p>
        </w:tc>
        <w:tc>
          <w:tcPr>
            <w:tcW w:type="dxa" w:w="3960"/>
          </w:tcPr>
          <w:p>
            <w:pPr>
              <w:spacing w:after="20"/>
            </w:pPr>
            <w:r/>
            <w:r>
              <w:rPr>
                <w:b w:val="0"/>
                <w:i w:val="0"/>
                <w:sz w:val="18"/>
              </w:rPr>
              <w:t>Plaintiff's expert disclosure deadline.</w:t>
            </w:r>
          </w:p>
        </w:tc>
        <w:tc>
          <w:tcPr>
            <w:tcW w:type="dxa" w:w="1656"/>
          </w:tcPr>
          <w:p>
            <w:pPr>
              <w:spacing w:after="20"/>
            </w:pPr>
            <w:r/>
            <w:r>
              <w:rPr>
                <w:b w:val="0"/>
                <w:i w:val="0"/>
                <w:sz w:val="18"/>
              </w:rPr>
              <w:t>SO §IV.A</w:t>
            </w:r>
          </w:p>
        </w:tc>
        <w:tc>
          <w:tcPr>
            <w:tcW w:type="dxa" w:w="5544"/>
          </w:tcPr>
          <w:p>
            <w:pPr>
              <w:spacing w:after="20"/>
            </w:pPr>
            <w:r/>
            <w:r>
              <w:rPr>
                <w:b w:val="0"/>
                <w:i w:val="0"/>
                <w:sz w:val="18"/>
              </w:rPr>
              <w:t xml:space="preserve">Chakrabarti's report is dated Dec. 10, </w:t>
            </w:r>
            <w:r>
              <w:rPr>
                <w:b/>
                <w:i w:val="0"/>
                <w:sz w:val="18"/>
              </w:rPr>
              <w:t>nine days late</w:t>
            </w:r>
            <w:r>
              <w:rPr>
                <w:b w:val="0"/>
                <w:i w:val="0"/>
                <w:sz w:val="18"/>
              </w:rPr>
              <w:t xml:space="preserve"> (even allowing a Rule 6 roll to Dec. 2). Confirm the service date and any stipulation. If late, move under Rule 37(c)(1).</w:t>
            </w:r>
          </w:p>
        </w:tc>
        <w:tc>
          <w:tcPr>
            <w:tcW w:type="dxa" w:w="1152"/>
            <w:shd w:val="clear" w:color="auto" w:fill="CFE2F3"/>
          </w:tcPr>
          <w:p>
            <w:r/>
            <w:r>
              <w:rPr>
                <w:b/>
                <w:sz w:val="16"/>
              </w:rPr>
              <w:t>DEADLINE</w:t>
            </w:r>
          </w:p>
        </w:tc>
      </w:tr>
      <w:tr>
        <w:tc>
          <w:tcPr>
            <w:tcW w:type="dxa" w:w="1512"/>
          </w:tcPr>
          <w:p>
            <w:pPr>
              <w:spacing w:after="20"/>
            </w:pPr>
            <w:r/>
            <w:r>
              <w:rPr>
                <w:b w:val="0"/>
                <w:i w:val="0"/>
                <w:sz w:val="18"/>
              </w:rPr>
              <w:t>Dec. 10, 2024</w:t>
            </w:r>
          </w:p>
        </w:tc>
        <w:tc>
          <w:tcPr>
            <w:tcW w:type="dxa" w:w="3960"/>
          </w:tcPr>
          <w:p>
            <w:pPr>
              <w:spacing w:after="20"/>
            </w:pPr>
            <w:r/>
            <w:r>
              <w:rPr>
                <w:b w:val="0"/>
                <w:i w:val="0"/>
                <w:sz w:val="18"/>
              </w:rPr>
              <w:t xml:space="preserve">Defendant's expert deadline. </w:t>
            </w:r>
            <w:r>
              <w:rPr>
                <w:b/>
                <w:i w:val="0"/>
                <w:sz w:val="18"/>
              </w:rPr>
              <w:t>Buckley report</w:t>
            </w:r>
            <w:r>
              <w:rPr>
                <w:b w:val="0"/>
                <w:i w:val="0"/>
                <w:sz w:val="18"/>
              </w:rPr>
              <w:t xml:space="preserve"> (defense QA): 3 of 14 rejections justified ($301,300); 11 unjustified ($1,098,700); rates 16.3% vs. 2.6% (86 vs. 78 lots); p &lt; 0.005. </w:t>
            </w:r>
            <w:r>
              <w:rPr>
                <w:b/>
                <w:i w:val="0"/>
                <w:sz w:val="18"/>
              </w:rPr>
              <w:t>Chakrabarti report</w:t>
            </w:r>
            <w:r>
              <w:rPr>
                <w:b w:val="0"/>
                <w:i w:val="0"/>
                <w:sz w:val="18"/>
              </w:rPr>
              <w:t xml:space="preserve"> (plaintiff damages): $8,202,000.</w:t>
            </w:r>
          </w:p>
        </w:tc>
        <w:tc>
          <w:tcPr>
            <w:tcW w:type="dxa" w:w="1656"/>
          </w:tcPr>
          <w:p>
            <w:pPr>
              <w:spacing w:after="20"/>
            </w:pPr>
            <w:r/>
            <w:r>
              <w:rPr>
                <w:b w:val="0"/>
                <w:i w:val="0"/>
                <w:sz w:val="18"/>
              </w:rPr>
              <w:t>Buckley; Chakrabarti</w:t>
            </w:r>
          </w:p>
        </w:tc>
        <w:tc>
          <w:tcPr>
            <w:tcW w:type="dxa" w:w="5544"/>
          </w:tcPr>
          <w:p>
            <w:pPr>
              <w:spacing w:after="20"/>
            </w:pPr>
            <w:r/>
            <w:r>
              <w:rPr>
                <w:b w:val="0"/>
                <w:i w:val="0"/>
                <w:sz w:val="18"/>
              </w:rPr>
              <w:t>Buckley's opinions are adverse to Greenleaf on every QA liability question. If served, they are available to plaintiff. Chakrabarti is vulnerable (Section 4.6).</w:t>
            </w:r>
          </w:p>
        </w:tc>
        <w:tc>
          <w:tcPr>
            <w:tcW w:type="dxa" w:w="1152"/>
            <w:shd w:val="clear" w:color="auto" w:fill="F4CCCC"/>
          </w:tcPr>
          <w:p>
            <w:r/>
            <w:r>
              <w:rPr>
                <w:b/>
                <w:sz w:val="16"/>
              </w:rPr>
              <w:t>ADVERSE</w:t>
            </w:r>
          </w:p>
        </w:tc>
      </w:tr>
      <w:tr>
        <w:tc>
          <w:tcPr>
            <w:tcW w:type="dxa" w:w="1512"/>
          </w:tcPr>
          <w:p>
            <w:pPr>
              <w:spacing w:after="20"/>
            </w:pPr>
            <w:r/>
            <w:r>
              <w:rPr>
                <w:b w:val="0"/>
                <w:i w:val="0"/>
                <w:sz w:val="18"/>
              </w:rPr>
              <w:t>Dec. 20, 2024</w:t>
            </w:r>
          </w:p>
        </w:tc>
        <w:tc>
          <w:tcPr>
            <w:tcW w:type="dxa" w:w="3960"/>
          </w:tcPr>
          <w:p>
            <w:pPr>
              <w:spacing w:after="20"/>
            </w:pPr>
            <w:r/>
            <w:r>
              <w:rPr>
                <w:b w:val="0"/>
                <w:i w:val="0"/>
                <w:sz w:val="18"/>
              </w:rPr>
              <w:t>Rebuttal reports due.</w:t>
            </w:r>
          </w:p>
        </w:tc>
        <w:tc>
          <w:tcPr>
            <w:tcW w:type="dxa" w:w="1656"/>
          </w:tcPr>
          <w:p>
            <w:pPr>
              <w:spacing w:after="20"/>
            </w:pPr>
            <w:r/>
            <w:r>
              <w:rPr>
                <w:b w:val="0"/>
                <w:i w:val="0"/>
                <w:sz w:val="18"/>
              </w:rPr>
              <w:t>SO</w:t>
            </w:r>
          </w:p>
        </w:tc>
        <w:tc>
          <w:tcPr>
            <w:tcW w:type="dxa" w:w="5544"/>
          </w:tcPr>
          <w:p>
            <w:pPr>
              <w:spacing w:after="20"/>
            </w:pPr>
            <w:r/>
            <w:r>
              <w:rPr>
                <w:b w:val="0"/>
                <w:i w:val="0"/>
                <w:sz w:val="18"/>
              </w:rPr>
              <w:t>Commission a damages rebuttal (duration, cap, discounting, mitigation).</w:t>
            </w:r>
          </w:p>
        </w:tc>
        <w:tc>
          <w:tcPr>
            <w:tcW w:type="dxa" w:w="1152"/>
            <w:shd w:val="clear" w:color="auto" w:fill="CFE2F3"/>
          </w:tcPr>
          <w:p>
            <w:r/>
            <w:r>
              <w:rPr>
                <w:b/>
                <w:sz w:val="16"/>
              </w:rPr>
              <w:t>DEADLINE</w:t>
            </w:r>
          </w:p>
        </w:tc>
      </w:tr>
      <w:tr>
        <w:tc>
          <w:tcPr>
            <w:tcW w:type="dxa" w:w="1512"/>
          </w:tcPr>
          <w:p>
            <w:pPr>
              <w:spacing w:after="20"/>
            </w:pPr>
            <w:r/>
            <w:r>
              <w:rPr>
                <w:b w:val="0"/>
                <w:i w:val="0"/>
                <w:sz w:val="18"/>
              </w:rPr>
              <w:t>Jan. 15, 2025</w:t>
            </w:r>
          </w:p>
        </w:tc>
        <w:tc>
          <w:tcPr>
            <w:tcW w:type="dxa" w:w="3960"/>
          </w:tcPr>
          <w:p>
            <w:pPr>
              <w:spacing w:after="20"/>
            </w:pPr>
            <w:r/>
            <w:r>
              <w:rPr>
                <w:b w:val="0"/>
                <w:i w:val="0"/>
                <w:sz w:val="18"/>
              </w:rPr>
              <w:t>Discovery closes.</w:t>
            </w:r>
          </w:p>
        </w:tc>
        <w:tc>
          <w:tcPr>
            <w:tcW w:type="dxa" w:w="1656"/>
          </w:tcPr>
          <w:p>
            <w:pPr>
              <w:spacing w:after="20"/>
            </w:pPr>
            <w:r/>
            <w:r>
              <w:rPr>
                <w:b w:val="0"/>
                <w:i w:val="0"/>
                <w:sz w:val="18"/>
              </w:rPr>
              <w:t>SO</w:t>
            </w:r>
          </w:p>
        </w:tc>
        <w:tc>
          <w:tcPr>
            <w:tcW w:type="dxa" w:w="5544"/>
          </w:tcPr>
          <w:p>
            <w:pPr>
              <w:spacing w:after="20"/>
            </w:pPr>
            <w:r/>
            <w:r>
              <w:rPr>
                <w:b w:val="0"/>
                <w:i w:val="0"/>
                <w:sz w:val="18"/>
              </w:rPr>
              <w:t>Stanton and Yee depositions; expert depositions.</w:t>
            </w:r>
          </w:p>
        </w:tc>
        <w:tc>
          <w:tcPr>
            <w:tcW w:type="dxa" w:w="1152"/>
            <w:shd w:val="clear" w:color="auto" w:fill="CFE2F3"/>
          </w:tcPr>
          <w:p>
            <w:r/>
            <w:r>
              <w:rPr>
                <w:b/>
                <w:sz w:val="16"/>
              </w:rPr>
              <w:t>DEADLINE</w:t>
            </w:r>
          </w:p>
        </w:tc>
      </w:tr>
      <w:tr>
        <w:tc>
          <w:tcPr>
            <w:tcW w:type="dxa" w:w="1512"/>
          </w:tcPr>
          <w:p>
            <w:pPr>
              <w:spacing w:after="20"/>
            </w:pPr>
            <w:r/>
            <w:r>
              <w:rPr>
                <w:b w:val="0"/>
                <w:i w:val="0"/>
                <w:sz w:val="18"/>
              </w:rPr>
              <w:t>Feb. 1, 2025</w:t>
            </w:r>
          </w:p>
        </w:tc>
        <w:tc>
          <w:tcPr>
            <w:tcW w:type="dxa" w:w="3960"/>
          </w:tcPr>
          <w:p>
            <w:pPr>
              <w:spacing w:after="20"/>
            </w:pPr>
            <w:r/>
            <w:r>
              <w:rPr>
                <w:b w:val="0"/>
                <w:i w:val="0"/>
                <w:sz w:val="18"/>
              </w:rPr>
              <w:t>Daubert motions.</w:t>
            </w:r>
          </w:p>
        </w:tc>
        <w:tc>
          <w:tcPr>
            <w:tcW w:type="dxa" w:w="1656"/>
          </w:tcPr>
          <w:p>
            <w:pPr>
              <w:spacing w:after="20"/>
            </w:pPr>
            <w:r/>
            <w:r>
              <w:rPr>
                <w:b w:val="0"/>
                <w:i w:val="0"/>
                <w:sz w:val="18"/>
              </w:rPr>
              <w:t>SO</w:t>
            </w:r>
          </w:p>
        </w:tc>
        <w:tc>
          <w:tcPr>
            <w:tcW w:type="dxa" w:w="5544"/>
          </w:tcPr>
          <w:p>
            <w:pPr>
              <w:spacing w:after="20"/>
            </w:pPr>
            <w:r/>
            <w:r>
              <w:rPr>
                <w:b w:val="0"/>
                <w:i w:val="0"/>
                <w:sz w:val="18"/>
              </w:rPr>
              <w:t>File Jan. 31.</w:t>
            </w:r>
          </w:p>
        </w:tc>
        <w:tc>
          <w:tcPr>
            <w:tcW w:type="dxa" w:w="1152"/>
            <w:shd w:val="clear" w:color="auto" w:fill="CFE2F3"/>
          </w:tcPr>
          <w:p>
            <w:r/>
            <w:r>
              <w:rPr>
                <w:b/>
                <w:sz w:val="16"/>
              </w:rPr>
              <w:t>DEADLINE</w:t>
            </w:r>
          </w:p>
        </w:tc>
      </w:tr>
      <w:tr>
        <w:tc>
          <w:tcPr>
            <w:tcW w:type="dxa" w:w="1512"/>
          </w:tcPr>
          <w:p>
            <w:pPr>
              <w:spacing w:after="20"/>
            </w:pPr>
            <w:r/>
            <w:r>
              <w:rPr>
                <w:b w:val="0"/>
                <w:i w:val="0"/>
                <w:sz w:val="18"/>
              </w:rPr>
              <w:t>Mar. 1, 2025</w:t>
            </w:r>
          </w:p>
        </w:tc>
        <w:tc>
          <w:tcPr>
            <w:tcW w:type="dxa" w:w="3960"/>
          </w:tcPr>
          <w:p>
            <w:pPr>
              <w:spacing w:after="20"/>
            </w:pPr>
            <w:r/>
            <w:r>
              <w:rPr>
                <w:b w:val="0"/>
                <w:i w:val="0"/>
                <w:sz w:val="18"/>
              </w:rPr>
              <w:t>Dispositive motions.</w:t>
            </w:r>
          </w:p>
        </w:tc>
        <w:tc>
          <w:tcPr>
            <w:tcW w:type="dxa" w:w="1656"/>
          </w:tcPr>
          <w:p>
            <w:pPr>
              <w:spacing w:after="20"/>
            </w:pPr>
            <w:r/>
            <w:r>
              <w:rPr>
                <w:b w:val="0"/>
                <w:i w:val="0"/>
                <w:sz w:val="18"/>
              </w:rPr>
              <w:t>SO</w:t>
            </w:r>
          </w:p>
        </w:tc>
        <w:tc>
          <w:tcPr>
            <w:tcW w:type="dxa" w:w="5544"/>
          </w:tcPr>
          <w:p>
            <w:pPr>
              <w:spacing w:after="20"/>
            </w:pPr>
            <w:r/>
            <w:r>
              <w:rPr>
                <w:b w:val="0"/>
                <w:i w:val="0"/>
                <w:sz w:val="18"/>
              </w:rPr>
              <w:t>File Feb. 28.</w:t>
            </w:r>
          </w:p>
        </w:tc>
        <w:tc>
          <w:tcPr>
            <w:tcW w:type="dxa" w:w="1152"/>
            <w:shd w:val="clear" w:color="auto" w:fill="CFE2F3"/>
          </w:tcPr>
          <w:p>
            <w:r/>
            <w:r>
              <w:rPr>
                <w:b/>
                <w:sz w:val="16"/>
              </w:rPr>
              <w:t>DEADLINE</w:t>
            </w:r>
          </w:p>
        </w:tc>
      </w:tr>
    </w:tbl>
    <w:p>
      <w:pPr>
        <w:spacing w:after="40"/>
      </w:pPr>
    </w:p>
    <w:p>
      <w:pPr>
        <w:pStyle w:val="Heading1"/>
      </w:pPr>
      <w:r>
        <w:t>4. Claim-by-Claim Summary Judgment Assessment</w:t>
      </w:r>
    </w:p>
    <w:p>
      <w:pPr>
        <w:spacing w:after="80"/>
      </w:pPr>
      <w:r>
        <w:rPr>
          <w:b w:val="0"/>
          <w:i/>
          <w:sz w:val="19"/>
        </w:rPr>
        <w:t>Ratings reflect the probability that a Rule 56 motion by Greenleaf succeeds on the current record (Low / Moderate / Strong), and separately the risk that Harborview obtains partial summary judgment against Greenleaf.</w:t>
      </w:r>
    </w:p>
    <w:tbl>
      <w:tblPr>
        <w:tblStyle w:val="TableGrid"/>
        <w:tblW w:type="auto" w:w="0"/>
        <w:jc w:val="center"/>
        <w:tblLayout w:type="fixed"/>
        <w:tblLook w:firstColumn="1" w:firstRow="1" w:lastColumn="0" w:lastRow="0" w:noHBand="0" w:noVBand="1" w:val="04A0"/>
      </w:tblPr>
      <w:tblGrid>
        <w:gridCol w:w="2765"/>
        <w:gridCol w:w="2765"/>
        <w:gridCol w:w="2765"/>
        <w:gridCol w:w="2765"/>
        <w:gridCol w:w="2765"/>
      </w:tblGrid>
      <w:tr>
        <w:trPr>
          <w:tblHeader w:val="true"/>
        </w:trPr>
        <w:tc>
          <w:tcPr>
            <w:tcW w:type="dxa" w:w="2088"/>
            <w:shd w:val="clear" w:color="auto" w:fill="1F3864"/>
          </w:tcPr>
          <w:p>
            <w:r/>
            <w:r>
              <w:rPr>
                <w:b/>
                <w:color w:val="FFFFFF"/>
                <w:sz w:val="17"/>
              </w:rPr>
              <w:t>Claim / Issue</w:t>
            </w:r>
          </w:p>
        </w:tc>
        <w:tc>
          <w:tcPr>
            <w:tcW w:type="dxa" w:w="1368"/>
            <w:shd w:val="clear" w:color="auto" w:fill="1F3864"/>
          </w:tcPr>
          <w:p>
            <w:r/>
            <w:r>
              <w:rPr>
                <w:b/>
                <w:color w:val="FFFFFF"/>
                <w:sz w:val="17"/>
              </w:rPr>
              <w:t>Greenleaf SJ prospects</w:t>
            </w:r>
          </w:p>
        </w:tc>
        <w:tc>
          <w:tcPr>
            <w:tcW w:type="dxa" w:w="1440"/>
            <w:shd w:val="clear" w:color="auto" w:fill="1F3864"/>
          </w:tcPr>
          <w:p>
            <w:r/>
            <w:r>
              <w:rPr>
                <w:b/>
                <w:color w:val="FFFFFF"/>
                <w:sz w:val="17"/>
              </w:rPr>
              <w:t>Harborview cross-motion risk</w:t>
            </w:r>
          </w:p>
        </w:tc>
        <w:tc>
          <w:tcPr>
            <w:tcW w:type="dxa" w:w="4824"/>
            <w:shd w:val="clear" w:color="auto" w:fill="1F3864"/>
          </w:tcPr>
          <w:p>
            <w:r/>
            <w:r>
              <w:rPr>
                <w:b/>
                <w:color w:val="FFFFFF"/>
                <w:sz w:val="17"/>
              </w:rPr>
              <w:t>Controlling record facts</w:t>
            </w:r>
          </w:p>
        </w:tc>
        <w:tc>
          <w:tcPr>
            <w:tcW w:type="dxa" w:w="4104"/>
            <w:shd w:val="clear" w:color="auto" w:fill="1F3864"/>
          </w:tcPr>
          <w:p>
            <w:r/>
            <w:r>
              <w:rPr>
                <w:b/>
                <w:color w:val="FFFFFF"/>
                <w:sz w:val="17"/>
              </w:rPr>
              <w:t>Recommendation</w:t>
            </w:r>
          </w:p>
        </w:tc>
      </w:tr>
      <w:tr>
        <w:tc>
          <w:tcPr>
            <w:tcW w:type="dxa" w:w="2088"/>
          </w:tcPr>
          <w:p>
            <w:pPr>
              <w:spacing w:after="20"/>
            </w:pPr>
            <w:r/>
            <w:r>
              <w:rPr>
                <w:b w:val="0"/>
                <w:i w:val="0"/>
                <w:sz w:val="17"/>
              </w:rPr>
              <w:t>Count 1(a): Breach of §3.1 (Cascade diversion)</w:t>
            </w:r>
          </w:p>
        </w:tc>
        <w:tc>
          <w:tcPr>
            <w:tcW w:type="dxa" w:w="1368"/>
          </w:tcPr>
          <w:p>
            <w:pPr>
              <w:spacing w:after="20"/>
            </w:pPr>
            <w:r/>
            <w:r>
              <w:rPr>
                <w:b w:val="0"/>
                <w:i w:val="0"/>
                <w:sz w:val="17"/>
              </w:rPr>
              <w:t>LOW</w:t>
            </w:r>
          </w:p>
        </w:tc>
        <w:tc>
          <w:tcPr>
            <w:tcW w:type="dxa" w:w="1440"/>
          </w:tcPr>
          <w:p>
            <w:pPr>
              <w:spacing w:after="20"/>
            </w:pPr>
            <w:r/>
            <w:r>
              <w:rPr>
                <w:b w:val="0"/>
                <w:i w:val="0"/>
                <w:sz w:val="17"/>
              </w:rPr>
              <w:t>HIGH</w:t>
            </w:r>
          </w:p>
        </w:tc>
        <w:tc>
          <w:tcPr>
            <w:tcW w:type="dxa" w:w="4824"/>
          </w:tcPr>
          <w:p>
            <w:pPr>
              <w:spacing w:after="20"/>
            </w:pPr>
            <w:r/>
            <w:r>
              <w:rPr>
                <w:b w:val="0"/>
                <w:i w:val="0"/>
                <w:sz w:val="17"/>
              </w:rPr>
              <w:t>§3.1 "directly or through any third party … distributor"; Holcomb admits $1.9M to Cascade in Oregon; Aug. 22 email acknowledges EDA territory terms; Holcomb concedes even a narrow reading covers third-party distributors.</w:t>
            </w:r>
          </w:p>
        </w:tc>
        <w:tc>
          <w:tcPr>
            <w:tcW w:type="dxa" w:w="4104"/>
          </w:tcPr>
          <w:p>
            <w:pPr>
              <w:spacing w:after="20"/>
            </w:pPr>
            <w:r/>
            <w:r>
              <w:rPr>
                <w:b w:val="0"/>
                <w:i w:val="0"/>
                <w:sz w:val="17"/>
              </w:rPr>
              <w:t>Do not move on liability. Contest only amount: Category 1 = $342,000 (Article 3 is uncapped). Preserve the §3.1 "continued compliance" argument for the post-Mar. 14, 2023 period only.</w:t>
            </w:r>
          </w:p>
        </w:tc>
      </w:tr>
      <w:tr>
        <w:tc>
          <w:tcPr>
            <w:tcW w:type="dxa" w:w="2088"/>
          </w:tcPr>
          <w:p>
            <w:pPr>
              <w:spacing w:after="20"/>
            </w:pPr>
            <w:r/>
            <w:r>
              <w:rPr>
                <w:b w:val="0"/>
                <w:i w:val="0"/>
                <w:sz w:val="17"/>
              </w:rPr>
              <w:t>Count 1(b): Wrongful termination</w:t>
            </w:r>
          </w:p>
        </w:tc>
        <w:tc>
          <w:tcPr>
            <w:tcW w:type="dxa" w:w="1368"/>
          </w:tcPr>
          <w:p>
            <w:pPr>
              <w:spacing w:after="20"/>
            </w:pPr>
            <w:r/>
            <w:r>
              <w:rPr>
                <w:b w:val="0"/>
                <w:i w:val="0"/>
                <w:sz w:val="17"/>
              </w:rPr>
              <w:t>LOW</w:t>
            </w:r>
          </w:p>
        </w:tc>
        <w:tc>
          <w:tcPr>
            <w:tcW w:type="dxa" w:w="1440"/>
          </w:tcPr>
          <w:p>
            <w:pPr>
              <w:spacing w:after="20"/>
            </w:pPr>
            <w:r/>
            <w:r>
              <w:rPr>
                <w:b w:val="0"/>
                <w:i w:val="0"/>
                <w:sz w:val="17"/>
              </w:rPr>
              <w:t>HIGH</w:t>
            </w:r>
          </w:p>
        </w:tc>
        <w:tc>
          <w:tcPr>
            <w:tcW w:type="dxa" w:w="4824"/>
          </w:tcPr>
          <w:p>
            <w:pPr>
              <w:spacing w:after="20"/>
            </w:pPr>
            <w:r/>
            <w:r>
              <w:rPr>
                <w:b w:val="0"/>
                <w:i w:val="0"/>
                <w:sz w:val="17"/>
              </w:rPr>
              <w:t>§5.3 full-year measurement; §9.2 last sentence (premature notice "of no force or effect"); NMB 63 days early; Jan. 3 "use that as the basis"; no non-renewal notice.</w:t>
            </w:r>
          </w:p>
        </w:tc>
        <w:tc>
          <w:tcPr>
            <w:tcW w:type="dxa" w:w="4104"/>
          </w:tcPr>
          <w:p>
            <w:pPr>
              <w:spacing w:after="20"/>
            </w:pPr>
            <w:r/>
            <w:r>
              <w:rPr>
                <w:b w:val="0"/>
                <w:i w:val="0"/>
                <w:sz w:val="17"/>
              </w:rPr>
              <w:t>Argue in opposition: no damages flow because Harborview in fact missed the minimum on Mar. 14, 2023, and Greenleaf could have terminated after that. But the prevention doctrine (diversion alone closes the gap) undercuts this. Focus on limiting damages (Section 4.6).</w:t>
            </w:r>
          </w:p>
        </w:tc>
      </w:tr>
      <w:tr>
        <w:tc>
          <w:tcPr>
            <w:tcW w:type="dxa" w:w="2088"/>
          </w:tcPr>
          <w:p>
            <w:pPr>
              <w:spacing w:after="20"/>
            </w:pPr>
            <w:r/>
            <w:r>
              <w:rPr>
                <w:b w:val="0"/>
                <w:i w:val="0"/>
                <w:sz w:val="17"/>
              </w:rPr>
              <w:t>Count 2: Implied covenant</w:t>
            </w:r>
          </w:p>
        </w:tc>
        <w:tc>
          <w:tcPr>
            <w:tcW w:type="dxa" w:w="1368"/>
          </w:tcPr>
          <w:p>
            <w:pPr>
              <w:spacing w:after="20"/>
            </w:pPr>
            <w:r/>
            <w:r>
              <w:rPr>
                <w:b w:val="0"/>
                <w:i w:val="0"/>
                <w:sz w:val="17"/>
              </w:rPr>
              <w:t>LOW</w:t>
            </w:r>
          </w:p>
        </w:tc>
        <w:tc>
          <w:tcPr>
            <w:tcW w:type="dxa" w:w="1440"/>
          </w:tcPr>
          <w:p>
            <w:pPr>
              <w:spacing w:after="20"/>
            </w:pPr>
            <w:r/>
            <w:r>
              <w:rPr>
                <w:b w:val="0"/>
                <w:i w:val="0"/>
                <w:sz w:val="17"/>
              </w:rPr>
              <w:t>MODERATE</w:t>
            </w:r>
          </w:p>
        </w:tc>
        <w:tc>
          <w:tcPr>
            <w:tcW w:type="dxa" w:w="4824"/>
          </w:tcPr>
          <w:p>
            <w:pPr>
              <w:spacing w:after="20"/>
            </w:pPr>
            <w:r/>
            <w:r>
              <w:rPr>
                <w:b w:val="0"/>
                <w:i w:val="0"/>
                <w:sz w:val="17"/>
              </w:rPr>
              <w:t>§7.2 "reasonable discretion" is subject to good faith; SF emails; Buckley 11/14; Log notes "would have passed Standard"; the Aug. 23 "handle the QA side separately."</w:t>
            </w:r>
          </w:p>
        </w:tc>
        <w:tc>
          <w:tcPr>
            <w:tcW w:type="dxa" w:w="4104"/>
          </w:tcPr>
          <w:p>
            <w:pPr>
              <w:spacing w:after="20"/>
            </w:pPr>
            <w:r/>
            <w:r>
              <w:rPr>
                <w:b w:val="0"/>
                <w:i w:val="0"/>
                <w:sz w:val="17"/>
              </w:rPr>
              <w:t>Argue that the covenant cannot vary express terms and duplicates Count 1 to the extent it rests on the diversion/termination. Expect denial as to QA. Consider a narrow motion only on duplicative theories (¶66(a), (e), (f)).</w:t>
            </w:r>
          </w:p>
        </w:tc>
      </w:tr>
      <w:tr>
        <w:tc>
          <w:tcPr>
            <w:tcW w:type="dxa" w:w="2088"/>
          </w:tcPr>
          <w:p>
            <w:pPr>
              <w:spacing w:after="20"/>
            </w:pPr>
            <w:r/>
            <w:r>
              <w:rPr>
                <w:b w:val="0"/>
                <w:i w:val="0"/>
                <w:sz w:val="17"/>
              </w:rPr>
              <w:t>Count 3: Fraud</w:t>
            </w:r>
          </w:p>
        </w:tc>
        <w:tc>
          <w:tcPr>
            <w:tcW w:type="dxa" w:w="1368"/>
          </w:tcPr>
          <w:p>
            <w:pPr>
              <w:spacing w:after="20"/>
            </w:pPr>
            <w:r/>
            <w:r>
              <w:rPr>
                <w:b w:val="0"/>
                <w:i w:val="0"/>
                <w:sz w:val="17"/>
              </w:rPr>
              <w:t>MODERATE (partial)</w:t>
            </w:r>
          </w:p>
        </w:tc>
        <w:tc>
          <w:tcPr>
            <w:tcW w:type="dxa" w:w="1440"/>
          </w:tcPr>
          <w:p>
            <w:pPr>
              <w:spacing w:after="20"/>
            </w:pPr>
            <w:r/>
            <w:r>
              <w:rPr>
                <w:b w:val="0"/>
                <w:i w:val="0"/>
                <w:sz w:val="17"/>
              </w:rPr>
              <w:t>LOW</w:t>
            </w:r>
          </w:p>
        </w:tc>
        <w:tc>
          <w:tcPr>
            <w:tcW w:type="dxa" w:w="4824"/>
          </w:tcPr>
          <w:p>
            <w:pPr>
              <w:spacing w:after="20"/>
            </w:pPr>
            <w:r/>
            <w:r>
              <w:rPr>
                <w:b w:val="0"/>
                <w:i w:val="0"/>
                <w:sz w:val="17"/>
              </w:rPr>
              <w:t>The Dec. 1 misstatement is documented, but Beckett was "not buying it" and had "other channels" intel. The QA notices report measured values (arguably true facts; the dispute is the threshold). Fraud requires clear and convincing proof in Oregon.</w:t>
            </w:r>
          </w:p>
        </w:tc>
        <w:tc>
          <w:tcPr>
            <w:tcW w:type="dxa" w:w="4104"/>
          </w:tcPr>
          <w:p>
            <w:pPr>
              <w:spacing w:after="20"/>
            </w:pPr>
            <w:r/>
            <w:r>
              <w:rPr>
                <w:b w:val="0"/>
                <w:i w:val="0"/>
                <w:sz w:val="17"/>
              </w:rPr>
              <w:t xml:space="preserve">Move on (i) justifiable reliance and reliance-caused damages distinct from contract damages; (ii) the QA-notice theory as non-actionable statements of measured data or opinion. </w:t>
            </w:r>
            <w:r>
              <w:rPr>
                <w:b/>
                <w:i w:val="0"/>
                <w:sz w:val="17"/>
              </w:rPr>
              <w:t>Withdraw the limitations defense</w:t>
            </w:r>
            <w:r>
              <w:rPr>
                <w:b w:val="0"/>
                <w:i w:val="0"/>
                <w:sz w:val="17"/>
              </w:rPr>
              <w:t xml:space="preserve"> (every act falls within 2 years of filing) and the Rule 9(b) defense (Complaint pleads names, dates and quotations). Punitive exposure persists if the claim survives.</w:t>
            </w:r>
          </w:p>
        </w:tc>
      </w:tr>
      <w:tr>
        <w:tc>
          <w:tcPr>
            <w:tcW w:type="dxa" w:w="2088"/>
          </w:tcPr>
          <w:p>
            <w:pPr>
              <w:spacing w:after="20"/>
            </w:pPr>
            <w:r/>
            <w:r>
              <w:rPr>
                <w:b w:val="0"/>
                <w:i w:val="0"/>
                <w:sz w:val="17"/>
              </w:rPr>
              <w:t>Count 4: Tortious interference</w:t>
            </w:r>
          </w:p>
        </w:tc>
        <w:tc>
          <w:tcPr>
            <w:tcW w:type="dxa" w:w="1368"/>
          </w:tcPr>
          <w:p>
            <w:pPr>
              <w:spacing w:after="20"/>
            </w:pPr>
            <w:r/>
            <w:r>
              <w:rPr>
                <w:b w:val="0"/>
                <w:i w:val="0"/>
                <w:sz w:val="17"/>
              </w:rPr>
              <w:t>MODERATE–STRONG</w:t>
            </w:r>
          </w:p>
        </w:tc>
        <w:tc>
          <w:tcPr>
            <w:tcW w:type="dxa" w:w="1440"/>
          </w:tcPr>
          <w:p>
            <w:pPr>
              <w:spacing w:after="20"/>
            </w:pPr>
            <w:r/>
            <w:r>
              <w:rPr>
                <w:b w:val="0"/>
                <w:i w:val="0"/>
                <w:sz w:val="17"/>
              </w:rPr>
              <w:t>LOW</w:t>
            </w:r>
          </w:p>
        </w:tc>
        <w:tc>
          <w:tcPr>
            <w:tcW w:type="dxa" w:w="4824"/>
          </w:tcPr>
          <w:p>
            <w:pPr>
              <w:spacing w:after="20"/>
            </w:pPr>
            <w:r/>
            <w:r>
              <w:rPr>
                <w:b w:val="0"/>
                <w:i w:val="0"/>
                <w:sz w:val="17"/>
              </w:rPr>
              <w:t xml:space="preserve">Greenleaf is a party to the EDA and cannot interfere with its own contract; the termination theory (¶80(c)) is an exercise of contract rights; the Complaint names no specific lost account; damages pleaded ($1.808M) duplicate mitigation costs. </w:t>
            </w:r>
            <w:r>
              <w:rPr>
                <w:b/>
                <w:i w:val="0"/>
                <w:sz w:val="17"/>
              </w:rPr>
              <w:t>Risk:</w:t>
            </w:r>
            <w:r>
              <w:rPr>
                <w:b w:val="0"/>
                <w:i w:val="0"/>
                <w:sz w:val="17"/>
              </w:rPr>
              <w:t xml:space="preserve"> Yee's emails name shared accounts (Bridgeport, Timberline, Riverstone); fraud may supply "improper means."</w:t>
            </w:r>
          </w:p>
        </w:tc>
        <w:tc>
          <w:tcPr>
            <w:tcW w:type="dxa" w:w="4104"/>
          </w:tcPr>
          <w:p>
            <w:pPr>
              <w:spacing w:after="20"/>
            </w:pPr>
            <w:r/>
            <w:r>
              <w:rPr>
                <w:b w:val="0"/>
                <w:i w:val="0"/>
                <w:sz w:val="17"/>
              </w:rPr>
              <w:t>Strongest liability motion. Seek dismissal of the termination- and QA-based theories outright, and of the Cascade theory for lack of a specific third-party relationship lost and duplicative damages.</w:t>
            </w:r>
          </w:p>
        </w:tc>
      </w:tr>
      <w:tr>
        <w:tc>
          <w:tcPr>
            <w:tcW w:type="dxa" w:w="2088"/>
          </w:tcPr>
          <w:p>
            <w:pPr>
              <w:spacing w:after="20"/>
            </w:pPr>
            <w:r/>
            <w:r>
              <w:rPr>
                <w:b w:val="0"/>
                <w:i w:val="0"/>
                <w:sz w:val="17"/>
              </w:rPr>
              <w:t>Counterclaim: §5.2 shortfall ($1.2M)</w:t>
            </w:r>
          </w:p>
        </w:tc>
        <w:tc>
          <w:tcPr>
            <w:tcW w:type="dxa" w:w="1368"/>
          </w:tcPr>
          <w:p>
            <w:pPr>
              <w:spacing w:after="20"/>
            </w:pPr>
            <w:r/>
            <w:r>
              <w:rPr>
                <w:b w:val="0"/>
                <w:i w:val="0"/>
                <w:sz w:val="17"/>
              </w:rPr>
              <w:t>LOW</w:t>
            </w:r>
          </w:p>
        </w:tc>
        <w:tc>
          <w:tcPr>
            <w:tcW w:type="dxa" w:w="1440"/>
          </w:tcPr>
          <w:p>
            <w:pPr>
              <w:spacing w:after="20"/>
            </w:pPr>
            <w:r/>
            <w:r>
              <w:rPr>
                <w:b w:val="0"/>
                <w:i w:val="0"/>
                <w:sz w:val="17"/>
              </w:rPr>
              <w:t>HIGH</w:t>
            </w:r>
          </w:p>
        </w:tc>
        <w:tc>
          <w:tcPr>
            <w:tcW w:type="dxa" w:w="4824"/>
          </w:tcPr>
          <w:p>
            <w:pPr>
              <w:spacing w:after="20"/>
            </w:pPr>
            <w:r/>
            <w:r>
              <w:rPr>
                <w:b w:val="0"/>
                <w:i w:val="0"/>
                <w:sz w:val="17"/>
              </w:rPr>
              <w:t>Final shortfall $1.2M is undisputed; Greenleaf withheld $3.3M (diversion $1.9M alone suffices); Holcomb "minimum is the minimum regardless"; Sept. 6 "adjust shipments to … other channels"; §12.1 bars $792K consequential component.</w:t>
            </w:r>
          </w:p>
        </w:tc>
        <w:tc>
          <w:tcPr>
            <w:tcW w:type="dxa" w:w="4104"/>
          </w:tcPr>
          <w:p>
            <w:pPr>
              <w:spacing w:after="20"/>
            </w:pPr>
            <w:r/>
            <w:r>
              <w:rPr>
                <w:b w:val="0"/>
                <w:i w:val="0"/>
                <w:sz w:val="17"/>
              </w:rPr>
              <w:t>Seriously consider voluntarily narrowing to $408K lost profit, or dismissing, to preserve credibility for the damages motion. The counterclaim's damages paragraph (¶60) conflates the shortfall with damages.</w:t>
            </w:r>
          </w:p>
        </w:tc>
      </w:tr>
      <w:tr>
        <w:tc>
          <w:tcPr>
            <w:tcW w:type="dxa" w:w="2088"/>
          </w:tcPr>
          <w:p>
            <w:pPr>
              <w:spacing w:after="20"/>
            </w:pPr>
            <w:r/>
            <w:r>
              <w:rPr>
                <w:b w:val="0"/>
                <w:i w:val="0"/>
                <w:sz w:val="17"/>
              </w:rPr>
              <w:t>Affirmative defenses</w:t>
            </w:r>
          </w:p>
        </w:tc>
        <w:tc>
          <w:tcPr>
            <w:tcW w:type="dxa" w:w="1368"/>
          </w:tcPr>
          <w:p>
            <w:pPr>
              <w:spacing w:after="20"/>
            </w:pPr>
            <w:r/>
            <w:r>
              <w:rPr>
                <w:b w:val="0"/>
                <w:i w:val="0"/>
                <w:sz w:val="17"/>
              </w:rPr>
              <w:t>—</w:t>
            </w:r>
          </w:p>
        </w:tc>
        <w:tc>
          <w:tcPr>
            <w:tcW w:type="dxa" w:w="1440"/>
          </w:tcPr>
          <w:p>
            <w:pPr>
              <w:spacing w:after="20"/>
            </w:pPr>
            <w:r/>
            <w:r>
              <w:rPr>
                <w:b w:val="0"/>
                <w:i w:val="0"/>
                <w:sz w:val="17"/>
              </w:rPr>
              <w:t>MODERATE (motion to strike / SJ)</w:t>
            </w:r>
          </w:p>
        </w:tc>
        <w:tc>
          <w:tcPr>
            <w:tcW w:type="dxa" w:w="4824"/>
          </w:tcPr>
          <w:p>
            <w:pPr>
              <w:spacing w:after="20"/>
            </w:pPr>
            <w:r/>
            <w:r>
              <w:rPr>
                <w:b w:val="0"/>
                <w:i w:val="0"/>
                <w:sz w:val="17"/>
              </w:rPr>
              <w:t xml:space="preserve">Limitations: all acts within 2 years. Waiver/estoppel: Harborview protested; §14.5 written waiver. Unclean hands: damages action. Comparative fault: not a contract defense. Mitigation: viable fact issue. </w:t>
            </w:r>
            <w:r>
              <w:rPr>
                <w:b/>
                <w:i w:val="0"/>
                <w:sz w:val="17"/>
              </w:rPr>
              <w:t>Unpleaded:</w:t>
            </w:r>
            <w:r>
              <w:rPr>
                <w:b w:val="0"/>
                <w:i w:val="0"/>
                <w:sz w:val="17"/>
              </w:rPr>
              <w:t xml:space="preserve"> §§12.1/12.2 limitation of liability.</w:t>
            </w:r>
          </w:p>
        </w:tc>
        <w:tc>
          <w:tcPr>
            <w:tcW w:type="dxa" w:w="4104"/>
          </w:tcPr>
          <w:p>
            <w:pPr>
              <w:spacing w:after="20"/>
            </w:pPr>
            <w:r/>
            <w:r>
              <w:rPr>
                <w:b w:val="0"/>
                <w:i w:val="0"/>
                <w:sz w:val="17"/>
              </w:rPr>
              <w:t>Withdraw the weak defenses. Seek leave (good cause) to assert §§12.1/12.2 expressly, or argue they are contract terms rather than affirmative defenses. Brief as a matter of contract construction.</w:t>
            </w:r>
          </w:p>
        </w:tc>
      </w:tr>
    </w:tbl>
    <w:p>
      <w:pPr>
        <w:spacing w:after="40"/>
      </w:pPr>
    </w:p>
    <w:p>
      <w:pPr>
        <w:pStyle w:val="Heading2"/>
      </w:pPr>
      <w:r>
        <w:t>4.1 Causation Arithmetic — Year 3 Shortfall</w:t>
      </w:r>
    </w:p>
    <w:tbl>
      <w:tblPr>
        <w:tblStyle w:val="TableGrid"/>
        <w:tblW w:type="auto" w:w="0"/>
        <w:jc w:val="center"/>
        <w:tblLayout w:type="fixed"/>
        <w:tblLook w:firstColumn="1" w:firstRow="1" w:lastColumn="0" w:lastRow="0" w:noHBand="0" w:noVBand="1" w:val="04A0"/>
      </w:tblPr>
      <w:tblGrid>
        <w:gridCol w:w="3456"/>
        <w:gridCol w:w="3456"/>
        <w:gridCol w:w="3456"/>
        <w:gridCol w:w="3456"/>
      </w:tblGrid>
      <w:tr>
        <w:trPr>
          <w:tblHeader w:val="true"/>
        </w:trPr>
        <w:tc>
          <w:tcPr>
            <w:tcW w:type="dxa" w:w="3168"/>
            <w:shd w:val="clear" w:color="auto" w:fill="1F3864"/>
          </w:tcPr>
          <w:p>
            <w:r/>
            <w:r>
              <w:rPr>
                <w:b/>
                <w:color w:val="FFFFFF"/>
                <w:sz w:val="18"/>
              </w:rPr>
              <w:t>Scenario</w:t>
            </w:r>
          </w:p>
        </w:tc>
        <w:tc>
          <w:tcPr>
            <w:tcW w:type="dxa" w:w="2880"/>
            <w:shd w:val="clear" w:color="auto" w:fill="1F3864"/>
          </w:tcPr>
          <w:p>
            <w:r/>
            <w:r>
              <w:rPr>
                <w:b/>
                <w:color w:val="FFFFFF"/>
                <w:sz w:val="18"/>
              </w:rPr>
              <w:t>Calculation</w:t>
            </w:r>
          </w:p>
        </w:tc>
        <w:tc>
          <w:tcPr>
            <w:tcW w:type="dxa" w:w="2448"/>
            <w:shd w:val="clear" w:color="auto" w:fill="1F3864"/>
          </w:tcPr>
          <w:p>
            <w:r/>
            <w:r>
              <w:rPr>
                <w:b/>
                <w:color w:val="FFFFFF"/>
                <w:sz w:val="18"/>
              </w:rPr>
              <w:t>Result vs. $7.0M minimum</w:t>
            </w:r>
          </w:p>
        </w:tc>
        <w:tc>
          <w:tcPr>
            <w:tcW w:type="dxa" w:w="5328"/>
            <w:shd w:val="clear" w:color="auto" w:fill="1F3864"/>
          </w:tcPr>
          <w:p>
            <w:r/>
            <w:r>
              <w:rPr>
                <w:b/>
                <w:color w:val="FFFFFF"/>
                <w:sz w:val="18"/>
              </w:rPr>
              <w:t>Comment</w:t>
            </w:r>
          </w:p>
        </w:tc>
      </w:tr>
      <w:tr>
        <w:tc>
          <w:tcPr>
            <w:tcW w:type="dxa" w:w="3168"/>
          </w:tcPr>
          <w:p>
            <w:pPr>
              <w:spacing w:after="20"/>
            </w:pPr>
            <w:r/>
            <w:r>
              <w:rPr>
                <w:b w:val="0"/>
                <w:i w:val="0"/>
                <w:sz w:val="18"/>
              </w:rPr>
              <w:t>Actual</w:t>
            </w:r>
          </w:p>
        </w:tc>
        <w:tc>
          <w:tcPr>
            <w:tcW w:type="dxa" w:w="2880"/>
          </w:tcPr>
          <w:p>
            <w:pPr>
              <w:spacing w:after="20"/>
            </w:pPr>
            <w:r/>
            <w:r>
              <w:rPr>
                <w:b w:val="0"/>
                <w:i w:val="0"/>
                <w:sz w:val="18"/>
              </w:rPr>
              <w:t>$5.8M</w:t>
            </w:r>
          </w:p>
        </w:tc>
        <w:tc>
          <w:tcPr>
            <w:tcW w:type="dxa" w:w="2448"/>
          </w:tcPr>
          <w:p>
            <w:pPr>
              <w:spacing w:after="20"/>
            </w:pPr>
            <w:r/>
            <w:r>
              <w:rPr>
                <w:b w:val="0"/>
                <w:i w:val="0"/>
                <w:sz w:val="18"/>
              </w:rPr>
              <w:t>($1.2M) short</w:t>
            </w:r>
          </w:p>
        </w:tc>
        <w:tc>
          <w:tcPr>
            <w:tcW w:type="dxa" w:w="5328"/>
          </w:tcPr>
          <w:p>
            <w:pPr>
              <w:spacing w:after="20"/>
            </w:pPr>
            <w:r/>
            <w:r>
              <w:rPr>
                <w:b w:val="0"/>
                <w:i w:val="0"/>
                <w:sz w:val="18"/>
              </w:rPr>
              <w:t>Undisputed (Ans. ¶54; Holcomb; Chakrabarti).</w:t>
            </w:r>
          </w:p>
        </w:tc>
      </w:tr>
      <w:tr>
        <w:tc>
          <w:tcPr>
            <w:tcW w:type="dxa" w:w="3168"/>
          </w:tcPr>
          <w:p>
            <w:pPr>
              <w:spacing w:after="20"/>
            </w:pPr>
            <w:r/>
            <w:r>
              <w:rPr>
                <w:b w:val="0"/>
                <w:i w:val="0"/>
                <w:sz w:val="18"/>
              </w:rPr>
              <w:t>+ Cascade diversion only</w:t>
            </w:r>
          </w:p>
        </w:tc>
        <w:tc>
          <w:tcPr>
            <w:tcW w:type="dxa" w:w="2880"/>
          </w:tcPr>
          <w:p>
            <w:pPr>
              <w:spacing w:after="20"/>
            </w:pPr>
            <w:r/>
            <w:r>
              <w:rPr>
                <w:b w:val="0"/>
                <w:i w:val="0"/>
                <w:sz w:val="18"/>
              </w:rPr>
              <w:t>$5.8M + $1.9M</w:t>
            </w:r>
          </w:p>
        </w:tc>
        <w:tc>
          <w:tcPr>
            <w:tcW w:type="dxa" w:w="2448"/>
          </w:tcPr>
          <w:p>
            <w:pPr>
              <w:spacing w:after="20"/>
            </w:pPr>
            <w:r/>
            <w:r>
              <w:rPr>
                <w:b w:val="0"/>
                <w:i w:val="0"/>
                <w:sz w:val="18"/>
              </w:rPr>
              <w:t>$7.7M: +$0.7M</w:t>
            </w:r>
          </w:p>
        </w:tc>
        <w:tc>
          <w:tcPr>
            <w:tcW w:type="dxa" w:w="5328"/>
          </w:tcPr>
          <w:p>
            <w:pPr>
              <w:spacing w:after="20"/>
            </w:pPr>
            <w:r/>
            <w:r>
              <w:rPr>
                <w:b w:val="0"/>
                <w:i w:val="0"/>
                <w:sz w:val="18"/>
              </w:rPr>
              <w:t>The shortfall disappears without any QA theory. This is the decisive prevention fact against the counterclaim.</w:t>
            </w:r>
          </w:p>
        </w:tc>
      </w:tr>
      <w:tr>
        <w:tc>
          <w:tcPr>
            <w:tcW w:type="dxa" w:w="3168"/>
          </w:tcPr>
          <w:p>
            <w:pPr>
              <w:spacing w:after="20"/>
            </w:pPr>
            <w:r/>
            <w:r>
              <w:rPr>
                <w:b w:val="0"/>
                <w:i w:val="0"/>
                <w:sz w:val="18"/>
              </w:rPr>
              <w:t>+ Buckley-unjustified QA only</w:t>
            </w:r>
          </w:p>
        </w:tc>
        <w:tc>
          <w:tcPr>
            <w:tcW w:type="dxa" w:w="2880"/>
          </w:tcPr>
          <w:p>
            <w:pPr>
              <w:spacing w:after="20"/>
            </w:pPr>
            <w:r/>
            <w:r>
              <w:rPr>
                <w:b w:val="0"/>
                <w:i w:val="0"/>
                <w:sz w:val="18"/>
              </w:rPr>
              <w:t>$5.8M + $1.10M</w:t>
            </w:r>
          </w:p>
        </w:tc>
        <w:tc>
          <w:tcPr>
            <w:tcW w:type="dxa" w:w="2448"/>
          </w:tcPr>
          <w:p>
            <w:pPr>
              <w:spacing w:after="20"/>
            </w:pPr>
            <w:r/>
            <w:r>
              <w:rPr>
                <w:b w:val="0"/>
                <w:i w:val="0"/>
                <w:sz w:val="18"/>
              </w:rPr>
              <w:t>$6.9M: ($0.1M)</w:t>
            </w:r>
          </w:p>
        </w:tc>
        <w:tc>
          <w:tcPr>
            <w:tcW w:type="dxa" w:w="5328"/>
          </w:tcPr>
          <w:p>
            <w:pPr>
              <w:spacing w:after="20"/>
            </w:pPr>
            <w:r/>
            <w:r>
              <w:rPr>
                <w:b w:val="0"/>
                <w:i w:val="0"/>
                <w:sz w:val="18"/>
              </w:rPr>
              <w:t>Greenleaf's narrow point: QA rejections alone (on its own expert's numbers) would not have cured. Useful only if the diversion is somehow excluded.</w:t>
            </w:r>
          </w:p>
        </w:tc>
      </w:tr>
      <w:tr>
        <w:tc>
          <w:tcPr>
            <w:tcW w:type="dxa" w:w="3168"/>
          </w:tcPr>
          <w:p>
            <w:pPr>
              <w:spacing w:after="20"/>
            </w:pPr>
            <w:r/>
            <w:r>
              <w:rPr>
                <w:b w:val="0"/>
                <w:i w:val="0"/>
                <w:sz w:val="18"/>
              </w:rPr>
              <w:t>+ Diversion + Buckley-unjustified QA</w:t>
            </w:r>
          </w:p>
        </w:tc>
        <w:tc>
          <w:tcPr>
            <w:tcW w:type="dxa" w:w="2880"/>
          </w:tcPr>
          <w:p>
            <w:pPr>
              <w:spacing w:after="20"/>
            </w:pPr>
            <w:r/>
            <w:r>
              <w:rPr>
                <w:b w:val="0"/>
                <w:i w:val="0"/>
                <w:sz w:val="18"/>
              </w:rPr>
              <w:t>$5.8M + $1.9M + $1.10M</w:t>
            </w:r>
          </w:p>
        </w:tc>
        <w:tc>
          <w:tcPr>
            <w:tcW w:type="dxa" w:w="2448"/>
          </w:tcPr>
          <w:p>
            <w:pPr>
              <w:spacing w:after="20"/>
            </w:pPr>
            <w:r/>
            <w:r>
              <w:rPr>
                <w:b w:val="0"/>
                <w:i w:val="0"/>
                <w:sz w:val="18"/>
              </w:rPr>
              <w:t>$8.8M: +$1.8M</w:t>
            </w:r>
          </w:p>
        </w:tc>
        <w:tc>
          <w:tcPr>
            <w:tcW w:type="dxa" w:w="5328"/>
          </w:tcPr>
          <w:p>
            <w:pPr>
              <w:spacing w:after="20"/>
            </w:pPr>
            <w:r/>
            <w:r>
              <w:rPr>
                <w:b w:val="0"/>
                <w:i w:val="0"/>
                <w:sz w:val="18"/>
              </w:rPr>
              <w:t>Most defensible plaintiff number.</w:t>
            </w:r>
          </w:p>
        </w:tc>
      </w:tr>
      <w:tr>
        <w:tc>
          <w:tcPr>
            <w:tcW w:type="dxa" w:w="3168"/>
          </w:tcPr>
          <w:p>
            <w:pPr>
              <w:spacing w:after="20"/>
            </w:pPr>
            <w:r/>
            <w:r>
              <w:rPr>
                <w:b w:val="0"/>
                <w:i w:val="0"/>
                <w:sz w:val="18"/>
              </w:rPr>
              <w:t>+ Diversion + all QA (plaintiff)</w:t>
            </w:r>
          </w:p>
        </w:tc>
        <w:tc>
          <w:tcPr>
            <w:tcW w:type="dxa" w:w="2880"/>
          </w:tcPr>
          <w:p>
            <w:pPr>
              <w:spacing w:after="20"/>
            </w:pPr>
            <w:r/>
            <w:r>
              <w:rPr>
                <w:b w:val="0"/>
                <w:i w:val="0"/>
                <w:sz w:val="18"/>
              </w:rPr>
              <w:t>$5.8M + $3.3M</w:t>
            </w:r>
          </w:p>
        </w:tc>
        <w:tc>
          <w:tcPr>
            <w:tcW w:type="dxa" w:w="2448"/>
          </w:tcPr>
          <w:p>
            <w:pPr>
              <w:spacing w:after="20"/>
            </w:pPr>
            <w:r/>
            <w:r>
              <w:rPr>
                <w:b w:val="0"/>
                <w:i w:val="0"/>
                <w:sz w:val="18"/>
              </w:rPr>
              <w:t>$9.1M: +$2.1M</w:t>
            </w:r>
          </w:p>
        </w:tc>
        <w:tc>
          <w:tcPr>
            <w:tcW w:type="dxa" w:w="5328"/>
          </w:tcPr>
          <w:p>
            <w:pPr>
              <w:spacing w:after="20"/>
            </w:pPr>
            <w:r/>
            <w:r>
              <w:rPr>
                <w:b w:val="0"/>
                <w:i w:val="0"/>
                <w:sz w:val="18"/>
              </w:rPr>
              <w:t>Assumes all diverted and rejected product would have been bought by Harborview. Challenge: Cascade product was Portland-metro specific; §7.2 replacement obligation; purchase-order history.</w:t>
            </w:r>
          </w:p>
        </w:tc>
      </w:tr>
    </w:tbl>
    <w:p>
      <w:pPr>
        <w:spacing w:after="40"/>
      </w:pPr>
    </w:p>
    <w:p>
      <w:pPr>
        <w:pStyle w:val="Heading2"/>
      </w:pPr>
      <w:r>
        <w:t>4.2 Year 3 Purchase Figures — Internal Inconsistency</w:t>
      </w:r>
    </w:p>
    <w:tbl>
      <w:tblPr>
        <w:tblStyle w:val="TableGrid"/>
        <w:tblW w:type="auto" w:w="0"/>
        <w:jc w:val="center"/>
        <w:tblLayout w:type="fixed"/>
        <w:tblLook w:firstColumn="1" w:firstRow="1" w:lastColumn="0" w:lastRow="0" w:noHBand="0" w:noVBand="1" w:val="04A0"/>
      </w:tblPr>
      <w:tblGrid>
        <w:gridCol w:w="3456"/>
        <w:gridCol w:w="3456"/>
        <w:gridCol w:w="3456"/>
        <w:gridCol w:w="3456"/>
      </w:tblGrid>
      <w:tr>
        <w:trPr>
          <w:tblHeader w:val="true"/>
        </w:trPr>
        <w:tc>
          <w:tcPr>
            <w:tcW w:type="dxa" w:w="1728"/>
            <w:shd w:val="clear" w:color="auto" w:fill="1F3864"/>
          </w:tcPr>
          <w:p>
            <w:r/>
            <w:r>
              <w:rPr>
                <w:b/>
                <w:color w:val="FFFFFF"/>
                <w:sz w:val="18"/>
              </w:rPr>
              <w:t>Date</w:t>
            </w:r>
          </w:p>
        </w:tc>
        <w:tc>
          <w:tcPr>
            <w:tcW w:type="dxa" w:w="2880"/>
            <w:shd w:val="clear" w:color="auto" w:fill="1F3864"/>
          </w:tcPr>
          <w:p>
            <w:r/>
            <w:r>
              <w:rPr>
                <w:b/>
                <w:color w:val="FFFFFF"/>
                <w:sz w:val="18"/>
              </w:rPr>
              <w:t>Source</w:t>
            </w:r>
          </w:p>
        </w:tc>
        <w:tc>
          <w:tcPr>
            <w:tcW w:type="dxa" w:w="3456"/>
            <w:shd w:val="clear" w:color="auto" w:fill="1F3864"/>
          </w:tcPr>
          <w:p>
            <w:r/>
            <w:r>
              <w:rPr>
                <w:b/>
                <w:color w:val="FFFFFF"/>
                <w:sz w:val="18"/>
              </w:rPr>
              <w:t>Year 3 purchases stated</w:t>
            </w:r>
          </w:p>
        </w:tc>
        <w:tc>
          <w:tcPr>
            <w:tcW w:type="dxa" w:w="5760"/>
            <w:shd w:val="clear" w:color="auto" w:fill="1F3864"/>
          </w:tcPr>
          <w:p>
            <w:r/>
            <w:r>
              <w:rPr>
                <w:b/>
                <w:color w:val="FFFFFF"/>
                <w:sz w:val="18"/>
              </w:rPr>
              <w:t>Implication</w:t>
            </w:r>
          </w:p>
        </w:tc>
      </w:tr>
      <w:tr>
        <w:tc>
          <w:tcPr>
            <w:tcW w:type="dxa" w:w="1728"/>
          </w:tcPr>
          <w:p>
            <w:pPr>
              <w:spacing w:after="20"/>
            </w:pPr>
            <w:r/>
            <w:r>
              <w:rPr>
                <w:b w:val="0"/>
                <w:i w:val="0"/>
                <w:sz w:val="18"/>
              </w:rPr>
              <w:t>Dec. 1, 2022</w:t>
            </w:r>
          </w:p>
        </w:tc>
        <w:tc>
          <w:tcPr>
            <w:tcW w:type="dxa" w:w="2880"/>
          </w:tcPr>
          <w:p>
            <w:pPr>
              <w:spacing w:after="20"/>
            </w:pPr>
            <w:r/>
            <w:r>
              <w:rPr>
                <w:b w:val="0"/>
                <w:i w:val="0"/>
                <w:sz w:val="18"/>
              </w:rPr>
              <w:t>Holcomb → Stanton</w:t>
            </w:r>
          </w:p>
        </w:tc>
        <w:tc>
          <w:tcPr>
            <w:tcW w:type="dxa" w:w="3456"/>
          </w:tcPr>
          <w:p>
            <w:pPr>
              <w:spacing w:after="20"/>
            </w:pPr>
            <w:r/>
            <w:r>
              <w:rPr>
                <w:b w:val="0"/>
                <w:i w:val="0"/>
                <w:sz w:val="18"/>
              </w:rPr>
              <w:t>Projected final ≈ $5.8M–$6.0M</w:t>
            </w:r>
          </w:p>
        </w:tc>
        <w:tc>
          <w:tcPr>
            <w:tcW w:type="dxa" w:w="5760"/>
          </w:tcPr>
          <w:p>
            <w:pPr>
              <w:spacing w:after="20"/>
            </w:pPr>
            <w:r/>
            <w:r>
              <w:rPr>
                <w:b w:val="0"/>
                <w:i w:val="0"/>
                <w:sz w:val="18"/>
              </w:rPr>
              <w:t>Suggests purchases to date were well above $4.27M.</w:t>
            </w:r>
          </w:p>
        </w:tc>
      </w:tr>
      <w:tr>
        <w:tc>
          <w:tcPr>
            <w:tcW w:type="dxa" w:w="1728"/>
          </w:tcPr>
          <w:p>
            <w:pPr>
              <w:spacing w:after="20"/>
            </w:pPr>
            <w:r/>
            <w:r>
              <w:rPr>
                <w:b w:val="0"/>
                <w:i w:val="0"/>
                <w:sz w:val="18"/>
              </w:rPr>
              <w:t>Jan. 3, 2023</w:t>
            </w:r>
          </w:p>
        </w:tc>
        <w:tc>
          <w:tcPr>
            <w:tcW w:type="dxa" w:w="2880"/>
          </w:tcPr>
          <w:p>
            <w:pPr>
              <w:spacing w:after="20"/>
            </w:pPr>
            <w:r/>
            <w:r>
              <w:rPr>
                <w:b w:val="0"/>
                <w:i w:val="0"/>
                <w:sz w:val="18"/>
              </w:rPr>
              <w:t>Stanton → Ivers</w:t>
            </w:r>
          </w:p>
        </w:tc>
        <w:tc>
          <w:tcPr>
            <w:tcW w:type="dxa" w:w="3456"/>
          </w:tcPr>
          <w:p>
            <w:pPr>
              <w:spacing w:after="20"/>
            </w:pPr>
            <w:r/>
            <w:r>
              <w:rPr>
                <w:b w:val="0"/>
                <w:i w:val="0"/>
                <w:sz w:val="18"/>
              </w:rPr>
              <w:t>"somewhere around $5M or so"</w:t>
            </w:r>
          </w:p>
        </w:tc>
        <w:tc>
          <w:tcPr>
            <w:tcW w:type="dxa" w:w="5760"/>
          </w:tcPr>
          <w:p>
            <w:pPr>
              <w:spacing w:after="20"/>
            </w:pPr>
            <w:r/>
            <w:r>
              <w:rPr>
                <w:b w:val="0"/>
                <w:i w:val="0"/>
                <w:sz w:val="18"/>
              </w:rPr>
              <w:t>CEO estimate one week before the notice.</w:t>
            </w:r>
          </w:p>
        </w:tc>
      </w:tr>
      <w:tr>
        <w:tc>
          <w:tcPr>
            <w:tcW w:type="dxa" w:w="1728"/>
          </w:tcPr>
          <w:p>
            <w:pPr>
              <w:spacing w:after="20"/>
            </w:pPr>
            <w:r/>
            <w:r>
              <w:rPr>
                <w:b w:val="0"/>
                <w:i w:val="0"/>
                <w:sz w:val="18"/>
              </w:rPr>
              <w:t>Jan. 10, 2023</w:t>
            </w:r>
          </w:p>
        </w:tc>
        <w:tc>
          <w:tcPr>
            <w:tcW w:type="dxa" w:w="2880"/>
          </w:tcPr>
          <w:p>
            <w:pPr>
              <w:spacing w:after="20"/>
            </w:pPr>
            <w:r/>
            <w:r>
              <w:rPr>
                <w:b w:val="0"/>
                <w:i w:val="0"/>
                <w:sz w:val="18"/>
              </w:rPr>
              <w:t>Notice of Material Breach</w:t>
            </w:r>
          </w:p>
        </w:tc>
        <w:tc>
          <w:tcPr>
            <w:tcW w:type="dxa" w:w="3456"/>
          </w:tcPr>
          <w:p>
            <w:pPr>
              <w:spacing w:after="20"/>
            </w:pPr>
            <w:r/>
            <w:r>
              <w:rPr>
                <w:b w:val="0"/>
                <w:i w:val="0"/>
                <w:sz w:val="18"/>
              </w:rPr>
              <w:t>$4,270,000 (shortfall $2.73M)</w:t>
            </w:r>
          </w:p>
        </w:tc>
        <w:tc>
          <w:tcPr>
            <w:tcW w:type="dxa" w:w="5760"/>
          </w:tcPr>
          <w:p>
            <w:pPr>
              <w:spacing w:after="20"/>
            </w:pPr>
            <w:r/>
            <w:r>
              <w:rPr>
                <w:b w:val="0"/>
                <w:i w:val="0"/>
                <w:sz w:val="18"/>
              </w:rPr>
              <w:t>Possibly understated to magnify the breach. Verify against the ledger.</w:t>
            </w:r>
          </w:p>
        </w:tc>
      </w:tr>
      <w:tr>
        <w:tc>
          <w:tcPr>
            <w:tcW w:type="dxa" w:w="1728"/>
          </w:tcPr>
          <w:p>
            <w:pPr>
              <w:spacing w:after="20"/>
            </w:pPr>
            <w:r/>
            <w:r>
              <w:rPr>
                <w:b w:val="0"/>
                <w:i w:val="0"/>
                <w:sz w:val="18"/>
              </w:rPr>
              <w:t>Feb. 15, 2023</w:t>
            </w:r>
          </w:p>
        </w:tc>
        <w:tc>
          <w:tcPr>
            <w:tcW w:type="dxa" w:w="2880"/>
          </w:tcPr>
          <w:p>
            <w:pPr>
              <w:spacing w:after="20"/>
            </w:pPr>
            <w:r/>
            <w:r>
              <w:rPr>
                <w:b w:val="0"/>
                <w:i w:val="0"/>
                <w:sz w:val="18"/>
              </w:rPr>
              <w:t>Notice of Termination</w:t>
            </w:r>
          </w:p>
        </w:tc>
        <w:tc>
          <w:tcPr>
            <w:tcW w:type="dxa" w:w="3456"/>
          </w:tcPr>
          <w:p>
            <w:pPr>
              <w:spacing w:after="20"/>
            </w:pPr>
            <w:r/>
            <w:r>
              <w:rPr>
                <w:b w:val="0"/>
                <w:i w:val="0"/>
                <w:sz w:val="18"/>
              </w:rPr>
              <w:t>$5,600,000 (shortfall $1.4M)</w:t>
            </w:r>
          </w:p>
        </w:tc>
        <w:tc>
          <w:tcPr>
            <w:tcW w:type="dxa" w:w="5760"/>
          </w:tcPr>
          <w:p>
            <w:pPr>
              <w:spacing w:after="20"/>
            </w:pPr>
            <w:r/>
            <w:r>
              <w:rPr>
                <w:b w:val="0"/>
                <w:i w:val="0"/>
                <w:sz w:val="18"/>
              </w:rPr>
              <w:t>Implies ≈ $1.33M purchased during the cure period, contradicting Counterclaim ¶51.</w:t>
            </w:r>
          </w:p>
        </w:tc>
      </w:tr>
      <w:tr>
        <w:tc>
          <w:tcPr>
            <w:tcW w:type="dxa" w:w="1728"/>
          </w:tcPr>
          <w:p>
            <w:pPr>
              <w:spacing w:after="20"/>
            </w:pPr>
            <w:r/>
            <w:r>
              <w:rPr>
                <w:b w:val="0"/>
                <w:i w:val="0"/>
                <w:sz w:val="18"/>
              </w:rPr>
              <w:t>Mar. 14, 2023</w:t>
            </w:r>
          </w:p>
        </w:tc>
        <w:tc>
          <w:tcPr>
            <w:tcW w:type="dxa" w:w="2880"/>
          </w:tcPr>
          <w:p>
            <w:pPr>
              <w:spacing w:after="20"/>
            </w:pPr>
            <w:r/>
            <w:r>
              <w:rPr>
                <w:b w:val="0"/>
                <w:i w:val="0"/>
                <w:sz w:val="18"/>
              </w:rPr>
              <w:t>Answer ¶54; all witnesses</w:t>
            </w:r>
          </w:p>
        </w:tc>
        <w:tc>
          <w:tcPr>
            <w:tcW w:type="dxa" w:w="3456"/>
          </w:tcPr>
          <w:p>
            <w:pPr>
              <w:spacing w:after="20"/>
            </w:pPr>
            <w:r/>
            <w:r>
              <w:rPr>
                <w:b w:val="0"/>
                <w:i w:val="0"/>
                <w:sz w:val="18"/>
              </w:rPr>
              <w:t>$5,800,000 (shortfall $1.2M)</w:t>
            </w:r>
          </w:p>
        </w:tc>
        <w:tc>
          <w:tcPr>
            <w:tcW w:type="dxa" w:w="5760"/>
          </w:tcPr>
          <w:p>
            <w:pPr>
              <w:spacing w:after="20"/>
            </w:pPr>
            <w:r/>
            <w:r>
              <w:rPr>
                <w:b w:val="0"/>
                <w:i w:val="0"/>
                <w:sz w:val="18"/>
              </w:rPr>
              <w:t>Implies only ≈ $0.2M in the final 27 days. Was supply further constrained after the termination notice (NOT: Greenleaf would "redirect" pending shipments)?</w:t>
            </w:r>
          </w:p>
        </w:tc>
      </w:tr>
    </w:tbl>
    <w:p>
      <w:pPr>
        <w:spacing w:after="40"/>
      </w:pPr>
    </w:p>
    <w:p>
      <w:pPr>
        <w:pStyle w:val="Heading2"/>
      </w:pPr>
      <w:r>
        <w:t>4.3 Section 9.2 — What the Parties Say vs. What the EDA Says</w:t>
      </w:r>
    </w:p>
    <w:tbl>
      <w:tblPr>
        <w:tblStyle w:val="TableGrid"/>
        <w:tblW w:type="auto" w:w="0"/>
        <w:jc w:val="center"/>
        <w:tblLayout w:type="fixed"/>
        <w:tblLook w:firstColumn="1" w:firstRow="1" w:lastColumn="0" w:lastRow="0" w:noHBand="0" w:noVBand="1" w:val="04A0"/>
      </w:tblPr>
      <w:tblGrid>
        <w:gridCol w:w="3456"/>
        <w:gridCol w:w="3456"/>
        <w:gridCol w:w="3456"/>
        <w:gridCol w:w="3456"/>
      </w:tblGrid>
      <w:tr>
        <w:trPr>
          <w:tblHeader w:val="true"/>
        </w:trPr>
        <w:tc>
          <w:tcPr>
            <w:tcW w:type="dxa" w:w="1872"/>
            <w:shd w:val="clear" w:color="auto" w:fill="1F3864"/>
          </w:tcPr>
          <w:p>
            <w:r/>
            <w:r>
              <w:rPr>
                <w:b/>
                <w:color w:val="FFFFFF"/>
                <w:sz w:val="18"/>
              </w:rPr>
              <w:t>Point</w:t>
            </w:r>
          </w:p>
        </w:tc>
        <w:tc>
          <w:tcPr>
            <w:tcW w:type="dxa" w:w="3744"/>
            <w:shd w:val="clear" w:color="auto" w:fill="1F3864"/>
          </w:tcPr>
          <w:p>
            <w:r/>
            <w:r>
              <w:rPr>
                <w:b/>
                <w:color w:val="FFFFFF"/>
                <w:sz w:val="18"/>
              </w:rPr>
              <w:t>As characterized (NMB, Ans. ¶¶12/52, Compl. ¶17, Holcomb Dep., Chakrabarti)</w:t>
            </w:r>
          </w:p>
        </w:tc>
        <w:tc>
          <w:tcPr>
            <w:tcW w:type="dxa" w:w="4176"/>
            <w:shd w:val="clear" w:color="auto" w:fill="1F3864"/>
          </w:tcPr>
          <w:p>
            <w:r/>
            <w:r>
              <w:rPr>
                <w:b/>
                <w:color w:val="FFFFFF"/>
                <w:sz w:val="18"/>
              </w:rPr>
              <w:t>Actual EDA text</w:t>
            </w:r>
          </w:p>
        </w:tc>
        <w:tc>
          <w:tcPr>
            <w:tcW w:type="dxa" w:w="4032"/>
            <w:shd w:val="clear" w:color="auto" w:fill="1F3864"/>
          </w:tcPr>
          <w:p>
            <w:r/>
            <w:r>
              <w:rPr>
                <w:b/>
                <w:color w:val="FFFFFF"/>
                <w:sz w:val="18"/>
              </w:rPr>
              <w:t>SJ significance</w:t>
            </w:r>
          </w:p>
        </w:tc>
      </w:tr>
      <w:tr>
        <w:tc>
          <w:tcPr>
            <w:tcW w:type="dxa" w:w="1872"/>
          </w:tcPr>
          <w:p>
            <w:pPr>
              <w:spacing w:after="20"/>
            </w:pPr>
            <w:r/>
            <w:r>
              <w:rPr>
                <w:b w:val="0"/>
                <w:i w:val="0"/>
                <w:sz w:val="18"/>
              </w:rPr>
              <w:t>Notice period</w:t>
            </w:r>
          </w:p>
        </w:tc>
        <w:tc>
          <w:tcPr>
            <w:tcW w:type="dxa" w:w="3744"/>
          </w:tcPr>
          <w:p>
            <w:pPr>
              <w:spacing w:after="20"/>
            </w:pPr>
            <w:r/>
            <w:r>
              <w:rPr>
                <w:b w:val="0"/>
                <w:i w:val="0"/>
                <w:sz w:val="18"/>
              </w:rPr>
              <w:t>60 days' written notice after a 30-day cure</w:t>
            </w:r>
          </w:p>
        </w:tc>
        <w:tc>
          <w:tcPr>
            <w:tcW w:type="dxa" w:w="4176"/>
          </w:tcPr>
          <w:p>
            <w:pPr>
              <w:spacing w:after="20"/>
            </w:pPr>
            <w:r/>
            <w:r>
              <w:rPr>
                <w:b w:val="0"/>
                <w:i w:val="0"/>
                <w:sz w:val="18"/>
              </w:rPr>
              <w:t>Termination effective on the date specified, "no earlier than the expiration of the Cure Period." No 60-day period.</w:t>
            </w:r>
          </w:p>
        </w:tc>
        <w:tc>
          <w:tcPr>
            <w:tcW w:type="dxa" w:w="4032"/>
          </w:tcPr>
          <w:p>
            <w:pPr>
              <w:spacing w:after="20"/>
            </w:pPr>
            <w:r/>
            <w:r>
              <w:rPr>
                <w:b w:val="0"/>
                <w:i w:val="0"/>
                <w:sz w:val="18"/>
              </w:rPr>
              <w:t>The NOT's 30-day effective date complies with the actual text. Argue the text, and correct Ans. ¶52's claim that 60 days were given.</w:t>
            </w:r>
          </w:p>
        </w:tc>
      </w:tr>
      <w:tr>
        <w:tc>
          <w:tcPr>
            <w:tcW w:type="dxa" w:w="1872"/>
          </w:tcPr>
          <w:p>
            <w:pPr>
              <w:spacing w:after="20"/>
            </w:pPr>
            <w:r/>
            <w:r>
              <w:rPr>
                <w:b w:val="0"/>
                <w:i w:val="0"/>
                <w:sz w:val="18"/>
              </w:rPr>
              <w:t>Breach must exist</w:t>
            </w:r>
          </w:p>
        </w:tc>
        <w:tc>
          <w:tcPr>
            <w:tcW w:type="dxa" w:w="3744"/>
          </w:tcPr>
          <w:p>
            <w:pPr>
              <w:spacing w:after="20"/>
            </w:pPr>
            <w:r/>
            <w:r>
              <w:rPr>
                <w:b w:val="0"/>
                <w:i w:val="0"/>
                <w:sz w:val="18"/>
              </w:rPr>
              <w:t>Not addressed by Greenleaf</w:t>
            </w:r>
          </w:p>
        </w:tc>
        <w:tc>
          <w:tcPr>
            <w:tcW w:type="dxa" w:w="4176"/>
          </w:tcPr>
          <w:p>
            <w:pPr>
              <w:spacing w:after="20"/>
            </w:pPr>
            <w:r/>
            <w:r>
              <w:rPr>
                <w:b w:val="0"/>
                <w:i w:val="0"/>
                <w:sz w:val="18"/>
              </w:rPr>
              <w:t>"a notice of termination issued prior to the occurrence of an actual material breach … shall be of no force or effect"</w:t>
            </w:r>
          </w:p>
        </w:tc>
        <w:tc>
          <w:tcPr>
            <w:tcW w:type="dxa" w:w="4032"/>
          </w:tcPr>
          <w:p>
            <w:pPr>
              <w:spacing w:after="20"/>
            </w:pPr>
            <w:r/>
            <w:r>
              <w:rPr>
                <w:b w:val="0"/>
                <w:i w:val="0"/>
                <w:sz w:val="18"/>
              </w:rPr>
              <w:t>Read with §5.3, this is Harborview's strongest cross-motion point. Greenleaf response: the notice was issued after the cure period and a shortfall existed as of that date. Weak against the "full Purchase Year" language and §14.12 (no contra proferentem, so the text controls).</w:t>
            </w:r>
          </w:p>
        </w:tc>
      </w:tr>
      <w:tr>
        <w:tc>
          <w:tcPr>
            <w:tcW w:type="dxa" w:w="1872"/>
          </w:tcPr>
          <w:p>
            <w:pPr>
              <w:spacing w:after="20"/>
            </w:pPr>
            <w:r/>
            <w:r>
              <w:rPr>
                <w:b w:val="0"/>
                <w:i w:val="0"/>
                <w:sz w:val="18"/>
              </w:rPr>
              <w:t>Notice content</w:t>
            </w:r>
          </w:p>
        </w:tc>
        <w:tc>
          <w:tcPr>
            <w:tcW w:type="dxa" w:w="3744"/>
          </w:tcPr>
          <w:p>
            <w:pPr>
              <w:spacing w:after="20"/>
            </w:pPr>
            <w:r/>
            <w:r>
              <w:rPr>
                <w:b w:val="0"/>
                <w:i w:val="0"/>
                <w:sz w:val="18"/>
              </w:rPr>
              <w:t>NMB identifies §5.2</w:t>
            </w:r>
          </w:p>
        </w:tc>
        <w:tc>
          <w:tcPr>
            <w:tcW w:type="dxa" w:w="4176"/>
          </w:tcPr>
          <w:p>
            <w:pPr>
              <w:spacing w:after="20"/>
            </w:pPr>
            <w:r/>
            <w:r>
              <w:rPr>
                <w:b w:val="0"/>
                <w:i w:val="0"/>
                <w:sz w:val="18"/>
              </w:rPr>
              <w:t>Must identify the provision and factual basis with particularity</w:t>
            </w:r>
          </w:p>
        </w:tc>
        <w:tc>
          <w:tcPr>
            <w:tcW w:type="dxa" w:w="4032"/>
          </w:tcPr>
          <w:p>
            <w:pPr>
              <w:spacing w:after="20"/>
            </w:pPr>
            <w:r/>
            <w:r>
              <w:rPr>
                <w:b w:val="0"/>
                <w:i w:val="0"/>
                <w:sz w:val="18"/>
              </w:rPr>
              <w:t>Satisfied. Not a strong Harborview point.</w:t>
            </w:r>
          </w:p>
        </w:tc>
      </w:tr>
    </w:tbl>
    <w:p>
      <w:pPr>
        <w:spacing w:after="40"/>
      </w:pPr>
    </w:p>
    <w:p>
      <w:pPr>
        <w:pStyle w:val="Heading2"/>
      </w:pPr>
      <w:r>
        <w:t>4.4 Limitations, Pleading and Equitable Defenses</w:t>
      </w:r>
    </w:p>
    <w:p>
      <w:pPr>
        <w:pStyle w:val="ListBullet"/>
        <w:spacing w:after="40"/>
      </w:pPr>
      <w:r>
        <w:rPr>
          <w:b/>
          <w:i w:val="0"/>
        </w:rPr>
        <w:t>ORS 12.110 (2 years):</w:t>
      </w:r>
      <w:r>
        <w:rPr>
          <w:b w:val="0"/>
          <w:i w:val="0"/>
        </w:rPr>
        <w:t xml:space="preserve"> The earliest alleged act is June 8, 2022. The Complaint was filed Feb. 28, 2024, less than 2 years after every act. The discovery-rule debate is academic. Maintaining the defense in SJ papers risks credibility.</w:t>
      </w:r>
    </w:p>
    <w:p>
      <w:pPr>
        <w:pStyle w:val="ListBullet"/>
        <w:spacing w:after="40"/>
      </w:pPr>
      <w:r>
        <w:rPr>
          <w:b/>
          <w:i w:val="0"/>
        </w:rPr>
        <w:t>ORS 12.080 (6 years, contract):</w:t>
      </w:r>
      <w:r>
        <w:rPr>
          <w:b w:val="0"/>
          <w:i w:val="0"/>
        </w:rPr>
        <w:t xml:space="preserve"> No issue.</w:t>
      </w:r>
    </w:p>
    <w:p>
      <w:pPr>
        <w:pStyle w:val="ListBullet"/>
        <w:spacing w:after="40"/>
      </w:pPr>
      <w:r>
        <w:rPr>
          <w:b/>
          <w:i w:val="0"/>
        </w:rPr>
        <w:t>Rule 9(b):</w:t>
      </w:r>
      <w:r>
        <w:rPr>
          <w:b w:val="0"/>
          <w:i w:val="0"/>
        </w:rPr>
        <w:t xml:space="preserve"> The Complaint identifies speakers, dates and quotations (¶¶25, 28, 29, 34, 35). The defense is not viable, and the Rule 12 window has closed.</w:t>
      </w:r>
    </w:p>
    <w:p>
      <w:pPr>
        <w:pStyle w:val="ListBullet"/>
        <w:spacing w:after="40"/>
      </w:pPr>
      <w:r>
        <w:rPr>
          <w:b/>
          <w:i w:val="0"/>
        </w:rPr>
        <w:t>Waiver/estoppel:</w:t>
      </w:r>
      <w:r>
        <w:rPr>
          <w:b w:val="0"/>
          <w:i w:val="0"/>
        </w:rPr>
        <w:t xml:space="preserve"> Beckett protested from October/November 2022, and counsel's Feb. 22, 2023 letter reserved all rights. EDA §14.5 requires written waivers.</w:t>
      </w:r>
    </w:p>
    <w:p>
      <w:pPr>
        <w:pStyle w:val="ListBullet"/>
        <w:spacing w:after="40"/>
      </w:pPr>
      <w:r>
        <w:rPr>
          <w:b/>
          <w:i w:val="0"/>
        </w:rPr>
        <w:t>Unclean hands:</w:t>
      </w:r>
      <w:r>
        <w:rPr>
          <w:b w:val="0"/>
          <w:i w:val="0"/>
        </w:rPr>
        <w:t xml:space="preserve"> Harborview seeks legal damages, so the defense is generally inapplicable.</w:t>
      </w:r>
    </w:p>
    <w:p>
      <w:pPr>
        <w:pStyle w:val="Heading2"/>
      </w:pPr>
      <w:r>
        <w:t>4.5 Privilege and Preservation Issues Requiring Immediate Action</w:t>
      </w:r>
    </w:p>
    <w:tbl>
      <w:tblPr>
        <w:tblStyle w:val="TableGrid"/>
        <w:tblW w:type="auto" w:w="0"/>
        <w:jc w:val="center"/>
        <w:tblLayout w:type="fixed"/>
        <w:tblLook w:firstColumn="1" w:firstRow="1" w:lastColumn="0" w:lastRow="0" w:noHBand="0" w:noVBand="1" w:val="04A0"/>
      </w:tblPr>
      <w:tblGrid>
        <w:gridCol w:w="3456"/>
        <w:gridCol w:w="3456"/>
        <w:gridCol w:w="3456"/>
        <w:gridCol w:w="3456"/>
      </w:tblGrid>
      <w:tr>
        <w:trPr>
          <w:tblHeader w:val="true"/>
        </w:trPr>
        <w:tc>
          <w:tcPr>
            <w:tcW w:type="dxa" w:w="2448"/>
            <w:shd w:val="clear" w:color="auto" w:fill="1F3864"/>
          </w:tcPr>
          <w:p>
            <w:r/>
            <w:r>
              <w:rPr>
                <w:b/>
                <w:color w:val="FFFFFF"/>
                <w:sz w:val="17"/>
              </w:rPr>
              <w:t>Issue</w:t>
            </w:r>
          </w:p>
        </w:tc>
        <w:tc>
          <w:tcPr>
            <w:tcW w:type="dxa" w:w="3744"/>
            <w:shd w:val="clear" w:color="auto" w:fill="1F3864"/>
          </w:tcPr>
          <w:p>
            <w:r/>
            <w:r>
              <w:rPr>
                <w:b/>
                <w:color w:val="FFFFFF"/>
                <w:sz w:val="17"/>
              </w:rPr>
              <w:t>Facts</w:t>
            </w:r>
          </w:p>
        </w:tc>
        <w:tc>
          <w:tcPr>
            <w:tcW w:type="dxa" w:w="3744"/>
            <w:shd w:val="clear" w:color="auto" w:fill="1F3864"/>
          </w:tcPr>
          <w:p>
            <w:r/>
            <w:r>
              <w:rPr>
                <w:b/>
                <w:color w:val="FFFFFF"/>
                <w:sz w:val="17"/>
              </w:rPr>
              <w:t>Risk</w:t>
            </w:r>
          </w:p>
        </w:tc>
        <w:tc>
          <w:tcPr>
            <w:tcW w:type="dxa" w:w="3888"/>
            <w:shd w:val="clear" w:color="auto" w:fill="1F3864"/>
          </w:tcPr>
          <w:p>
            <w:r/>
            <w:r>
              <w:rPr>
                <w:b/>
                <w:color w:val="FFFFFF"/>
                <w:sz w:val="17"/>
              </w:rPr>
              <w:t>Action</w:t>
            </w:r>
          </w:p>
        </w:tc>
      </w:tr>
      <w:tr>
        <w:tc>
          <w:tcPr>
            <w:tcW w:type="dxa" w:w="2448"/>
          </w:tcPr>
          <w:p>
            <w:pPr>
              <w:spacing w:after="20"/>
            </w:pPr>
            <w:r/>
            <w:r>
              <w:rPr>
                <w:b w:val="0"/>
                <w:i w:val="0"/>
                <w:sz w:val="17"/>
              </w:rPr>
              <w:t>Stanton → Ivers email (Jan. 3, 2023), GL-PROD-007834</w:t>
            </w:r>
          </w:p>
        </w:tc>
        <w:tc>
          <w:tcPr>
            <w:tcW w:type="dxa" w:w="3744"/>
          </w:tcPr>
          <w:p>
            <w:pPr>
              <w:spacing w:after="20"/>
            </w:pPr>
            <w:r/>
            <w:r>
              <w:rPr>
                <w:b w:val="0"/>
                <w:i w:val="0"/>
                <w:sz w:val="17"/>
              </w:rPr>
              <w:t>Produced Sept. 30, 2024. First privilege assertion Nov. 5, 2024 (Fong Dep.). No clawback letter in file. Complaint ¶50 already alleges its substance on "information and belief."</w:t>
            </w:r>
          </w:p>
        </w:tc>
        <w:tc>
          <w:tcPr>
            <w:tcW w:type="dxa" w:w="3744"/>
          </w:tcPr>
          <w:p>
            <w:pPr>
              <w:spacing w:after="20"/>
            </w:pPr>
            <w:r/>
            <w:r>
              <w:rPr>
                <w:b w:val="0"/>
                <w:i w:val="0"/>
                <w:sz w:val="17"/>
              </w:rPr>
              <w:t>FRE 502(b) requires reasonable precautions and prompt rectification; 36+ days of inaction plus use at deposition weigh toward waiver. Plaintiff may also argue crime-fraud (advice sought to implement a pretextual termination) or at-issue waiver (Holcomb "relied on internal guidance").</w:t>
            </w:r>
          </w:p>
        </w:tc>
        <w:tc>
          <w:tcPr>
            <w:tcW w:type="dxa" w:w="3888"/>
          </w:tcPr>
          <w:p>
            <w:pPr>
              <w:spacing w:after="20"/>
            </w:pPr>
            <w:r/>
            <w:r>
              <w:rPr>
                <w:b w:val="0"/>
                <w:i w:val="0"/>
                <w:sz w:val="17"/>
              </w:rPr>
              <w:t>Send a formal clawback notice now under Rule 26(b)(5)(B) and any protective order. Log the document. Do not assert advice of counsel. Prepare to litigate waiver by letter brief (SO §III.G). Assume for SJ planning that the email will be in the record.</w:t>
            </w:r>
          </w:p>
        </w:tc>
      </w:tr>
      <w:tr>
        <w:tc>
          <w:tcPr>
            <w:tcW w:type="dxa" w:w="2448"/>
          </w:tcPr>
          <w:p>
            <w:pPr>
              <w:spacing w:after="20"/>
            </w:pPr>
            <w:r/>
            <w:r>
              <w:rPr>
                <w:b w:val="0"/>
                <w:i w:val="0"/>
                <w:sz w:val="17"/>
              </w:rPr>
              <w:t>Late litigation hold</w:t>
            </w:r>
          </w:p>
        </w:tc>
        <w:tc>
          <w:tcPr>
            <w:tcW w:type="dxa" w:w="3744"/>
          </w:tcPr>
          <w:p>
            <w:pPr>
              <w:spacing w:after="20"/>
            </w:pPr>
            <w:r/>
            <w:r>
              <w:rPr>
                <w:b w:val="0"/>
                <w:i w:val="0"/>
                <w:sz w:val="17"/>
              </w:rPr>
              <w:t>Preservation demand Feb. 22, 2023; hold ≈ Mar. 2024; Holcomb vague on retention/deletion.</w:t>
            </w:r>
          </w:p>
        </w:tc>
        <w:tc>
          <w:tcPr>
            <w:tcW w:type="dxa" w:w="3744"/>
          </w:tcPr>
          <w:p>
            <w:pPr>
              <w:spacing w:after="20"/>
            </w:pPr>
            <w:r/>
            <w:r>
              <w:rPr>
                <w:b w:val="0"/>
                <w:i w:val="0"/>
                <w:sz w:val="17"/>
              </w:rPr>
              <w:t>Rule 37(e) curative measures or adverse inference; risk for Cascade communications, text messages, "general distribution codes" invoicing.</w:t>
            </w:r>
          </w:p>
        </w:tc>
        <w:tc>
          <w:tcPr>
            <w:tcW w:type="dxa" w:w="3888"/>
          </w:tcPr>
          <w:p>
            <w:pPr>
              <w:spacing w:after="20"/>
            </w:pPr>
            <w:r/>
            <w:r>
              <w:rPr>
                <w:b w:val="0"/>
                <w:i w:val="0"/>
                <w:sz w:val="17"/>
              </w:rPr>
              <w:t>Custodian interviews; forensic check of Holcomb/Stanton mail and phones; confirm the Cascade invoices are produced. Prepare a declaration on retention practices.</w:t>
            </w:r>
          </w:p>
        </w:tc>
      </w:tr>
      <w:tr>
        <w:tc>
          <w:tcPr>
            <w:tcW w:type="dxa" w:w="2448"/>
          </w:tcPr>
          <w:p>
            <w:pPr>
              <w:spacing w:after="20"/>
            </w:pPr>
            <w:r/>
            <w:r>
              <w:rPr>
                <w:b w:val="0"/>
                <w:i w:val="0"/>
                <w:sz w:val="17"/>
              </w:rPr>
              <w:t>Buckley engagement</w:t>
            </w:r>
          </w:p>
        </w:tc>
        <w:tc>
          <w:tcPr>
            <w:tcW w:type="dxa" w:w="3744"/>
          </w:tcPr>
          <w:p>
            <w:pPr>
              <w:spacing w:after="20"/>
            </w:pPr>
            <w:r/>
            <w:r>
              <w:rPr>
                <w:b w:val="0"/>
                <w:i w:val="0"/>
                <w:sz w:val="17"/>
              </w:rPr>
              <w:t>Retained by defense counsel; report adverse on QA liability.</w:t>
            </w:r>
          </w:p>
        </w:tc>
        <w:tc>
          <w:tcPr>
            <w:tcW w:type="dxa" w:w="3744"/>
          </w:tcPr>
          <w:p>
            <w:pPr>
              <w:spacing w:after="20"/>
            </w:pPr>
            <w:r/>
            <w:r>
              <w:rPr>
                <w:b w:val="0"/>
                <w:i w:val="0"/>
                <w:sz w:val="17"/>
              </w:rPr>
              <w:t>If designated and served, the report is discoverable and usable by plaintiff; Buckley can be deposed.</w:t>
            </w:r>
          </w:p>
        </w:tc>
        <w:tc>
          <w:tcPr>
            <w:tcW w:type="dxa" w:w="3888"/>
          </w:tcPr>
          <w:p>
            <w:pPr>
              <w:spacing w:after="20"/>
            </w:pPr>
            <w:r/>
            <w:r>
              <w:rPr>
                <w:b w:val="0"/>
                <w:i w:val="0"/>
                <w:sz w:val="17"/>
              </w:rPr>
              <w:t>Confirm designation status immediately. If not yet served, evaluate withdrawing to consulting status (Rule 26(b)(4)(D)). If served, prepare to live with it and emphasize the 3 justified rejections and his limitation disclaiming any opinion on intent (§X.5).</w:t>
            </w:r>
          </w:p>
        </w:tc>
      </w:tr>
    </w:tbl>
    <w:p>
      <w:pPr>
        <w:spacing w:after="40"/>
      </w:pPr>
    </w:p>
    <w:p>
      <w:pPr>
        <w:pStyle w:val="Heading2"/>
      </w:pPr>
      <w:r>
        <w:t>4.6 Damages — Greenleaf's Principal Rule 56 / Daubert Targets</w:t>
      </w:r>
    </w:p>
    <w:tbl>
      <w:tblPr>
        <w:tblStyle w:val="TableGrid"/>
        <w:tblW w:type="auto" w:w="0"/>
        <w:jc w:val="center"/>
        <w:tblLayout w:type="fixed"/>
        <w:tblLook w:firstColumn="1" w:firstRow="1" w:lastColumn="0" w:lastRow="0" w:noHBand="0" w:noVBand="1" w:val="04A0"/>
      </w:tblPr>
      <w:tblGrid>
        <w:gridCol w:w="3456"/>
        <w:gridCol w:w="3456"/>
        <w:gridCol w:w="3456"/>
        <w:gridCol w:w="3456"/>
      </w:tblGrid>
      <w:tr>
        <w:trPr>
          <w:tblHeader w:val="true"/>
        </w:trPr>
        <w:tc>
          <w:tcPr>
            <w:tcW w:type="dxa" w:w="2448"/>
            <w:shd w:val="clear" w:color="auto" w:fill="1F3864"/>
          </w:tcPr>
          <w:p>
            <w:r/>
            <w:r>
              <w:rPr>
                <w:b/>
                <w:color w:val="FFFFFF"/>
                <w:sz w:val="17"/>
              </w:rPr>
              <w:t>Harborview category</w:t>
            </w:r>
          </w:p>
        </w:tc>
        <w:tc>
          <w:tcPr>
            <w:tcW w:type="dxa" w:w="1440"/>
            <w:shd w:val="clear" w:color="auto" w:fill="1F3864"/>
          </w:tcPr>
          <w:p>
            <w:r/>
            <w:r>
              <w:rPr>
                <w:b/>
                <w:color w:val="FFFFFF"/>
                <w:sz w:val="17"/>
              </w:rPr>
              <w:t>Claimed</w:t>
            </w:r>
          </w:p>
        </w:tc>
        <w:tc>
          <w:tcPr>
            <w:tcW w:type="dxa" w:w="5616"/>
            <w:shd w:val="clear" w:color="auto" w:fill="1F3864"/>
          </w:tcPr>
          <w:p>
            <w:r/>
            <w:r>
              <w:rPr>
                <w:b/>
                <w:color w:val="FFFFFF"/>
                <w:sz w:val="17"/>
              </w:rPr>
              <w:t>Vulnerabilities</w:t>
            </w:r>
          </w:p>
        </w:tc>
        <w:tc>
          <w:tcPr>
            <w:tcW w:type="dxa" w:w="4320"/>
            <w:shd w:val="clear" w:color="auto" w:fill="1F3864"/>
          </w:tcPr>
          <w:p>
            <w:r/>
            <w:r>
              <w:rPr>
                <w:b/>
                <w:color w:val="FFFFFF"/>
                <w:sz w:val="17"/>
              </w:rPr>
              <w:t>Greenleaf position / realistic range</w:t>
            </w:r>
          </w:p>
        </w:tc>
      </w:tr>
      <w:tr>
        <w:tc>
          <w:tcPr>
            <w:tcW w:type="dxa" w:w="2448"/>
          </w:tcPr>
          <w:p>
            <w:pPr>
              <w:spacing w:after="20"/>
            </w:pPr>
            <w:r/>
            <w:r>
              <w:rPr>
                <w:b w:val="0"/>
                <w:i w:val="0"/>
                <w:sz w:val="17"/>
              </w:rPr>
              <w:t>1. Lost commissions on diverted sales</w:t>
            </w:r>
          </w:p>
        </w:tc>
        <w:tc>
          <w:tcPr>
            <w:tcW w:type="dxa" w:w="1440"/>
          </w:tcPr>
          <w:p>
            <w:pPr>
              <w:spacing w:after="20"/>
            </w:pPr>
            <w:r/>
            <w:r>
              <w:rPr>
                <w:b w:val="0"/>
                <w:i w:val="0"/>
                <w:sz w:val="17"/>
              </w:rPr>
              <w:t>$342,000</w:t>
            </w:r>
          </w:p>
        </w:tc>
        <w:tc>
          <w:tcPr>
            <w:tcW w:type="dxa" w:w="5616"/>
          </w:tcPr>
          <w:p>
            <w:pPr>
              <w:spacing w:after="20"/>
            </w:pPr>
            <w:r/>
            <w:r>
              <w:rPr>
                <w:b w:val="0"/>
                <w:i w:val="0"/>
                <w:sz w:val="17"/>
              </w:rPr>
              <w:t>Arithmetic sound (18% × $1.9M). Article 3 carve-out means no cap.</w:t>
            </w:r>
          </w:p>
        </w:tc>
        <w:tc>
          <w:tcPr>
            <w:tcW w:type="dxa" w:w="4320"/>
          </w:tcPr>
          <w:p>
            <w:pPr>
              <w:spacing w:after="20"/>
            </w:pPr>
            <w:r/>
            <w:r>
              <w:rPr>
                <w:b w:val="0"/>
                <w:i w:val="0"/>
                <w:sz w:val="17"/>
              </w:rPr>
              <w:t>Likely recoverable if liability is found: $342,000.</w:t>
            </w:r>
          </w:p>
        </w:tc>
      </w:tr>
      <w:tr>
        <w:tc>
          <w:tcPr>
            <w:tcW w:type="dxa" w:w="2448"/>
          </w:tcPr>
          <w:p>
            <w:pPr>
              <w:spacing w:after="20"/>
            </w:pPr>
            <w:r/>
            <w:r>
              <w:rPr>
                <w:b w:val="0"/>
                <w:i w:val="0"/>
                <w:sz w:val="17"/>
              </w:rPr>
              <w:t>2. Lost commissions on rejected shipments</w:t>
            </w:r>
          </w:p>
        </w:tc>
        <w:tc>
          <w:tcPr>
            <w:tcW w:type="dxa" w:w="1440"/>
          </w:tcPr>
          <w:p>
            <w:pPr>
              <w:spacing w:after="20"/>
            </w:pPr>
            <w:r/>
            <w:r>
              <w:rPr>
                <w:b w:val="0"/>
                <w:i w:val="0"/>
                <w:sz w:val="17"/>
              </w:rPr>
              <w:t>$252,000</w:t>
            </w:r>
          </w:p>
        </w:tc>
        <w:tc>
          <w:tcPr>
            <w:tcW w:type="dxa" w:w="5616"/>
          </w:tcPr>
          <w:p>
            <w:pPr>
              <w:spacing w:after="20"/>
            </w:pPr>
            <w:r/>
            <w:r>
              <w:rPr>
                <w:b w:val="0"/>
                <w:i w:val="0"/>
                <w:sz w:val="17"/>
              </w:rPr>
              <w:t>Uses full $1.4M though Buckley deems $301,300 justified; the $1.4M "canonical" figure includes rework and write-downs (Log line items total $1,317,900). Chakrabarti misnames the expert ("Dr. Thomas Buckley") and misquotes Fong's Oct. 3 email.</w:t>
            </w:r>
          </w:p>
        </w:tc>
        <w:tc>
          <w:tcPr>
            <w:tcW w:type="dxa" w:w="4320"/>
          </w:tcPr>
          <w:p>
            <w:pPr>
              <w:spacing w:after="20"/>
            </w:pPr>
            <w:r/>
            <w:r>
              <w:rPr>
                <w:b w:val="0"/>
                <w:i w:val="0"/>
                <w:sz w:val="17"/>
              </w:rPr>
              <w:t>$198,000 (18% × $1.1M) or less. Subject to the §12.2 cap (not an Article 3 breach).</w:t>
            </w:r>
          </w:p>
        </w:tc>
      </w:tr>
      <w:tr>
        <w:tc>
          <w:tcPr>
            <w:tcW w:type="dxa" w:w="2448"/>
          </w:tcPr>
          <w:p>
            <w:pPr>
              <w:spacing w:after="20"/>
            </w:pPr>
            <w:r/>
            <w:r>
              <w:rPr>
                <w:b w:val="0"/>
                <w:i w:val="0"/>
                <w:sz w:val="17"/>
              </w:rPr>
              <w:t>3. Lost future profits</w:t>
            </w:r>
          </w:p>
        </w:tc>
        <w:tc>
          <w:tcPr>
            <w:tcW w:type="dxa" w:w="1440"/>
          </w:tcPr>
          <w:p>
            <w:pPr>
              <w:spacing w:after="20"/>
            </w:pPr>
            <w:r/>
            <w:r>
              <w:rPr>
                <w:b w:val="0"/>
                <w:i w:val="0"/>
                <w:sz w:val="17"/>
              </w:rPr>
              <w:t>$5,800,000</w:t>
            </w:r>
          </w:p>
        </w:tc>
        <w:tc>
          <w:tcPr>
            <w:tcW w:type="dxa" w:w="5616"/>
          </w:tcPr>
          <w:p>
            <w:pPr>
              <w:spacing w:after="20"/>
            </w:pPr>
            <w:r/>
            <w:r>
              <w:rPr>
                <w:b w:val="0"/>
                <w:i w:val="0"/>
                <w:sz w:val="17"/>
              </w:rPr>
              <w:t xml:space="preserve">(a) A five-year horizon (Years 4–8) on a contract renewable one year at a time, with 90-day non-renewal at will, is speculative as a matter of law. (b) NPV math: her inputs (net 12.5% of projected revenue, 6.5% discount, end-of-year) produce ≈ </w:t>
            </w:r>
            <w:r>
              <w:rPr>
                <w:b/>
                <w:i w:val="0"/>
                <w:sz w:val="17"/>
              </w:rPr>
              <w:t>$4.87M</w:t>
            </w:r>
            <w:r>
              <w:rPr>
                <w:b w:val="0"/>
                <w:i w:val="0"/>
                <w:sz w:val="17"/>
              </w:rPr>
              <w:t>, not $5.8M. The $5.8M is close to her *undiscounted* $5.91M. (c) Year 4 revenue of $8.0M assumes growth after a year of decline. (d) §12.1 consequential exclusion / §12.2 cap. (e) Late disclosure (Dec. 10 vs. Dec. 1).</w:t>
            </w:r>
          </w:p>
        </w:tc>
        <w:tc>
          <w:tcPr>
            <w:tcW w:type="dxa" w:w="4320"/>
          </w:tcPr>
          <w:p>
            <w:pPr>
              <w:spacing w:after="20"/>
            </w:pPr>
            <w:r/>
            <w:r>
              <w:rPr>
                <w:b w:val="0"/>
                <w:i w:val="0"/>
                <w:sz w:val="17"/>
              </w:rPr>
              <w:t>Partial SJ limiting recovery to the single Renewal Term (Mar. 17, 2023 – Mar. 14, 2024): ≈ $0.94M–$1.0M on her own inputs (8.0M × 12.5%, discounted). Alternatively, argue that the §12.2 cap (≈ 12 months' commissions, ≈ $1.0M on $5.8M of Year 3 purchases; confirm actual paid commissions) applies to all non-Article-3 damages.</w:t>
            </w:r>
          </w:p>
        </w:tc>
      </w:tr>
      <w:tr>
        <w:tc>
          <w:tcPr>
            <w:tcW w:type="dxa" w:w="2448"/>
          </w:tcPr>
          <w:p>
            <w:pPr>
              <w:spacing w:after="20"/>
            </w:pPr>
            <w:r/>
            <w:r>
              <w:rPr>
                <w:b w:val="0"/>
                <w:i w:val="0"/>
                <w:sz w:val="17"/>
              </w:rPr>
              <w:t>4. Mitigation costs</w:t>
            </w:r>
          </w:p>
        </w:tc>
        <w:tc>
          <w:tcPr>
            <w:tcW w:type="dxa" w:w="1440"/>
          </w:tcPr>
          <w:p>
            <w:pPr>
              <w:spacing w:after="20"/>
            </w:pPr>
            <w:r/>
            <w:r>
              <w:rPr>
                <w:b w:val="0"/>
                <w:i w:val="0"/>
                <w:sz w:val="17"/>
              </w:rPr>
              <w:t>$1,808,000</w:t>
            </w:r>
          </w:p>
        </w:tc>
        <w:tc>
          <w:tcPr>
            <w:tcW w:type="dxa" w:w="5616"/>
          </w:tcPr>
          <w:p>
            <w:pPr>
              <w:spacing w:after="20"/>
            </w:pPr>
            <w:r/>
            <w:r>
              <w:rPr>
                <w:b w:val="0"/>
                <w:i w:val="0"/>
                <w:sz w:val="17"/>
              </w:rPr>
              <w:t>Includes legal and consultant retention (not mitigation); shelf-space/promotional fees are consequential (§12.1) and overlap with lost profits; relies on Beckett, misdescribed as "Chief Financial Officer."</w:t>
            </w:r>
          </w:p>
        </w:tc>
        <w:tc>
          <w:tcPr>
            <w:tcW w:type="dxa" w:w="4320"/>
          </w:tcPr>
          <w:p>
            <w:pPr>
              <w:spacing w:after="20"/>
            </w:pPr>
            <w:r/>
            <w:r>
              <w:rPr>
                <w:b w:val="0"/>
                <w:i w:val="0"/>
                <w:sz w:val="17"/>
              </w:rPr>
              <w:t>Seek exclusion of the non-recoverable components. Remainder is a fact issue.</w:t>
            </w:r>
          </w:p>
        </w:tc>
      </w:tr>
      <w:tr>
        <w:tc>
          <w:tcPr>
            <w:tcW w:type="dxa" w:w="2448"/>
          </w:tcPr>
          <w:p>
            <w:pPr>
              <w:spacing w:after="20"/>
            </w:pPr>
            <w:r/>
            <w:r>
              <w:rPr>
                <w:b w:val="0"/>
                <w:i w:val="0"/>
                <w:sz w:val="17"/>
              </w:rPr>
              <w:t>Attorney fees</w:t>
            </w:r>
          </w:p>
        </w:tc>
        <w:tc>
          <w:tcPr>
            <w:tcW w:type="dxa" w:w="1440"/>
          </w:tcPr>
          <w:p>
            <w:pPr>
              <w:spacing w:after="20"/>
            </w:pPr>
            <w:r/>
            <w:r>
              <w:rPr>
                <w:b w:val="0"/>
                <w:i w:val="0"/>
                <w:sz w:val="17"/>
              </w:rPr>
              <w:t>Demanded (Compl. ¶85, citing §14.8)</w:t>
            </w:r>
          </w:p>
        </w:tc>
        <w:tc>
          <w:tcPr>
            <w:tcW w:type="dxa" w:w="5616"/>
          </w:tcPr>
          <w:p>
            <w:pPr>
              <w:spacing w:after="20"/>
            </w:pPr>
            <w:r/>
            <w:r>
              <w:rPr>
                <w:b w:val="0"/>
                <w:i w:val="0"/>
                <w:sz w:val="17"/>
              </w:rPr>
              <w:t>The EDA has no fee clause; §14.8 is governing law/venue. ORS 20.096 reciprocity applies only if the contract provides for fees.</w:t>
            </w:r>
          </w:p>
        </w:tc>
        <w:tc>
          <w:tcPr>
            <w:tcW w:type="dxa" w:w="4320"/>
          </w:tcPr>
          <w:p>
            <w:pPr>
              <w:spacing w:after="20"/>
            </w:pPr>
            <w:r/>
            <w:r>
              <w:rPr>
                <w:b w:val="0"/>
                <w:i w:val="0"/>
                <w:sz w:val="17"/>
              </w:rPr>
              <w:t>Clean partial SJ for Greenleaf. Withdraw Greenleaf's own fee request (Ans. Prayer ¶4) for consistency.</w:t>
            </w:r>
          </w:p>
        </w:tc>
      </w:tr>
      <w:tr>
        <w:tc>
          <w:tcPr>
            <w:tcW w:type="dxa" w:w="2448"/>
          </w:tcPr>
          <w:p>
            <w:pPr>
              <w:spacing w:after="20"/>
            </w:pPr>
            <w:r/>
            <w:r>
              <w:rPr>
                <w:b w:val="0"/>
                <w:i w:val="0"/>
                <w:sz w:val="17"/>
              </w:rPr>
              <w:t>Punitive damages</w:t>
            </w:r>
          </w:p>
        </w:tc>
        <w:tc>
          <w:tcPr>
            <w:tcW w:type="dxa" w:w="1440"/>
          </w:tcPr>
          <w:p>
            <w:pPr>
              <w:spacing w:after="20"/>
            </w:pPr>
            <w:r/>
            <w:r>
              <w:rPr>
                <w:b w:val="0"/>
                <w:i w:val="0"/>
                <w:sz w:val="17"/>
              </w:rPr>
              <w:t>Reserved (fraud)</w:t>
            </w:r>
          </w:p>
        </w:tc>
        <w:tc>
          <w:tcPr>
            <w:tcW w:type="dxa" w:w="5616"/>
          </w:tcPr>
          <w:p>
            <w:pPr>
              <w:spacing w:after="20"/>
            </w:pPr>
            <w:r/>
            <w:r>
              <w:rPr>
                <w:b w:val="0"/>
                <w:i w:val="0"/>
                <w:sz w:val="17"/>
              </w:rPr>
              <w:t>Tied to survival of Count 3. The Aug. 23 and Dec. 1 emails create real exposure.</w:t>
            </w:r>
          </w:p>
        </w:tc>
        <w:tc>
          <w:tcPr>
            <w:tcW w:type="dxa" w:w="4320"/>
          </w:tcPr>
          <w:p>
            <w:pPr>
              <w:spacing w:after="20"/>
            </w:pPr>
            <w:r/>
            <w:r>
              <w:rPr>
                <w:b w:val="0"/>
                <w:i w:val="0"/>
                <w:sz w:val="17"/>
              </w:rPr>
              <w:t>Defeating or narrowing Count 3 on reliance is the main protection.</w:t>
            </w:r>
          </w:p>
        </w:tc>
      </w:tr>
      <w:tr>
        <w:tc>
          <w:tcPr>
            <w:tcW w:type="dxa" w:w="2448"/>
          </w:tcPr>
          <w:p>
            <w:pPr>
              <w:spacing w:after="20"/>
            </w:pPr>
            <w:r/>
            <w:r>
              <w:rPr>
                <w:b w:val="0"/>
                <w:i w:val="0"/>
                <w:sz w:val="17"/>
              </w:rPr>
              <w:t>Total</w:t>
            </w:r>
          </w:p>
        </w:tc>
        <w:tc>
          <w:tcPr>
            <w:tcW w:type="dxa" w:w="1440"/>
          </w:tcPr>
          <w:p>
            <w:pPr>
              <w:spacing w:after="20"/>
            </w:pPr>
            <w:r/>
            <w:r>
              <w:rPr>
                <w:b w:val="0"/>
                <w:i w:val="0"/>
                <w:sz w:val="17"/>
              </w:rPr>
              <w:t>$8,202,000</w:t>
            </w:r>
          </w:p>
        </w:tc>
        <w:tc>
          <w:tcPr>
            <w:tcW w:type="dxa" w:w="5616"/>
          </w:tcPr>
          <w:p>
            <w:pPr>
              <w:spacing w:after="20"/>
            </w:pPr>
            <w:r/>
          </w:p>
        </w:tc>
        <w:tc>
          <w:tcPr>
            <w:tcW w:type="dxa" w:w="4320"/>
          </w:tcPr>
          <w:p>
            <w:pPr>
              <w:spacing w:after="20"/>
            </w:pPr>
            <w:r/>
            <w:r>
              <w:rPr>
                <w:b w:val="0"/>
                <w:i w:val="0"/>
                <w:sz w:val="17"/>
              </w:rPr>
              <w:t>Illustrative contract-only exposure if the damages motions succeed: ≈ $1.5M–$2.6M (Cat. 1 + reduced Cat. 2 + one-year lost profits + allowable mitigation), before the cap analysis and any fraud/punitive tail. This is a planning estimate, not a valuation opinion.</w:t>
            </w:r>
          </w:p>
        </w:tc>
      </w:tr>
    </w:tbl>
    <w:p>
      <w:pPr>
        <w:spacing w:after="40"/>
      </w:pPr>
    </w:p>
    <w:p>
      <w:pPr>
        <w:pStyle w:val="Heading1"/>
      </w:pPr>
      <w:r>
        <w:t>5. Record Discrepancies and Evidentiary Integrity Issues</w:t>
      </w:r>
    </w:p>
    <w:p>
      <w:pPr>
        <w:spacing w:after="80"/>
      </w:pPr>
      <w:r>
        <w:rPr>
          <w:b w:val="0"/>
          <w:i w:val="0"/>
          <w:sz w:val="20"/>
        </w:rPr>
        <w:t>Each item below must be reconciled before it is cited in a Rule 56 concise statement of facts. Several also give Harborview grounds to argue the QA record is unreliable or was reconstructed after the fact.</w:t>
      </w:r>
    </w:p>
    <w:tbl>
      <w:tblPr>
        <w:tblStyle w:val="TableGrid"/>
        <w:tblW w:type="auto" w:w="0"/>
        <w:jc w:val="center"/>
        <w:tblLayout w:type="fixed"/>
        <w:tblLook w:firstColumn="1" w:firstRow="1" w:lastColumn="0" w:lastRow="0" w:noHBand="0" w:noVBand="1" w:val="04A0"/>
      </w:tblPr>
      <w:tblGrid>
        <w:gridCol w:w="2765"/>
        <w:gridCol w:w="2765"/>
        <w:gridCol w:w="2765"/>
        <w:gridCol w:w="2765"/>
        <w:gridCol w:w="2765"/>
      </w:tblGrid>
      <w:tr>
        <w:trPr>
          <w:tblHeader w:val="true"/>
        </w:trPr>
        <w:tc>
          <w:tcPr>
            <w:tcW w:type="dxa" w:w="432"/>
            <w:shd w:val="clear" w:color="auto" w:fill="1F3864"/>
          </w:tcPr>
          <w:p>
            <w:r/>
            <w:r>
              <w:rPr>
                <w:b/>
                <w:color w:val="FFFFFF"/>
                <w:sz w:val="16"/>
              </w:rPr>
              <w:t>#</w:t>
            </w:r>
          </w:p>
        </w:tc>
        <w:tc>
          <w:tcPr>
            <w:tcW w:type="dxa" w:w="1872"/>
            <w:shd w:val="clear" w:color="auto" w:fill="1F3864"/>
          </w:tcPr>
          <w:p>
            <w:r/>
            <w:r>
              <w:rPr>
                <w:b/>
                <w:color w:val="FFFFFF"/>
                <w:sz w:val="16"/>
              </w:rPr>
              <w:t>Topic</w:t>
            </w:r>
          </w:p>
        </w:tc>
        <w:tc>
          <w:tcPr>
            <w:tcW w:type="dxa" w:w="5184"/>
            <w:shd w:val="clear" w:color="auto" w:fill="1F3864"/>
          </w:tcPr>
          <w:p>
            <w:r/>
            <w:r>
              <w:rPr>
                <w:b/>
                <w:color w:val="FFFFFF"/>
                <w:sz w:val="16"/>
              </w:rPr>
              <w:t>Conflict</w:t>
            </w:r>
          </w:p>
        </w:tc>
        <w:tc>
          <w:tcPr>
            <w:tcW w:type="dxa" w:w="1728"/>
            <w:shd w:val="clear" w:color="auto" w:fill="1F3864"/>
          </w:tcPr>
          <w:p>
            <w:r/>
            <w:r>
              <w:rPr>
                <w:b/>
                <w:color w:val="FFFFFF"/>
                <w:sz w:val="16"/>
              </w:rPr>
              <w:t>Sources</w:t>
            </w:r>
          </w:p>
        </w:tc>
        <w:tc>
          <w:tcPr>
            <w:tcW w:type="dxa" w:w="4608"/>
            <w:shd w:val="clear" w:color="auto" w:fill="1F3864"/>
          </w:tcPr>
          <w:p>
            <w:r/>
            <w:r>
              <w:rPr>
                <w:b/>
                <w:color w:val="FFFFFF"/>
                <w:sz w:val="16"/>
              </w:rPr>
              <w:t>Why it matters / next step</w:t>
            </w:r>
          </w:p>
        </w:tc>
      </w:tr>
      <w:tr>
        <w:tc>
          <w:tcPr>
            <w:tcW w:type="dxa" w:w="432"/>
          </w:tcPr>
          <w:p>
            <w:pPr>
              <w:spacing w:after="20"/>
            </w:pPr>
            <w:r/>
            <w:r>
              <w:rPr>
                <w:b w:val="0"/>
                <w:i w:val="0"/>
                <w:sz w:val="16"/>
              </w:rPr>
              <w:t>1</w:t>
            </w:r>
          </w:p>
        </w:tc>
        <w:tc>
          <w:tcPr>
            <w:tcW w:type="dxa" w:w="1872"/>
          </w:tcPr>
          <w:p>
            <w:pPr>
              <w:spacing w:after="20"/>
            </w:pPr>
            <w:r/>
            <w:r>
              <w:rPr>
                <w:b w:val="0"/>
                <w:i w:val="0"/>
                <w:sz w:val="16"/>
              </w:rPr>
              <w:t>QA Log internal count</w:t>
            </w:r>
          </w:p>
        </w:tc>
        <w:tc>
          <w:tcPr>
            <w:tcW w:type="dxa" w:w="5184"/>
          </w:tcPr>
          <w:p>
            <w:pPr>
              <w:spacing w:after="20"/>
            </w:pPr>
            <w:r/>
            <w:r>
              <w:rPr>
                <w:b w:val="0"/>
                <w:i w:val="0"/>
                <w:sz w:val="16"/>
              </w:rPr>
              <w:t xml:space="preserve">Summary states 34 Harborview lots and 14 rejections ($1,317,900). Line items list </w:t>
            </w:r>
            <w:r>
              <w:rPr>
                <w:b/>
                <w:i w:val="0"/>
                <w:sz w:val="16"/>
              </w:rPr>
              <w:t>35 lots and 15 numbered rejections</w:t>
            </w:r>
            <w:r>
              <w:rPr>
                <w:b w:val="0"/>
                <w:i w:val="0"/>
                <w:sz w:val="16"/>
              </w:rPr>
              <w:t xml:space="preserve"> (Nos. 1–15) summing to $1,317,900. October summary says 4 rejections ($362,950), but 5 are listed (H-2207, -2208, -2209, -2211, -2215 = $445,450). Monthly subtotals sum to $1,235,400, not the stated total.</w:t>
            </w:r>
          </w:p>
        </w:tc>
        <w:tc>
          <w:tcPr>
            <w:tcW w:type="dxa" w:w="1728"/>
          </w:tcPr>
          <w:p>
            <w:pPr>
              <w:spacing w:after="20"/>
            </w:pPr>
            <w:r/>
            <w:r>
              <w:rPr>
                <w:b w:val="0"/>
                <w:i w:val="0"/>
                <w:sz w:val="16"/>
              </w:rPr>
              <w:t>Log</w:t>
            </w:r>
          </w:p>
        </w:tc>
        <w:tc>
          <w:tcPr>
            <w:tcW w:type="dxa" w:w="4608"/>
          </w:tcPr>
          <w:p>
            <w:pPr>
              <w:spacing w:after="20"/>
            </w:pPr>
            <w:r/>
            <w:r>
              <w:rPr>
                <w:b w:val="0"/>
                <w:i w:val="0"/>
                <w:sz w:val="16"/>
              </w:rPr>
              <w:t>Every witness and Ans. ¶26 say 14. Decide whether H-2201 (Standard protocol, pre-directive) is being excluded and say so expressly. Correct the summary before trial.</w:t>
            </w:r>
          </w:p>
        </w:tc>
      </w:tr>
      <w:tr>
        <w:tc>
          <w:tcPr>
            <w:tcW w:type="dxa" w:w="432"/>
          </w:tcPr>
          <w:p>
            <w:pPr>
              <w:spacing w:after="20"/>
            </w:pPr>
            <w:r/>
            <w:r>
              <w:rPr>
                <w:b w:val="0"/>
                <w:i w:val="0"/>
                <w:sz w:val="16"/>
              </w:rPr>
              <w:t>2</w:t>
            </w:r>
          </w:p>
        </w:tc>
        <w:tc>
          <w:tcPr>
            <w:tcW w:type="dxa" w:w="1872"/>
          </w:tcPr>
          <w:p>
            <w:pPr>
              <w:spacing w:after="20"/>
            </w:pPr>
            <w:r/>
            <w:r>
              <w:rPr>
                <w:b w:val="0"/>
                <w:i w:val="0"/>
                <w:sz w:val="16"/>
              </w:rPr>
              <w:t>"$1.4M" rejected value</w:t>
            </w:r>
          </w:p>
        </w:tc>
        <w:tc>
          <w:tcPr>
            <w:tcW w:type="dxa" w:w="5184"/>
          </w:tcPr>
          <w:p>
            <w:pPr>
              <w:spacing w:after="20"/>
            </w:pPr>
            <w:r/>
            <w:r>
              <w:rPr>
                <w:b w:val="0"/>
                <w:i w:val="0"/>
                <w:sz w:val="16"/>
              </w:rPr>
              <w:t>Log line items total $1,317,900. The $1.4M "adjusted total" includes rework costs and write-downs (Finance memo 3/15/2023). Buckley's different lot values also total exactly $1,400,000.</w:t>
            </w:r>
          </w:p>
        </w:tc>
        <w:tc>
          <w:tcPr>
            <w:tcW w:type="dxa" w:w="1728"/>
          </w:tcPr>
          <w:p>
            <w:pPr>
              <w:spacing w:after="20"/>
            </w:pPr>
            <w:r/>
            <w:r>
              <w:rPr>
                <w:b w:val="0"/>
                <w:i w:val="0"/>
                <w:sz w:val="16"/>
              </w:rPr>
              <w:t>Log; Buckley; Ans. ¶26</w:t>
            </w:r>
          </w:p>
        </w:tc>
        <w:tc>
          <w:tcPr>
            <w:tcW w:type="dxa" w:w="4608"/>
          </w:tcPr>
          <w:p>
            <w:pPr>
              <w:spacing w:after="20"/>
            </w:pPr>
            <w:r/>
            <w:r>
              <w:rPr>
                <w:b w:val="0"/>
                <w:i w:val="0"/>
                <w:sz w:val="16"/>
              </w:rPr>
              <w:t>The $1.4M figure is not wholesale value, yet Harborview multiplies it by the 18% commission. Buckley's lot values being engineered to $1.4M exactly suggests his inputs differ from the Log. Obtain Finance memo.</w:t>
            </w:r>
          </w:p>
        </w:tc>
      </w:tr>
      <w:tr>
        <w:tc>
          <w:tcPr>
            <w:tcW w:type="dxa" w:w="432"/>
          </w:tcPr>
          <w:p>
            <w:pPr>
              <w:spacing w:after="20"/>
            </w:pPr>
            <w:r/>
            <w:r>
              <w:rPr>
                <w:b w:val="0"/>
                <w:i w:val="0"/>
                <w:sz w:val="16"/>
              </w:rPr>
              <w:t>3</w:t>
            </w:r>
          </w:p>
        </w:tc>
        <w:tc>
          <w:tcPr>
            <w:tcW w:type="dxa" w:w="1872"/>
          </w:tcPr>
          <w:p>
            <w:pPr>
              <w:spacing w:after="20"/>
            </w:pPr>
            <w:r/>
            <w:r>
              <w:rPr>
                <w:b w:val="0"/>
                <w:i w:val="0"/>
                <w:sz w:val="16"/>
              </w:rPr>
              <w:t>Buckley lot table vs. Log</w:t>
            </w:r>
          </w:p>
        </w:tc>
        <w:tc>
          <w:tcPr>
            <w:tcW w:type="dxa" w:w="5184"/>
          </w:tcPr>
          <w:p>
            <w:pPr>
              <w:spacing w:after="20"/>
            </w:pPr>
            <w:r/>
            <w:r>
              <w:rPr>
                <w:b w:val="0"/>
                <w:i w:val="0"/>
                <w:sz w:val="16"/>
              </w:rPr>
              <w:t xml:space="preserve">Different lot numbers, dates, products, reasons and values. Buckley shows H-2204, H-2206, H-2210, H-2213 as rejected, but the Log shows them </w:t>
            </w:r>
            <w:r>
              <w:rPr>
                <w:b/>
                <w:i w:val="0"/>
                <w:sz w:val="16"/>
              </w:rPr>
              <w:t>PASSED</w:t>
            </w:r>
            <w:r>
              <w:rPr>
                <w:b w:val="0"/>
                <w:i w:val="0"/>
                <w:sz w:val="16"/>
              </w:rPr>
              <w:t>. Buckley's H-2218 (metal fragment) is absent from the Log, which records the metal fragment on Cascade lot C-2218. Buckley's non-Harborview rejections (Cascade APC 10/18; Salmonella 1/15/2023) differ from the Log (C-2218 metal 10/17; X-2244 water damage 12/5).</w:t>
            </w:r>
          </w:p>
        </w:tc>
        <w:tc>
          <w:tcPr>
            <w:tcW w:type="dxa" w:w="1728"/>
          </w:tcPr>
          <w:p>
            <w:pPr>
              <w:spacing w:after="20"/>
            </w:pPr>
            <w:r/>
            <w:r>
              <w:rPr>
                <w:b w:val="0"/>
                <w:i w:val="0"/>
                <w:sz w:val="16"/>
              </w:rPr>
              <w:t>Buckley §§VI, VIII; Log</w:t>
            </w:r>
          </w:p>
        </w:tc>
        <w:tc>
          <w:tcPr>
            <w:tcW w:type="dxa" w:w="4608"/>
          </w:tcPr>
          <w:p>
            <w:pPr>
              <w:spacing w:after="20"/>
            </w:pPr>
            <w:r/>
            <w:r>
              <w:rPr>
                <w:b w:val="0"/>
                <w:i w:val="0"/>
                <w:sz w:val="16"/>
              </w:rPr>
              <w:t>Buckley may have worked from a different data set (production records, individual notices). Serious Daubert and impeachment risk for Greenleaf's own expert. Obtain his Exhibit B and source data.</w:t>
            </w:r>
          </w:p>
        </w:tc>
      </w:tr>
      <w:tr>
        <w:tc>
          <w:tcPr>
            <w:tcW w:type="dxa" w:w="432"/>
          </w:tcPr>
          <w:p>
            <w:pPr>
              <w:spacing w:after="20"/>
            </w:pPr>
            <w:r/>
            <w:r>
              <w:rPr>
                <w:b w:val="0"/>
                <w:i w:val="0"/>
                <w:sz w:val="16"/>
              </w:rPr>
              <w:t>4</w:t>
            </w:r>
          </w:p>
        </w:tc>
        <w:tc>
          <w:tcPr>
            <w:tcW w:type="dxa" w:w="1872"/>
          </w:tcPr>
          <w:p>
            <w:pPr>
              <w:spacing w:after="20"/>
            </w:pPr>
            <w:r/>
            <w:r>
              <w:rPr>
                <w:b w:val="0"/>
                <w:i w:val="0"/>
                <w:sz w:val="16"/>
              </w:rPr>
              <w:t>Denominators and rates</w:t>
            </w:r>
          </w:p>
        </w:tc>
        <w:tc>
          <w:tcPr>
            <w:tcW w:type="dxa" w:w="5184"/>
          </w:tcPr>
          <w:p>
            <w:pPr>
              <w:spacing w:after="20"/>
            </w:pPr>
            <w:r/>
            <w:r>
              <w:rPr>
                <w:b w:val="0"/>
                <w:i w:val="0"/>
                <w:sz w:val="16"/>
              </w:rPr>
              <w:t>Buckley: 86 Harborview / 78 non-Harborview lots; 16.3% vs. 2.6%. Log: 34–35 / 18 lots; 41.2% vs. 11.1%. Fong Oct. 3: 57%.</w:t>
            </w:r>
          </w:p>
        </w:tc>
        <w:tc>
          <w:tcPr>
            <w:tcW w:type="dxa" w:w="1728"/>
          </w:tcPr>
          <w:p>
            <w:pPr>
              <w:spacing w:after="20"/>
            </w:pPr>
            <w:r/>
            <w:r>
              <w:rPr>
                <w:b w:val="0"/>
                <w:i w:val="0"/>
                <w:sz w:val="16"/>
              </w:rPr>
              <w:t>Buckley; Log; SF</w:t>
            </w:r>
          </w:p>
        </w:tc>
        <w:tc>
          <w:tcPr>
            <w:tcW w:type="dxa" w:w="4608"/>
          </w:tcPr>
          <w:p>
            <w:pPr>
              <w:spacing w:after="20"/>
            </w:pPr>
            <w:r/>
            <w:r>
              <w:rPr>
                <w:b w:val="0"/>
                <w:i w:val="0"/>
                <w:sz w:val="16"/>
              </w:rPr>
              <w:t>Every version shows a stark disparity. Greenleaf cannot use the conflict to create doubt about the disparity itself, only about magnitude.</w:t>
            </w:r>
          </w:p>
        </w:tc>
      </w:tr>
      <w:tr>
        <w:tc>
          <w:tcPr>
            <w:tcW w:type="dxa" w:w="432"/>
          </w:tcPr>
          <w:p>
            <w:pPr>
              <w:spacing w:after="20"/>
            </w:pPr>
            <w:r/>
            <w:r>
              <w:rPr>
                <w:b w:val="0"/>
                <w:i w:val="0"/>
                <w:sz w:val="16"/>
              </w:rPr>
              <w:t>5</w:t>
            </w:r>
          </w:p>
        </w:tc>
        <w:tc>
          <w:tcPr>
            <w:tcW w:type="dxa" w:w="1872"/>
          </w:tcPr>
          <w:p>
            <w:pPr>
              <w:spacing w:after="20"/>
            </w:pPr>
            <w:r/>
            <w:r>
              <w:rPr>
                <w:b w:val="0"/>
                <w:i w:val="0"/>
                <w:sz w:val="16"/>
              </w:rPr>
              <w:t>Oct. 3 email vs. Log</w:t>
            </w:r>
          </w:p>
        </w:tc>
        <w:tc>
          <w:tcPr>
            <w:tcW w:type="dxa" w:w="5184"/>
          </w:tcPr>
          <w:p>
            <w:pPr>
              <w:spacing w:after="20"/>
            </w:pPr>
            <w:r/>
            <w:r>
              <w:rPr>
                <w:b w:val="0"/>
                <w:i w:val="0"/>
                <w:sz w:val="16"/>
              </w:rPr>
              <w:t xml:space="preserve">Email reports H-2209, -2211, -2213, -2214 rejected ($187K). Log shows H-2211 (10/7), H-2213 (10/14), H-2214 (10/18) inspected </w:t>
            </w:r>
            <w:r>
              <w:rPr>
                <w:b/>
                <w:i w:val="0"/>
                <w:sz w:val="16"/>
              </w:rPr>
              <w:t>after</w:t>
            </w:r>
            <w:r>
              <w:rPr>
                <w:b w:val="0"/>
                <w:i w:val="0"/>
                <w:sz w:val="16"/>
              </w:rPr>
              <w:t xml:space="preserve"> Oct. 3, with H-2213 and H-2214 PASSED. Products differ (email H-2209 = Maple Almond seal failure; Log H-2209 = Cranberry Cashew microbial). The email names C-2212, which is not in the Log.</w:t>
            </w:r>
          </w:p>
        </w:tc>
        <w:tc>
          <w:tcPr>
            <w:tcW w:type="dxa" w:w="1728"/>
          </w:tcPr>
          <w:p>
            <w:pPr>
              <w:spacing w:after="20"/>
            </w:pPr>
            <w:r/>
            <w:r>
              <w:rPr>
                <w:b w:val="0"/>
                <w:i w:val="0"/>
                <w:sz w:val="16"/>
              </w:rPr>
              <w:t>SF; Log</w:t>
            </w:r>
          </w:p>
        </w:tc>
        <w:tc>
          <w:tcPr>
            <w:tcW w:type="dxa" w:w="4608"/>
          </w:tcPr>
          <w:p>
            <w:pPr>
              <w:spacing w:after="20"/>
            </w:pPr>
            <w:r/>
            <w:r>
              <w:rPr>
                <w:b w:val="0"/>
                <w:i w:val="0"/>
                <w:sz w:val="16"/>
              </w:rPr>
              <w:t>Either the Log was compiled after the fact with errors, or lot numbering differs between systems. Authenticate with LIMS/native metadata before relying on either.</w:t>
            </w:r>
          </w:p>
        </w:tc>
      </w:tr>
      <w:tr>
        <w:tc>
          <w:tcPr>
            <w:tcW w:type="dxa" w:w="432"/>
          </w:tcPr>
          <w:p>
            <w:pPr>
              <w:spacing w:after="20"/>
            </w:pPr>
            <w:r/>
            <w:r>
              <w:rPr>
                <w:b w:val="0"/>
                <w:i w:val="0"/>
                <w:sz w:val="16"/>
              </w:rPr>
              <w:t>6</w:t>
            </w:r>
          </w:p>
        </w:tc>
        <w:tc>
          <w:tcPr>
            <w:tcW w:type="dxa" w:w="1872"/>
          </w:tcPr>
          <w:p>
            <w:pPr>
              <w:spacing w:after="20"/>
            </w:pPr>
            <w:r/>
            <w:r>
              <w:rPr>
                <w:b w:val="0"/>
                <w:i w:val="0"/>
                <w:sz w:val="16"/>
              </w:rPr>
              <w:t>Enhanced protocol start</w:t>
            </w:r>
          </w:p>
        </w:tc>
        <w:tc>
          <w:tcPr>
            <w:tcW w:type="dxa" w:w="5184"/>
          </w:tcPr>
          <w:p>
            <w:pPr>
              <w:spacing w:after="20"/>
            </w:pPr>
            <w:r/>
            <w:r>
              <w:rPr>
                <w:b w:val="0"/>
                <w:i w:val="0"/>
                <w:sz w:val="16"/>
              </w:rPr>
              <w:t>Stanton/Fong: start Monday Sept. 19. Log: H-2202 screened Enhanced on Sept. 15.</w:t>
            </w:r>
          </w:p>
        </w:tc>
        <w:tc>
          <w:tcPr>
            <w:tcW w:type="dxa" w:w="1728"/>
          </w:tcPr>
          <w:p>
            <w:pPr>
              <w:spacing w:after="20"/>
            </w:pPr>
            <w:r/>
            <w:r>
              <w:rPr>
                <w:b w:val="0"/>
                <w:i w:val="0"/>
                <w:sz w:val="16"/>
              </w:rPr>
              <w:t>SF; Log</w:t>
            </w:r>
          </w:p>
        </w:tc>
        <w:tc>
          <w:tcPr>
            <w:tcW w:type="dxa" w:w="4608"/>
          </w:tcPr>
          <w:p>
            <w:pPr>
              <w:spacing w:after="20"/>
            </w:pPr>
            <w:r/>
            <w:r>
              <w:rPr>
                <w:b w:val="0"/>
                <w:i w:val="0"/>
                <w:sz w:val="16"/>
              </w:rPr>
              <w:t>Same concern as #5.</w:t>
            </w:r>
          </w:p>
        </w:tc>
      </w:tr>
      <w:tr>
        <w:tc>
          <w:tcPr>
            <w:tcW w:type="dxa" w:w="432"/>
          </w:tcPr>
          <w:p>
            <w:pPr>
              <w:spacing w:after="20"/>
            </w:pPr>
            <w:r/>
            <w:r>
              <w:rPr>
                <w:b w:val="0"/>
                <w:i w:val="0"/>
                <w:sz w:val="16"/>
              </w:rPr>
              <w:t>7</w:t>
            </w:r>
          </w:p>
        </w:tc>
        <w:tc>
          <w:tcPr>
            <w:tcW w:type="dxa" w:w="1872"/>
          </w:tcPr>
          <w:p>
            <w:pPr>
              <w:spacing w:after="20"/>
            </w:pPr>
            <w:r/>
            <w:r>
              <w:rPr>
                <w:b w:val="0"/>
                <w:i w:val="0"/>
                <w:sz w:val="16"/>
              </w:rPr>
              <w:t>Fong: "4 of 7" (H-2209–H-2215)</w:t>
            </w:r>
          </w:p>
        </w:tc>
        <w:tc>
          <w:tcPr>
            <w:tcW w:type="dxa" w:w="5184"/>
          </w:tcPr>
          <w:p>
            <w:pPr>
              <w:spacing w:after="20"/>
            </w:pPr>
            <w:r/>
            <w:r>
              <w:rPr>
                <w:b w:val="0"/>
                <w:i w:val="0"/>
                <w:sz w:val="16"/>
              </w:rPr>
              <w:t>The Log shows 3 of 7 rejected (H-2209, H-2211, H-2215).</w:t>
            </w:r>
          </w:p>
        </w:tc>
        <w:tc>
          <w:tcPr>
            <w:tcW w:type="dxa" w:w="1728"/>
          </w:tcPr>
          <w:p>
            <w:pPr>
              <w:spacing w:after="20"/>
            </w:pPr>
            <w:r/>
            <w:r>
              <w:rPr>
                <w:b w:val="0"/>
                <w:i w:val="0"/>
                <w:sz w:val="16"/>
              </w:rPr>
              <w:t>Fong Dep. §IV; Log</w:t>
            </w:r>
          </w:p>
        </w:tc>
        <w:tc>
          <w:tcPr>
            <w:tcW w:type="dxa" w:w="4608"/>
          </w:tcPr>
          <w:p>
            <w:pPr>
              <w:spacing w:after="20"/>
            </w:pPr>
            <w:r/>
            <w:r>
              <w:rPr>
                <w:b w:val="0"/>
                <w:i w:val="0"/>
                <w:sz w:val="16"/>
              </w:rPr>
              <w:t>Minor, but another data-integrity point.</w:t>
            </w:r>
          </w:p>
        </w:tc>
      </w:tr>
      <w:tr>
        <w:tc>
          <w:tcPr>
            <w:tcW w:type="dxa" w:w="432"/>
          </w:tcPr>
          <w:p>
            <w:pPr>
              <w:spacing w:after="20"/>
            </w:pPr>
            <w:r/>
            <w:r>
              <w:rPr>
                <w:b w:val="0"/>
                <w:i w:val="0"/>
                <w:sz w:val="16"/>
              </w:rPr>
              <w:t>8</w:t>
            </w:r>
          </w:p>
        </w:tc>
        <w:tc>
          <w:tcPr>
            <w:tcW w:type="dxa" w:w="1872"/>
          </w:tcPr>
          <w:p>
            <w:pPr>
              <w:spacing w:after="20"/>
            </w:pPr>
            <w:r/>
            <w:r>
              <w:rPr>
                <w:b w:val="0"/>
                <w:i w:val="0"/>
                <w:sz w:val="16"/>
              </w:rPr>
              <w:t>Fong: no written thresholds</w:t>
            </w:r>
          </w:p>
        </w:tc>
        <w:tc>
          <w:tcPr>
            <w:tcW w:type="dxa" w:w="5184"/>
          </w:tcPr>
          <w:p>
            <w:pPr>
              <w:spacing w:after="20"/>
            </w:pPr>
            <w:r/>
            <w:r>
              <w:rPr>
                <w:b w:val="0"/>
                <w:i w:val="0"/>
                <w:sz w:val="16"/>
              </w:rPr>
              <w:t>Testified the enhanced thresholds were never written. Her Sept. 15 email specifies them, and the Log records enhanced maxima (11.5% moisture, 500 CFU/g, 3.0% weight).</w:t>
            </w:r>
          </w:p>
        </w:tc>
        <w:tc>
          <w:tcPr>
            <w:tcW w:type="dxa" w:w="1728"/>
          </w:tcPr>
          <w:p>
            <w:pPr>
              <w:spacing w:after="20"/>
            </w:pPr>
            <w:r/>
            <w:r>
              <w:rPr>
                <w:b w:val="0"/>
                <w:i w:val="0"/>
                <w:sz w:val="16"/>
              </w:rPr>
              <w:t>Fong Dep. §§III, VI; SF; Log</w:t>
            </w:r>
          </w:p>
        </w:tc>
        <w:tc>
          <w:tcPr>
            <w:tcW w:type="dxa" w:w="4608"/>
          </w:tcPr>
          <w:p>
            <w:pPr>
              <w:spacing w:after="20"/>
            </w:pPr>
            <w:r/>
            <w:r>
              <w:rPr>
                <w:b w:val="0"/>
                <w:i w:val="0"/>
                <w:sz w:val="16"/>
              </w:rPr>
              <w:t>Impeachment. Also undermines "undocumented" as a Harborview theme; the thresholds exist but were applied selectively.</w:t>
            </w:r>
          </w:p>
        </w:tc>
      </w:tr>
      <w:tr>
        <w:tc>
          <w:tcPr>
            <w:tcW w:type="dxa" w:w="432"/>
          </w:tcPr>
          <w:p>
            <w:pPr>
              <w:spacing w:after="20"/>
            </w:pPr>
            <w:r/>
            <w:r>
              <w:rPr>
                <w:b w:val="0"/>
                <w:i w:val="0"/>
                <w:sz w:val="16"/>
              </w:rPr>
              <w:t>9</w:t>
            </w:r>
          </w:p>
        </w:tc>
        <w:tc>
          <w:tcPr>
            <w:tcW w:type="dxa" w:w="1872"/>
          </w:tcPr>
          <w:p>
            <w:pPr>
              <w:spacing w:after="20"/>
            </w:pPr>
            <w:r/>
            <w:r>
              <w:rPr>
                <w:b w:val="0"/>
                <w:i w:val="0"/>
                <w:sz w:val="16"/>
              </w:rPr>
              <w:t>Fong: "can't say for certain" re Cascade</w:t>
            </w:r>
          </w:p>
        </w:tc>
        <w:tc>
          <w:tcPr>
            <w:tcW w:type="dxa" w:w="5184"/>
          </w:tcPr>
          <w:p>
            <w:pPr>
              <w:spacing w:after="20"/>
            </w:pPr>
            <w:r/>
            <w:r>
              <w:rPr>
                <w:b w:val="0"/>
                <w:i w:val="0"/>
                <w:sz w:val="16"/>
              </w:rPr>
              <w:t>Her Oct. 3 email names C-2210 and C-2212. Log notes say C-2205, C-2210, C-2225, C-2240, C-2255 (5 lots, though the summary says "4") would have failed Enhanced.</w:t>
            </w:r>
          </w:p>
        </w:tc>
        <w:tc>
          <w:tcPr>
            <w:tcW w:type="dxa" w:w="1728"/>
          </w:tcPr>
          <w:p>
            <w:pPr>
              <w:spacing w:after="20"/>
            </w:pPr>
            <w:r/>
            <w:r>
              <w:rPr>
                <w:b w:val="0"/>
                <w:i w:val="0"/>
                <w:sz w:val="16"/>
              </w:rPr>
              <w:t>Fong Dep.; SF; Log</w:t>
            </w:r>
          </w:p>
        </w:tc>
        <w:tc>
          <w:tcPr>
            <w:tcW w:type="dxa" w:w="4608"/>
          </w:tcPr>
          <w:p>
            <w:pPr>
              <w:spacing w:after="20"/>
            </w:pPr>
            <w:r/>
            <w:r>
              <w:rPr>
                <w:b w:val="0"/>
                <w:i w:val="0"/>
                <w:sz w:val="16"/>
              </w:rPr>
              <w:t>Greenleaf's own Log corroborates the admission. Do not contest.</w:t>
            </w:r>
          </w:p>
        </w:tc>
      </w:tr>
      <w:tr>
        <w:tc>
          <w:tcPr>
            <w:tcW w:type="dxa" w:w="432"/>
          </w:tcPr>
          <w:p>
            <w:pPr>
              <w:spacing w:after="20"/>
            </w:pPr>
            <w:r/>
            <w:r>
              <w:rPr>
                <w:b w:val="0"/>
                <w:i w:val="0"/>
                <w:sz w:val="16"/>
              </w:rPr>
              <w:t>10</w:t>
            </w:r>
          </w:p>
        </w:tc>
        <w:tc>
          <w:tcPr>
            <w:tcW w:type="dxa" w:w="1872"/>
          </w:tcPr>
          <w:p>
            <w:pPr>
              <w:spacing w:after="20"/>
            </w:pPr>
            <w:r/>
            <w:r>
              <w:rPr>
                <w:b w:val="0"/>
                <w:i w:val="0"/>
                <w:sz w:val="16"/>
              </w:rPr>
              <w:t>"Standard" microbial limit</w:t>
            </w:r>
          </w:p>
        </w:tc>
        <w:tc>
          <w:tcPr>
            <w:tcW w:type="dxa" w:w="5184"/>
          </w:tcPr>
          <w:p>
            <w:pPr>
              <w:spacing w:after="20"/>
            </w:pPr>
            <w:r/>
            <w:r>
              <w:rPr>
                <w:b w:val="0"/>
                <w:i w:val="0"/>
                <w:sz w:val="16"/>
              </w:rPr>
              <w:t>EDA Ex. B: APC 10,000 CFU/g. Log "standard max": 1,000 CFU/g. Buckley's Manual: 1.0 × 10^5 CFU/g (granola). Enhanced: 500 CFU/g.</w:t>
            </w:r>
          </w:p>
        </w:tc>
        <w:tc>
          <w:tcPr>
            <w:tcW w:type="dxa" w:w="1728"/>
          </w:tcPr>
          <w:p>
            <w:pPr>
              <w:spacing w:after="20"/>
            </w:pPr>
            <w:r/>
            <w:r>
              <w:rPr>
                <w:b w:val="0"/>
                <w:i w:val="0"/>
                <w:sz w:val="16"/>
              </w:rPr>
              <w:t>EDA; Log; Buckley</w:t>
            </w:r>
          </w:p>
        </w:tc>
        <w:tc>
          <w:tcPr>
            <w:tcW w:type="dxa" w:w="4608"/>
          </w:tcPr>
          <w:p>
            <w:pPr>
              <w:spacing w:after="20"/>
            </w:pPr>
            <w:r/>
            <w:r>
              <w:rPr>
                <w:b w:val="0"/>
                <w:i w:val="0"/>
                <w:sz w:val="16"/>
              </w:rPr>
              <w:t>The contract standard governs §7.2 rejection rights. Identify the correct internal SOP value and reconcile.</w:t>
            </w:r>
          </w:p>
        </w:tc>
      </w:tr>
      <w:tr>
        <w:tc>
          <w:tcPr>
            <w:tcW w:type="dxa" w:w="432"/>
          </w:tcPr>
          <w:p>
            <w:pPr>
              <w:spacing w:after="20"/>
            </w:pPr>
            <w:r/>
            <w:r>
              <w:rPr>
                <w:b w:val="0"/>
                <w:i w:val="0"/>
                <w:sz w:val="16"/>
              </w:rPr>
              <w:t>11</w:t>
            </w:r>
          </w:p>
        </w:tc>
        <w:tc>
          <w:tcPr>
            <w:tcW w:type="dxa" w:w="1872"/>
          </w:tcPr>
          <w:p>
            <w:pPr>
              <w:spacing w:after="20"/>
            </w:pPr>
            <w:r/>
            <w:r>
              <w:rPr>
                <w:b w:val="0"/>
                <w:i w:val="0"/>
                <w:sz w:val="16"/>
              </w:rPr>
              <w:t>Contract section citations</w:t>
            </w:r>
          </w:p>
        </w:tc>
        <w:tc>
          <w:tcPr>
            <w:tcW w:type="dxa" w:w="5184"/>
          </w:tcPr>
          <w:p>
            <w:pPr>
              <w:spacing w:after="20"/>
            </w:pPr>
            <w:r/>
            <w:r>
              <w:rPr>
                <w:b w:val="0"/>
                <w:i w:val="0"/>
                <w:sz w:val="16"/>
              </w:rPr>
              <w:t>Ans. cites §14.2 for forum (actually amendments; forum is §14.8). Compl. cites §14.6 forum, §14.1 law, §14.8 fees (§14.8 is law/venue; no fee clause). Chakrabarti cites §4.2 for commission (actually §6.1). Buckley cites §§4.3–4.5 and Ex. C for QA (actually Art. 7 and Ex. B). NOT cites survival §§11, 13, 15 (actually §9.6: Arts. 1, 10, 11, 13, 14).</w:t>
            </w:r>
          </w:p>
        </w:tc>
        <w:tc>
          <w:tcPr>
            <w:tcW w:type="dxa" w:w="1728"/>
          </w:tcPr>
          <w:p>
            <w:pPr>
              <w:spacing w:after="20"/>
            </w:pPr>
            <w:r/>
            <w:r>
              <w:rPr>
                <w:b w:val="0"/>
                <w:i w:val="0"/>
                <w:sz w:val="16"/>
              </w:rPr>
              <w:t>All</w:t>
            </w:r>
          </w:p>
        </w:tc>
        <w:tc>
          <w:tcPr>
            <w:tcW w:type="dxa" w:w="4608"/>
          </w:tcPr>
          <w:p>
            <w:pPr>
              <w:spacing w:after="20"/>
            </w:pPr>
            <w:r/>
            <w:r>
              <w:rPr>
                <w:b w:val="0"/>
                <w:i w:val="0"/>
                <w:sz w:val="16"/>
              </w:rPr>
              <w:t>Correct in Greenleaf papers. Use plaintiff and expert errors for credibility and Daubert.</w:t>
            </w:r>
          </w:p>
        </w:tc>
      </w:tr>
      <w:tr>
        <w:tc>
          <w:tcPr>
            <w:tcW w:type="dxa" w:w="432"/>
          </w:tcPr>
          <w:p>
            <w:pPr>
              <w:spacing w:after="20"/>
            </w:pPr>
            <w:r/>
            <w:r>
              <w:rPr>
                <w:b w:val="0"/>
                <w:i w:val="0"/>
                <w:sz w:val="16"/>
              </w:rPr>
              <w:t>12</w:t>
            </w:r>
          </w:p>
        </w:tc>
        <w:tc>
          <w:tcPr>
            <w:tcW w:type="dxa" w:w="1872"/>
          </w:tcPr>
          <w:p>
            <w:pPr>
              <w:spacing w:after="20"/>
            </w:pPr>
            <w:r/>
            <w:r>
              <w:rPr>
                <w:b w:val="0"/>
                <w:i w:val="0"/>
                <w:sz w:val="16"/>
              </w:rPr>
              <w:t>Non-renewal deadline</w:t>
            </w:r>
          </w:p>
        </w:tc>
        <w:tc>
          <w:tcPr>
            <w:tcW w:type="dxa" w:w="5184"/>
          </w:tcPr>
          <w:p>
            <w:pPr>
              <w:spacing w:after="20"/>
            </w:pPr>
            <w:r/>
            <w:r>
              <w:rPr>
                <w:b w:val="0"/>
                <w:i w:val="0"/>
                <w:sz w:val="16"/>
              </w:rPr>
              <w:t>Dec. 15, 2022 (Compl. ¶49, Chakrabarti, Holcomb email) vs. Dec. 14 (Holcomb Dep. summary; correct 90-day count from Mar. 14, 2023).</w:t>
            </w:r>
          </w:p>
        </w:tc>
        <w:tc>
          <w:tcPr>
            <w:tcW w:type="dxa" w:w="1728"/>
          </w:tcPr>
          <w:p>
            <w:pPr>
              <w:spacing w:after="20"/>
            </w:pPr>
            <w:r/>
            <w:r>
              <w:rPr>
                <w:b w:val="0"/>
                <w:i w:val="0"/>
                <w:sz w:val="16"/>
              </w:rPr>
              <w:t>Various</w:t>
            </w:r>
          </w:p>
        </w:tc>
        <w:tc>
          <w:tcPr>
            <w:tcW w:type="dxa" w:w="4608"/>
          </w:tcPr>
          <w:p>
            <w:pPr>
              <w:spacing w:after="20"/>
            </w:pPr>
            <w:r/>
            <w:r>
              <w:rPr>
                <w:b w:val="0"/>
                <w:i w:val="0"/>
                <w:sz w:val="16"/>
              </w:rPr>
              <w:t>Immaterial to the outcome; use Dec. 14 consistently.</w:t>
            </w:r>
          </w:p>
        </w:tc>
      </w:tr>
      <w:tr>
        <w:tc>
          <w:tcPr>
            <w:tcW w:type="dxa" w:w="432"/>
          </w:tcPr>
          <w:p>
            <w:pPr>
              <w:spacing w:after="20"/>
            </w:pPr>
            <w:r/>
            <w:r>
              <w:rPr>
                <w:b w:val="0"/>
                <w:i w:val="0"/>
                <w:sz w:val="16"/>
              </w:rPr>
              <w:t>13</w:t>
            </w:r>
          </w:p>
        </w:tc>
        <w:tc>
          <w:tcPr>
            <w:tcW w:type="dxa" w:w="1872"/>
          </w:tcPr>
          <w:p>
            <w:pPr>
              <w:spacing w:after="20"/>
            </w:pPr>
            <w:r/>
            <w:r>
              <w:rPr>
                <w:b w:val="0"/>
                <w:i w:val="0"/>
                <w:sz w:val="16"/>
              </w:rPr>
              <w:t>Titles and names</w:t>
            </w:r>
          </w:p>
        </w:tc>
        <w:tc>
          <w:tcPr>
            <w:tcW w:type="dxa" w:w="5184"/>
          </w:tcPr>
          <w:p>
            <w:pPr>
              <w:spacing w:after="20"/>
            </w:pPr>
            <w:r/>
            <w:r>
              <w:rPr>
                <w:b w:val="0"/>
                <w:i w:val="0"/>
                <w:sz w:val="16"/>
              </w:rPr>
              <w:t>Fong Dep. summary calls Holcomb "Director of Sales and Distribution" (he is VP). Chakrabarti calls Beckett "Chief Financial Officer" (Managing Member) and Buckley "Dr. Thomas Buckley" (Aaron).</w:t>
            </w:r>
          </w:p>
        </w:tc>
        <w:tc>
          <w:tcPr>
            <w:tcW w:type="dxa" w:w="1728"/>
          </w:tcPr>
          <w:p>
            <w:pPr>
              <w:spacing w:after="20"/>
            </w:pPr>
            <w:r/>
            <w:r>
              <w:rPr>
                <w:b w:val="0"/>
                <w:i w:val="0"/>
                <w:sz w:val="16"/>
              </w:rPr>
              <w:t>Fong Dep.; Chakrabarti</w:t>
            </w:r>
          </w:p>
        </w:tc>
        <w:tc>
          <w:tcPr>
            <w:tcW w:type="dxa" w:w="4608"/>
          </w:tcPr>
          <w:p>
            <w:pPr>
              <w:spacing w:after="20"/>
            </w:pPr>
            <w:r/>
            <w:r>
              <w:rPr>
                <w:b w:val="0"/>
                <w:i w:val="0"/>
                <w:sz w:val="16"/>
              </w:rPr>
              <w:t>Credibility points against Chakrabarti.</w:t>
            </w:r>
          </w:p>
        </w:tc>
      </w:tr>
      <w:tr>
        <w:tc>
          <w:tcPr>
            <w:tcW w:type="dxa" w:w="432"/>
          </w:tcPr>
          <w:p>
            <w:pPr>
              <w:spacing w:after="20"/>
            </w:pPr>
            <w:r/>
            <w:r>
              <w:rPr>
                <w:b w:val="0"/>
                <w:i w:val="0"/>
                <w:sz w:val="16"/>
              </w:rPr>
              <w:t>14</w:t>
            </w:r>
          </w:p>
        </w:tc>
        <w:tc>
          <w:tcPr>
            <w:tcW w:type="dxa" w:w="1872"/>
          </w:tcPr>
          <w:p>
            <w:pPr>
              <w:spacing w:after="20"/>
            </w:pPr>
            <w:r/>
            <w:r>
              <w:rPr>
                <w:b w:val="0"/>
                <w:i w:val="0"/>
                <w:sz w:val="16"/>
              </w:rPr>
              <w:t>Buckley percentages and timing</w:t>
            </w:r>
          </w:p>
        </w:tc>
        <w:tc>
          <w:tcPr>
            <w:tcW w:type="dxa" w:w="5184"/>
          </w:tcPr>
          <w:p>
            <w:pPr>
              <w:spacing w:after="20"/>
            </w:pPr>
            <w:r/>
            <w:r>
              <w:rPr>
                <w:b w:val="0"/>
                <w:i w:val="0"/>
                <w:sz w:val="16"/>
              </w:rPr>
              <w:t>11/14 = 78.6% (Fong summary) vs. $ share 78.5% (Buckley). The Fong summary (Nov. 12) cites Buckley conclusions ahead of the Dec. 10 report.</w:t>
            </w:r>
          </w:p>
        </w:tc>
        <w:tc>
          <w:tcPr>
            <w:tcW w:type="dxa" w:w="1728"/>
          </w:tcPr>
          <w:p>
            <w:pPr>
              <w:spacing w:after="20"/>
            </w:pPr>
            <w:r/>
            <w:r>
              <w:rPr>
                <w:b w:val="0"/>
                <w:i w:val="0"/>
                <w:sz w:val="16"/>
              </w:rPr>
              <w:t>Fong Dep. §VIII; Buckley</w:t>
            </w:r>
          </w:p>
        </w:tc>
        <w:tc>
          <w:tcPr>
            <w:tcW w:type="dxa" w:w="4608"/>
          </w:tcPr>
          <w:p>
            <w:pPr>
              <w:spacing w:after="20"/>
            </w:pPr>
            <w:r/>
            <w:r>
              <w:rPr>
                <w:b w:val="0"/>
                <w:i w:val="0"/>
                <w:sz w:val="16"/>
              </w:rPr>
              <w:t>Harmless if the summary stays privileged. Protect draft-expert communications.</w:t>
            </w:r>
          </w:p>
        </w:tc>
      </w:tr>
      <w:tr>
        <w:tc>
          <w:tcPr>
            <w:tcW w:type="dxa" w:w="432"/>
          </w:tcPr>
          <w:p>
            <w:pPr>
              <w:spacing w:after="20"/>
            </w:pPr>
            <w:r/>
            <w:r>
              <w:rPr>
                <w:b w:val="0"/>
                <w:i w:val="0"/>
                <w:sz w:val="16"/>
              </w:rPr>
              <w:t>15</w:t>
            </w:r>
          </w:p>
        </w:tc>
        <w:tc>
          <w:tcPr>
            <w:tcW w:type="dxa" w:w="1872"/>
          </w:tcPr>
          <w:p>
            <w:pPr>
              <w:spacing w:after="20"/>
            </w:pPr>
            <w:r/>
            <w:r>
              <w:rPr>
                <w:b w:val="0"/>
                <w:i w:val="0"/>
                <w:sz w:val="16"/>
              </w:rPr>
              <w:t>Answer averments contradicted by discovery</w:t>
            </w:r>
          </w:p>
        </w:tc>
        <w:tc>
          <w:tcPr>
            <w:tcW w:type="dxa" w:w="5184"/>
          </w:tcPr>
          <w:p>
            <w:pPr>
              <w:spacing w:after="20"/>
            </w:pPr>
            <w:r/>
            <w:r>
              <w:rPr>
                <w:b w:val="0"/>
                <w:i w:val="0"/>
                <w:sz w:val="16"/>
              </w:rPr>
              <w:t>¶23 (uniform QA), ¶24 (independent judgment), ¶25 (Stanton did not direct), ¶51 (no increased purchasing), ¶52 (60 days given), ¶19 (de minimis).</w:t>
            </w:r>
          </w:p>
        </w:tc>
        <w:tc>
          <w:tcPr>
            <w:tcW w:type="dxa" w:w="1728"/>
          </w:tcPr>
          <w:p>
            <w:pPr>
              <w:spacing w:after="20"/>
            </w:pPr>
            <w:r/>
            <w:r>
              <w:rPr>
                <w:b w:val="0"/>
                <w:i w:val="0"/>
                <w:sz w:val="16"/>
              </w:rPr>
              <w:t>Ans. vs. SF, HYS, NMB, NOT</w:t>
            </w:r>
          </w:p>
        </w:tc>
        <w:tc>
          <w:tcPr>
            <w:tcW w:type="dxa" w:w="4608"/>
          </w:tcPr>
          <w:p>
            <w:pPr>
              <w:spacing w:after="20"/>
            </w:pPr>
            <w:r/>
            <w:r>
              <w:rPr>
                <w:b w:val="0"/>
                <w:i w:val="0"/>
                <w:sz w:val="16"/>
              </w:rPr>
              <w:t>Do not repeat in SJ papers. Consider amendment on good cause.</w:t>
            </w:r>
          </w:p>
        </w:tc>
      </w:tr>
      <w:tr>
        <w:tc>
          <w:tcPr>
            <w:tcW w:type="dxa" w:w="432"/>
          </w:tcPr>
          <w:p>
            <w:pPr>
              <w:spacing w:after="20"/>
            </w:pPr>
            <w:r/>
            <w:r>
              <w:rPr>
                <w:b w:val="0"/>
                <w:i w:val="0"/>
                <w:sz w:val="16"/>
              </w:rPr>
              <w:t>16</w:t>
            </w:r>
          </w:p>
        </w:tc>
        <w:tc>
          <w:tcPr>
            <w:tcW w:type="dxa" w:w="1872"/>
          </w:tcPr>
          <w:p>
            <w:pPr>
              <w:spacing w:after="20"/>
            </w:pPr>
            <w:r/>
            <w:r>
              <w:rPr>
                <w:b w:val="0"/>
                <w:i w:val="0"/>
                <w:sz w:val="16"/>
              </w:rPr>
              <w:t>Discovery timing of Cascade</w:t>
            </w:r>
          </w:p>
        </w:tc>
        <w:tc>
          <w:tcPr>
            <w:tcW w:type="dxa" w:w="5184"/>
          </w:tcPr>
          <w:p>
            <w:pPr>
              <w:spacing w:after="20"/>
            </w:pPr>
            <w:r/>
            <w:r>
              <w:rPr>
                <w:b w:val="0"/>
                <w:i w:val="0"/>
                <w:sz w:val="16"/>
              </w:rPr>
              <w:t>Compl. ¶54: Harborview first suspected after termination. But the Feb. 22, 2023 letter (pre-termination) names Cascade and $1.9M, and Beckett cited "other channels" by Dec. 1, 2022.</w:t>
            </w:r>
          </w:p>
        </w:tc>
        <w:tc>
          <w:tcPr>
            <w:tcW w:type="dxa" w:w="1728"/>
          </w:tcPr>
          <w:p>
            <w:pPr>
              <w:spacing w:after="20"/>
            </w:pPr>
            <w:r/>
            <w:r>
              <w:rPr>
                <w:b w:val="0"/>
                <w:i w:val="0"/>
                <w:sz w:val="16"/>
              </w:rPr>
              <w:t>Compl.; HV Ltr; HYS</w:t>
            </w:r>
          </w:p>
        </w:tc>
        <w:tc>
          <w:tcPr>
            <w:tcW w:type="dxa" w:w="4608"/>
          </w:tcPr>
          <w:p>
            <w:pPr>
              <w:spacing w:after="20"/>
            </w:pPr>
            <w:r/>
            <w:r>
              <w:rPr>
                <w:b w:val="0"/>
                <w:i w:val="0"/>
                <w:sz w:val="16"/>
              </w:rPr>
              <w:t>Not a limitations win (see 4.4), but supports the no-justifiable-reliance fraud argument.</w:t>
            </w:r>
          </w:p>
        </w:tc>
      </w:tr>
    </w:tbl>
    <w:p>
      <w:pPr>
        <w:spacing w:after="40"/>
      </w:pPr>
    </w:p>
    <w:p>
      <w:pPr>
        <w:pStyle w:val="Heading1"/>
      </w:pPr>
      <w:r>
        <w:t>6. Key Witness Matrix</w:t>
      </w:r>
    </w:p>
    <w:tbl>
      <w:tblPr>
        <w:tblStyle w:val="TableGrid"/>
        <w:tblW w:type="auto" w:w="0"/>
        <w:jc w:val="center"/>
        <w:tblLayout w:type="fixed"/>
        <w:tblLook w:firstColumn="1" w:firstRow="1" w:lastColumn="0" w:lastRow="0" w:noHBand="0" w:noVBand="1" w:val="04A0"/>
      </w:tblPr>
      <w:tblGrid>
        <w:gridCol w:w="2765"/>
        <w:gridCol w:w="2765"/>
        <w:gridCol w:w="2765"/>
        <w:gridCol w:w="2765"/>
        <w:gridCol w:w="2765"/>
      </w:tblGrid>
      <w:tr>
        <w:trPr>
          <w:tblHeader w:val="true"/>
        </w:trPr>
        <w:tc>
          <w:tcPr>
            <w:tcW w:type="dxa" w:w="2016"/>
            <w:shd w:val="clear" w:color="auto" w:fill="1F3864"/>
          </w:tcPr>
          <w:p>
            <w:r/>
            <w:r>
              <w:rPr>
                <w:b/>
                <w:color w:val="FFFFFF"/>
                <w:sz w:val="17"/>
              </w:rPr>
              <w:t>Witness</w:t>
            </w:r>
          </w:p>
        </w:tc>
        <w:tc>
          <w:tcPr>
            <w:tcW w:type="dxa" w:w="2160"/>
            <w:shd w:val="clear" w:color="auto" w:fill="1F3864"/>
          </w:tcPr>
          <w:p>
            <w:r/>
            <w:r>
              <w:rPr>
                <w:b/>
                <w:color w:val="FFFFFF"/>
                <w:sz w:val="17"/>
              </w:rPr>
              <w:t>Role</w:t>
            </w:r>
          </w:p>
        </w:tc>
        <w:tc>
          <w:tcPr>
            <w:tcW w:type="dxa" w:w="2016"/>
            <w:shd w:val="clear" w:color="auto" w:fill="1F3864"/>
          </w:tcPr>
          <w:p>
            <w:r/>
            <w:r>
              <w:rPr>
                <w:b/>
                <w:color w:val="FFFFFF"/>
                <w:sz w:val="17"/>
              </w:rPr>
              <w:t>Status</w:t>
            </w:r>
          </w:p>
        </w:tc>
        <w:tc>
          <w:tcPr>
            <w:tcW w:type="dxa" w:w="2736"/>
            <w:shd w:val="clear" w:color="auto" w:fill="1F3864"/>
          </w:tcPr>
          <w:p>
            <w:r/>
            <w:r>
              <w:rPr>
                <w:b/>
                <w:color w:val="FFFFFF"/>
                <w:sz w:val="17"/>
              </w:rPr>
              <w:t>Key documents</w:t>
            </w:r>
          </w:p>
        </w:tc>
        <w:tc>
          <w:tcPr>
            <w:tcW w:type="dxa" w:w="4896"/>
            <w:shd w:val="clear" w:color="auto" w:fill="1F3864"/>
          </w:tcPr>
          <w:p>
            <w:r/>
            <w:r>
              <w:rPr>
                <w:b/>
                <w:color w:val="FFFFFF"/>
                <w:sz w:val="17"/>
              </w:rPr>
              <w:t>Exposure / preparation notes</w:t>
            </w:r>
          </w:p>
        </w:tc>
      </w:tr>
      <w:tr>
        <w:tc>
          <w:tcPr>
            <w:tcW w:type="dxa" w:w="2016"/>
          </w:tcPr>
          <w:p>
            <w:pPr>
              <w:spacing w:after="20"/>
            </w:pPr>
            <w:r/>
            <w:r>
              <w:rPr>
                <w:b w:val="0"/>
                <w:i w:val="0"/>
                <w:sz w:val="17"/>
              </w:rPr>
              <w:t>Margaret "Meg" Stanton</w:t>
            </w:r>
          </w:p>
        </w:tc>
        <w:tc>
          <w:tcPr>
            <w:tcW w:type="dxa" w:w="2160"/>
          </w:tcPr>
          <w:p>
            <w:pPr>
              <w:spacing w:after="20"/>
            </w:pPr>
            <w:r/>
            <w:r>
              <w:rPr>
                <w:b w:val="0"/>
                <w:i w:val="0"/>
                <w:sz w:val="17"/>
              </w:rPr>
              <w:t>Greenleaf CEO; signed EDA and NOT</w:t>
            </w:r>
          </w:p>
        </w:tc>
        <w:tc>
          <w:tcPr>
            <w:tcW w:type="dxa" w:w="2016"/>
          </w:tcPr>
          <w:p>
            <w:pPr>
              <w:spacing w:after="20"/>
            </w:pPr>
            <w:r/>
            <w:r>
              <w:rPr>
                <w:b w:val="0"/>
                <w:i w:val="0"/>
                <w:sz w:val="17"/>
              </w:rPr>
              <w:t>Not deposed per file (listed in SO)</w:t>
            </w:r>
          </w:p>
        </w:tc>
        <w:tc>
          <w:tcPr>
            <w:tcW w:type="dxa" w:w="2736"/>
          </w:tcPr>
          <w:p>
            <w:pPr>
              <w:spacing w:after="20"/>
            </w:pPr>
            <w:r/>
            <w:r>
              <w:rPr>
                <w:b w:val="0"/>
                <w:i w:val="0"/>
                <w:sz w:val="17"/>
              </w:rPr>
              <w:t>Aug. 23, 2022; Sept. 14–15, 2022; Jan. 3, 2023</w:t>
            </w:r>
          </w:p>
        </w:tc>
        <w:tc>
          <w:tcPr>
            <w:tcW w:type="dxa" w:w="4896"/>
          </w:tcPr>
          <w:p>
            <w:pPr>
              <w:spacing w:after="20"/>
            </w:pPr>
            <w:r/>
            <w:r>
              <w:rPr>
                <w:b w:val="0"/>
                <w:i w:val="0"/>
                <w:sz w:val="17"/>
              </w:rPr>
              <w:t>The central witness. Must explain the "field feedback" (with documents), "handle the QA side separately," "leverage," separate invoicing, and "use that as the basis." Deposition outcome will likely determine whether the implied covenant and fraud claims survive SJ.</w:t>
            </w:r>
          </w:p>
        </w:tc>
      </w:tr>
      <w:tr>
        <w:tc>
          <w:tcPr>
            <w:tcW w:type="dxa" w:w="2016"/>
          </w:tcPr>
          <w:p>
            <w:pPr>
              <w:spacing w:after="20"/>
            </w:pPr>
            <w:r/>
            <w:r>
              <w:rPr>
                <w:b w:val="0"/>
                <w:i w:val="0"/>
                <w:sz w:val="17"/>
              </w:rPr>
              <w:t>Derek Holcomb</w:t>
            </w:r>
          </w:p>
        </w:tc>
        <w:tc>
          <w:tcPr>
            <w:tcW w:type="dxa" w:w="2160"/>
          </w:tcPr>
          <w:p>
            <w:pPr>
              <w:spacing w:after="20"/>
            </w:pPr>
            <w:r/>
            <w:r>
              <w:rPr>
                <w:b w:val="0"/>
                <w:i w:val="0"/>
                <w:sz w:val="17"/>
              </w:rPr>
              <w:t>VP Sales &amp; Distribution; signed NMB</w:t>
            </w:r>
          </w:p>
        </w:tc>
        <w:tc>
          <w:tcPr>
            <w:tcW w:type="dxa" w:w="2016"/>
          </w:tcPr>
          <w:p>
            <w:pPr>
              <w:spacing w:after="20"/>
            </w:pPr>
            <w:r/>
            <w:r>
              <w:rPr>
                <w:b w:val="0"/>
                <w:i w:val="0"/>
                <w:sz w:val="17"/>
              </w:rPr>
              <w:t>Deposed Oct. 18, 2024</w:t>
            </w:r>
          </w:p>
        </w:tc>
        <w:tc>
          <w:tcPr>
            <w:tcW w:type="dxa" w:w="2736"/>
          </w:tcPr>
          <w:p>
            <w:pPr>
              <w:spacing w:after="20"/>
            </w:pPr>
            <w:r/>
            <w:r>
              <w:rPr>
                <w:b w:val="0"/>
                <w:i w:val="0"/>
                <w:sz w:val="17"/>
              </w:rPr>
              <w:t>June 8/10, Aug. 22, Sept. 6, Dec. 1, 2022; NMB</w:t>
            </w:r>
          </w:p>
        </w:tc>
        <w:tc>
          <w:tcPr>
            <w:tcW w:type="dxa" w:w="4896"/>
          </w:tcPr>
          <w:p>
            <w:pPr>
              <w:spacing w:after="20"/>
            </w:pPr>
            <w:r/>
            <w:r>
              <w:rPr>
                <w:b w:val="0"/>
                <w:i w:val="0"/>
                <w:sz w:val="17"/>
              </w:rPr>
              <w:t>Heavily impeached: "keep it quiet / off the books," "supply chain," "internal guidance." Consider limiting his role in trial presentation.</w:t>
            </w:r>
          </w:p>
        </w:tc>
      </w:tr>
      <w:tr>
        <w:tc>
          <w:tcPr>
            <w:tcW w:type="dxa" w:w="2016"/>
          </w:tcPr>
          <w:p>
            <w:pPr>
              <w:spacing w:after="20"/>
            </w:pPr>
            <w:r/>
            <w:r>
              <w:rPr>
                <w:b w:val="0"/>
                <w:i w:val="0"/>
                <w:sz w:val="17"/>
              </w:rPr>
              <w:t>Lisa Fong</w:t>
            </w:r>
          </w:p>
        </w:tc>
        <w:tc>
          <w:tcPr>
            <w:tcW w:type="dxa" w:w="2160"/>
          </w:tcPr>
          <w:p>
            <w:pPr>
              <w:spacing w:after="20"/>
            </w:pPr>
            <w:r/>
            <w:r>
              <w:rPr>
                <w:b w:val="0"/>
                <w:i w:val="0"/>
                <w:sz w:val="17"/>
              </w:rPr>
              <w:t>Director of QA</w:t>
            </w:r>
          </w:p>
        </w:tc>
        <w:tc>
          <w:tcPr>
            <w:tcW w:type="dxa" w:w="2016"/>
          </w:tcPr>
          <w:p>
            <w:pPr>
              <w:spacing w:after="20"/>
            </w:pPr>
            <w:r/>
            <w:r>
              <w:rPr>
                <w:b w:val="0"/>
                <w:i w:val="0"/>
                <w:sz w:val="17"/>
              </w:rPr>
              <w:t>Deposed Nov. 5, 2024; errata due Dec. 5</w:t>
            </w:r>
          </w:p>
        </w:tc>
        <w:tc>
          <w:tcPr>
            <w:tcW w:type="dxa" w:w="2736"/>
          </w:tcPr>
          <w:p>
            <w:pPr>
              <w:spacing w:after="20"/>
            </w:pPr>
            <w:r/>
            <w:r>
              <w:rPr>
                <w:b w:val="0"/>
                <w:i w:val="0"/>
                <w:sz w:val="17"/>
              </w:rPr>
              <w:t>Sept. 15, Oct. 3, 2022; QA Log</w:t>
            </w:r>
          </w:p>
        </w:tc>
        <w:tc>
          <w:tcPr>
            <w:tcW w:type="dxa" w:w="4896"/>
          </w:tcPr>
          <w:p>
            <w:pPr>
              <w:spacing w:after="20"/>
            </w:pPr>
            <w:r/>
            <w:r>
              <w:rPr>
                <w:b w:val="0"/>
                <w:i w:val="0"/>
                <w:sz w:val="17"/>
              </w:rPr>
              <w:t>Sympathetic "followed orders" witness who shifts culpability to Stanton. Her best facts are the Sept. 15 best-practices email and the handful of genuine defects (H-2201, H-2226, H-2233).</w:t>
            </w:r>
          </w:p>
        </w:tc>
      </w:tr>
      <w:tr>
        <w:tc>
          <w:tcPr>
            <w:tcW w:type="dxa" w:w="2016"/>
          </w:tcPr>
          <w:p>
            <w:pPr>
              <w:spacing w:after="20"/>
            </w:pPr>
            <w:r/>
            <w:r>
              <w:rPr>
                <w:b w:val="0"/>
                <w:i w:val="0"/>
                <w:sz w:val="17"/>
              </w:rPr>
              <w:t>Randall Beckett</w:t>
            </w:r>
          </w:p>
        </w:tc>
        <w:tc>
          <w:tcPr>
            <w:tcW w:type="dxa" w:w="2160"/>
          </w:tcPr>
          <w:p>
            <w:pPr>
              <w:spacing w:after="20"/>
            </w:pPr>
            <w:r/>
            <w:r>
              <w:rPr>
                <w:b w:val="0"/>
                <w:i w:val="0"/>
                <w:sz w:val="17"/>
              </w:rPr>
              <w:t>Harborview Managing Member</w:t>
            </w:r>
          </w:p>
        </w:tc>
        <w:tc>
          <w:tcPr>
            <w:tcW w:type="dxa" w:w="2016"/>
          </w:tcPr>
          <w:p>
            <w:pPr>
              <w:spacing w:after="20"/>
            </w:pPr>
            <w:r/>
            <w:r>
              <w:rPr>
                <w:b w:val="0"/>
                <w:i w:val="0"/>
                <w:sz w:val="17"/>
              </w:rPr>
              <w:t>Deposed Nov. 22, 2024 (no summary)</w:t>
            </w:r>
          </w:p>
        </w:tc>
        <w:tc>
          <w:tcPr>
            <w:tcW w:type="dxa" w:w="2736"/>
          </w:tcPr>
          <w:p>
            <w:pPr>
              <w:spacing w:after="20"/>
            </w:pPr>
            <w:r/>
            <w:r>
              <w:rPr>
                <w:b w:val="0"/>
                <w:i w:val="0"/>
                <w:sz w:val="17"/>
              </w:rPr>
              <w:t>Feb. 22, 2023 letter; mitigation records</w:t>
            </w:r>
          </w:p>
        </w:tc>
        <w:tc>
          <w:tcPr>
            <w:tcW w:type="dxa" w:w="4896"/>
          </w:tcPr>
          <w:p>
            <w:pPr>
              <w:spacing w:after="20"/>
            </w:pPr>
            <w:r/>
            <w:r>
              <w:rPr>
                <w:b w:val="0"/>
                <w:i w:val="0"/>
                <w:sz w:val="17"/>
              </w:rPr>
              <w:t>Reliance (fraud); mitigation cost support; purchase-order history in the cure period; knowledge of Cascade by Dec. 2022.</w:t>
            </w:r>
          </w:p>
        </w:tc>
      </w:tr>
      <w:tr>
        <w:tc>
          <w:tcPr>
            <w:tcW w:type="dxa" w:w="2016"/>
          </w:tcPr>
          <w:p>
            <w:pPr>
              <w:spacing w:after="20"/>
            </w:pPr>
            <w:r/>
            <w:r>
              <w:rPr>
                <w:b w:val="0"/>
                <w:i w:val="0"/>
                <w:sz w:val="17"/>
              </w:rPr>
              <w:t>Nolan Yee</w:t>
            </w:r>
          </w:p>
        </w:tc>
        <w:tc>
          <w:tcPr>
            <w:tcW w:type="dxa" w:w="2160"/>
          </w:tcPr>
          <w:p>
            <w:pPr>
              <w:spacing w:after="20"/>
            </w:pPr>
            <w:r/>
            <w:r>
              <w:rPr>
                <w:b w:val="0"/>
                <w:i w:val="0"/>
                <w:sz w:val="17"/>
              </w:rPr>
              <w:t>Owner, Cascade (non-party)</w:t>
            </w:r>
          </w:p>
        </w:tc>
        <w:tc>
          <w:tcPr>
            <w:tcW w:type="dxa" w:w="2016"/>
          </w:tcPr>
          <w:p>
            <w:pPr>
              <w:spacing w:after="20"/>
            </w:pPr>
            <w:r/>
            <w:r>
              <w:rPr>
                <w:b w:val="0"/>
                <w:i w:val="0"/>
                <w:sz w:val="17"/>
              </w:rPr>
              <w:t>Not deposed per file</w:t>
            </w:r>
          </w:p>
        </w:tc>
        <w:tc>
          <w:tcPr>
            <w:tcW w:type="dxa" w:w="2736"/>
          </w:tcPr>
          <w:p>
            <w:pPr>
              <w:spacing w:after="20"/>
            </w:pPr>
            <w:r/>
            <w:r>
              <w:rPr>
                <w:b w:val="0"/>
                <w:i w:val="0"/>
                <w:sz w:val="17"/>
              </w:rPr>
              <w:t>June 10, 2022 email</w:t>
            </w:r>
          </w:p>
        </w:tc>
        <w:tc>
          <w:tcPr>
            <w:tcW w:type="dxa" w:w="4896"/>
          </w:tcPr>
          <w:p>
            <w:pPr>
              <w:spacing w:after="20"/>
            </w:pPr>
            <w:r/>
            <w:r>
              <w:rPr>
                <w:b w:val="0"/>
                <w:i w:val="0"/>
                <w:sz w:val="17"/>
              </w:rPr>
              <w:t>Subpoena for Cascade purchase records (supports or limits the $1.9M), retail accounts shared with Harborview (interference), and knowledge of the EDA.</w:t>
            </w:r>
          </w:p>
        </w:tc>
      </w:tr>
      <w:tr>
        <w:tc>
          <w:tcPr>
            <w:tcW w:type="dxa" w:w="2016"/>
          </w:tcPr>
          <w:p>
            <w:pPr>
              <w:spacing w:after="20"/>
            </w:pPr>
            <w:r/>
            <w:r>
              <w:rPr>
                <w:b w:val="0"/>
                <w:i w:val="0"/>
                <w:sz w:val="17"/>
              </w:rPr>
              <w:t>Dr. Aaron Buckley</w:t>
            </w:r>
          </w:p>
        </w:tc>
        <w:tc>
          <w:tcPr>
            <w:tcW w:type="dxa" w:w="2160"/>
          </w:tcPr>
          <w:p>
            <w:pPr>
              <w:spacing w:after="20"/>
            </w:pPr>
            <w:r/>
            <w:r>
              <w:rPr>
                <w:b w:val="0"/>
                <w:i w:val="0"/>
                <w:sz w:val="17"/>
              </w:rPr>
              <w:t>QA expert (defense-retained)</w:t>
            </w:r>
          </w:p>
        </w:tc>
        <w:tc>
          <w:tcPr>
            <w:tcW w:type="dxa" w:w="2016"/>
          </w:tcPr>
          <w:p>
            <w:pPr>
              <w:spacing w:after="20"/>
            </w:pPr>
            <w:r/>
            <w:r>
              <w:rPr>
                <w:b w:val="0"/>
                <w:i w:val="0"/>
                <w:sz w:val="17"/>
              </w:rPr>
              <w:t>Report Dec. 10, 2024</w:t>
            </w:r>
          </w:p>
        </w:tc>
        <w:tc>
          <w:tcPr>
            <w:tcW w:type="dxa" w:w="2736"/>
          </w:tcPr>
          <w:p>
            <w:pPr>
              <w:spacing w:after="20"/>
            </w:pPr>
            <w:r/>
            <w:r>
              <w:rPr>
                <w:b w:val="0"/>
                <w:i w:val="0"/>
                <w:sz w:val="17"/>
              </w:rPr>
              <w:t>Buckley report</w:t>
            </w:r>
          </w:p>
        </w:tc>
        <w:tc>
          <w:tcPr>
            <w:tcW w:type="dxa" w:w="4896"/>
          </w:tcPr>
          <w:p>
            <w:pPr>
              <w:spacing w:after="20"/>
            </w:pPr>
            <w:r/>
            <w:r>
              <w:rPr>
                <w:b w:val="0"/>
                <w:i w:val="0"/>
                <w:sz w:val="17"/>
              </w:rPr>
              <w:t>Adverse. Data set conflicts with the Log (Section 5 #3). Determine designation status.</w:t>
            </w:r>
          </w:p>
        </w:tc>
      </w:tr>
      <w:tr>
        <w:tc>
          <w:tcPr>
            <w:tcW w:type="dxa" w:w="2016"/>
          </w:tcPr>
          <w:p>
            <w:pPr>
              <w:spacing w:after="20"/>
            </w:pPr>
            <w:r/>
            <w:r>
              <w:rPr>
                <w:b w:val="0"/>
                <w:i w:val="0"/>
                <w:sz w:val="17"/>
              </w:rPr>
              <w:t>Dr. Priya Chakrabarti</w:t>
            </w:r>
          </w:p>
        </w:tc>
        <w:tc>
          <w:tcPr>
            <w:tcW w:type="dxa" w:w="2160"/>
          </w:tcPr>
          <w:p>
            <w:pPr>
              <w:spacing w:after="20"/>
            </w:pPr>
            <w:r/>
            <w:r>
              <w:rPr>
                <w:b w:val="0"/>
                <w:i w:val="0"/>
                <w:sz w:val="17"/>
              </w:rPr>
              <w:t>Damages expert (plaintiff)</w:t>
            </w:r>
          </w:p>
        </w:tc>
        <w:tc>
          <w:tcPr>
            <w:tcW w:type="dxa" w:w="2016"/>
          </w:tcPr>
          <w:p>
            <w:pPr>
              <w:spacing w:after="20"/>
            </w:pPr>
            <w:r/>
            <w:r>
              <w:rPr>
                <w:b w:val="0"/>
                <w:i w:val="0"/>
                <w:sz w:val="17"/>
              </w:rPr>
              <w:t>Report Dec. 10, 2024 (late)</w:t>
            </w:r>
          </w:p>
        </w:tc>
        <w:tc>
          <w:tcPr>
            <w:tcW w:type="dxa" w:w="2736"/>
          </w:tcPr>
          <w:p>
            <w:pPr>
              <w:spacing w:after="20"/>
            </w:pPr>
            <w:r/>
            <w:r>
              <w:rPr>
                <w:b w:val="0"/>
                <w:i w:val="0"/>
                <w:sz w:val="17"/>
              </w:rPr>
              <w:t>Chakrabarti report</w:t>
            </w:r>
          </w:p>
        </w:tc>
        <w:tc>
          <w:tcPr>
            <w:tcW w:type="dxa" w:w="4896"/>
          </w:tcPr>
          <w:p>
            <w:pPr>
              <w:spacing w:after="20"/>
            </w:pPr>
            <w:r/>
            <w:r>
              <w:rPr>
                <w:b w:val="0"/>
                <w:i w:val="0"/>
                <w:sz w:val="17"/>
              </w:rPr>
              <w:t>Daubert target: horizon, NPV math, mitigation, misquotations, factual errors.</w:t>
            </w:r>
          </w:p>
        </w:tc>
      </w:tr>
    </w:tbl>
    <w:p>
      <w:pPr>
        <w:spacing w:after="40"/>
      </w:pPr>
    </w:p>
    <w:p>
      <w:pPr>
        <w:pStyle w:val="Heading1"/>
      </w:pPr>
      <w:r>
        <w:t>7. Prioritized Action Items (Before the SJ Filing)</w:t>
      </w:r>
    </w:p>
    <w:tbl>
      <w:tblPr>
        <w:tblStyle w:val="TableGrid"/>
        <w:tblW w:type="auto" w:w="0"/>
        <w:jc w:val="center"/>
        <w:tblLayout w:type="fixed"/>
        <w:tblLook w:firstColumn="1" w:firstRow="1" w:lastColumn="0" w:lastRow="0" w:noHBand="0" w:noVBand="1" w:val="04A0"/>
      </w:tblPr>
      <w:tblGrid>
        <w:gridCol w:w="3456"/>
        <w:gridCol w:w="3456"/>
        <w:gridCol w:w="3456"/>
        <w:gridCol w:w="3456"/>
      </w:tblGrid>
      <w:tr>
        <w:trPr>
          <w:tblHeader w:val="true"/>
        </w:trPr>
        <w:tc>
          <w:tcPr>
            <w:tcW w:type="dxa" w:w="1008"/>
            <w:shd w:val="clear" w:color="auto" w:fill="1F3864"/>
          </w:tcPr>
          <w:p>
            <w:r/>
            <w:r>
              <w:rPr>
                <w:b/>
                <w:color w:val="FFFFFF"/>
                <w:sz w:val="18"/>
              </w:rPr>
              <w:t>Priority</w:t>
            </w:r>
          </w:p>
        </w:tc>
        <w:tc>
          <w:tcPr>
            <w:tcW w:type="dxa" w:w="7056"/>
            <w:shd w:val="clear" w:color="auto" w:fill="1F3864"/>
          </w:tcPr>
          <w:p>
            <w:r/>
            <w:r>
              <w:rPr>
                <w:b/>
                <w:color w:val="FFFFFF"/>
                <w:sz w:val="18"/>
              </w:rPr>
              <w:t>Action</w:t>
            </w:r>
          </w:p>
        </w:tc>
        <w:tc>
          <w:tcPr>
            <w:tcW w:type="dxa" w:w="2448"/>
            <w:shd w:val="clear" w:color="auto" w:fill="1F3864"/>
          </w:tcPr>
          <w:p>
            <w:r/>
            <w:r>
              <w:rPr>
                <w:b/>
                <w:color w:val="FFFFFF"/>
                <w:sz w:val="18"/>
              </w:rPr>
              <w:t>Target date</w:t>
            </w:r>
          </w:p>
        </w:tc>
        <w:tc>
          <w:tcPr>
            <w:tcW w:type="dxa" w:w="3312"/>
            <w:shd w:val="clear" w:color="auto" w:fill="1F3864"/>
          </w:tcPr>
          <w:p>
            <w:r/>
            <w:r>
              <w:rPr>
                <w:b/>
                <w:color w:val="FFFFFF"/>
                <w:sz w:val="18"/>
              </w:rPr>
              <w:t>Purpose</w:t>
            </w:r>
          </w:p>
        </w:tc>
      </w:tr>
      <w:tr>
        <w:tc>
          <w:tcPr>
            <w:tcW w:type="dxa" w:w="1008"/>
          </w:tcPr>
          <w:p>
            <w:pPr>
              <w:spacing w:after="20"/>
            </w:pPr>
            <w:r/>
            <w:r>
              <w:rPr>
                <w:b w:val="0"/>
                <w:i w:val="0"/>
                <w:sz w:val="18"/>
              </w:rPr>
              <w:t>1</w:t>
            </w:r>
          </w:p>
        </w:tc>
        <w:tc>
          <w:tcPr>
            <w:tcW w:type="dxa" w:w="7056"/>
          </w:tcPr>
          <w:p>
            <w:pPr>
              <w:spacing w:after="20"/>
            </w:pPr>
            <w:r/>
            <w:r>
              <w:rPr>
                <w:b w:val="0"/>
                <w:i w:val="0"/>
                <w:sz w:val="18"/>
              </w:rPr>
              <w:t>Clawback notice for GL-PROD-007834; privilege-log review of the Sept. 30 production; confirm any Rule 502(d) order</w:t>
            </w:r>
          </w:p>
        </w:tc>
        <w:tc>
          <w:tcPr>
            <w:tcW w:type="dxa" w:w="2448"/>
          </w:tcPr>
          <w:p>
            <w:pPr>
              <w:spacing w:after="20"/>
            </w:pPr>
            <w:r/>
            <w:r>
              <w:rPr>
                <w:b w:val="0"/>
                <w:i w:val="0"/>
                <w:sz w:val="18"/>
              </w:rPr>
              <w:t>Immediately</w:t>
            </w:r>
          </w:p>
        </w:tc>
        <w:tc>
          <w:tcPr>
            <w:tcW w:type="dxa" w:w="3312"/>
          </w:tcPr>
          <w:p>
            <w:pPr>
              <w:spacing w:after="20"/>
            </w:pPr>
            <w:r/>
            <w:r>
              <w:rPr>
                <w:b w:val="0"/>
                <w:i w:val="0"/>
                <w:sz w:val="18"/>
              </w:rPr>
              <w:t>Limit waiver; prepare for a crime-fraud challenge</w:t>
            </w:r>
          </w:p>
        </w:tc>
      </w:tr>
      <w:tr>
        <w:tc>
          <w:tcPr>
            <w:tcW w:type="dxa" w:w="1008"/>
          </w:tcPr>
          <w:p>
            <w:pPr>
              <w:spacing w:after="20"/>
            </w:pPr>
            <w:r/>
            <w:r>
              <w:rPr>
                <w:b w:val="0"/>
                <w:i w:val="0"/>
                <w:sz w:val="18"/>
              </w:rPr>
              <w:t>2</w:t>
            </w:r>
          </w:p>
        </w:tc>
        <w:tc>
          <w:tcPr>
            <w:tcW w:type="dxa" w:w="7056"/>
          </w:tcPr>
          <w:p>
            <w:pPr>
              <w:spacing w:after="20"/>
            </w:pPr>
            <w:r/>
            <w:r>
              <w:rPr>
                <w:b w:val="0"/>
                <w:i w:val="0"/>
                <w:sz w:val="18"/>
              </w:rPr>
              <w:t>Confirm Buckley designation and service status; obtain his source data and Exhibit B; reconcile with the QA Log</w:t>
            </w:r>
          </w:p>
        </w:tc>
        <w:tc>
          <w:tcPr>
            <w:tcW w:type="dxa" w:w="2448"/>
          </w:tcPr>
          <w:p>
            <w:pPr>
              <w:spacing w:after="20"/>
            </w:pPr>
            <w:r/>
            <w:r>
              <w:rPr>
                <w:b w:val="0"/>
                <w:i w:val="0"/>
                <w:sz w:val="18"/>
              </w:rPr>
              <w:t>Immediately</w:t>
            </w:r>
          </w:p>
        </w:tc>
        <w:tc>
          <w:tcPr>
            <w:tcW w:type="dxa" w:w="3312"/>
          </w:tcPr>
          <w:p>
            <w:pPr>
              <w:spacing w:after="20"/>
            </w:pPr>
            <w:r/>
            <w:r>
              <w:rPr>
                <w:b w:val="0"/>
                <w:i w:val="0"/>
                <w:sz w:val="18"/>
              </w:rPr>
              <w:t>Expert strategy; data-integrity risk</w:t>
            </w:r>
          </w:p>
        </w:tc>
      </w:tr>
      <w:tr>
        <w:tc>
          <w:tcPr>
            <w:tcW w:type="dxa" w:w="1008"/>
          </w:tcPr>
          <w:p>
            <w:pPr>
              <w:spacing w:after="20"/>
            </w:pPr>
            <w:r/>
            <w:r>
              <w:rPr>
                <w:b w:val="0"/>
                <w:i w:val="0"/>
                <w:sz w:val="18"/>
              </w:rPr>
              <w:t>3</w:t>
            </w:r>
          </w:p>
        </w:tc>
        <w:tc>
          <w:tcPr>
            <w:tcW w:type="dxa" w:w="7056"/>
          </w:tcPr>
          <w:p>
            <w:pPr>
              <w:spacing w:after="20"/>
            </w:pPr>
            <w:r/>
            <w:r>
              <w:rPr>
                <w:b w:val="0"/>
                <w:i w:val="0"/>
                <w:sz w:val="18"/>
              </w:rPr>
              <w:t>Confirm Chakrabarti service date and any extension stipulation; prepare a Rule 37(c)(1) / Daubert motion</w:t>
            </w:r>
          </w:p>
        </w:tc>
        <w:tc>
          <w:tcPr>
            <w:tcW w:type="dxa" w:w="2448"/>
          </w:tcPr>
          <w:p>
            <w:pPr>
              <w:spacing w:after="20"/>
            </w:pPr>
            <w:r/>
            <w:r>
              <w:rPr>
                <w:b w:val="0"/>
                <w:i w:val="0"/>
                <w:sz w:val="18"/>
              </w:rPr>
              <w:t>Before Jan. 31, 2025</w:t>
            </w:r>
          </w:p>
        </w:tc>
        <w:tc>
          <w:tcPr>
            <w:tcW w:type="dxa" w:w="3312"/>
          </w:tcPr>
          <w:p>
            <w:pPr>
              <w:spacing w:after="20"/>
            </w:pPr>
            <w:r/>
            <w:r>
              <w:rPr>
                <w:b w:val="0"/>
                <w:i w:val="0"/>
                <w:sz w:val="18"/>
              </w:rPr>
              <w:t>Exclude or limit $5.8M lost profits and mitigation</w:t>
            </w:r>
          </w:p>
        </w:tc>
      </w:tr>
      <w:tr>
        <w:tc>
          <w:tcPr>
            <w:tcW w:type="dxa" w:w="1008"/>
          </w:tcPr>
          <w:p>
            <w:pPr>
              <w:spacing w:after="20"/>
            </w:pPr>
            <w:r/>
            <w:r>
              <w:rPr>
                <w:b w:val="0"/>
                <w:i w:val="0"/>
                <w:sz w:val="18"/>
              </w:rPr>
              <w:t>4</w:t>
            </w:r>
          </w:p>
        </w:tc>
        <w:tc>
          <w:tcPr>
            <w:tcW w:type="dxa" w:w="7056"/>
          </w:tcPr>
          <w:p>
            <w:pPr>
              <w:spacing w:after="20"/>
            </w:pPr>
            <w:r/>
            <w:r>
              <w:rPr>
                <w:b w:val="0"/>
                <w:i w:val="0"/>
                <w:sz w:val="18"/>
              </w:rPr>
              <w:t>Serve a damages rebuttal report (one-year horizon; recomputed NPV; §12 cap; mitigation)</w:t>
            </w:r>
          </w:p>
        </w:tc>
        <w:tc>
          <w:tcPr>
            <w:tcW w:type="dxa" w:w="2448"/>
          </w:tcPr>
          <w:p>
            <w:pPr>
              <w:spacing w:after="20"/>
            </w:pPr>
            <w:r/>
            <w:r>
              <w:rPr>
                <w:b w:val="0"/>
                <w:i w:val="0"/>
                <w:sz w:val="18"/>
              </w:rPr>
              <w:t>Dec. 20, 2024</w:t>
            </w:r>
          </w:p>
        </w:tc>
        <w:tc>
          <w:tcPr>
            <w:tcW w:type="dxa" w:w="3312"/>
          </w:tcPr>
          <w:p>
            <w:pPr>
              <w:spacing w:after="20"/>
            </w:pPr>
            <w:r/>
            <w:r>
              <w:rPr>
                <w:b w:val="0"/>
                <w:i w:val="0"/>
                <w:sz w:val="18"/>
              </w:rPr>
              <w:t>Foundation for partial SJ on damages</w:t>
            </w:r>
          </w:p>
        </w:tc>
      </w:tr>
      <w:tr>
        <w:tc>
          <w:tcPr>
            <w:tcW w:type="dxa" w:w="1008"/>
          </w:tcPr>
          <w:p>
            <w:pPr>
              <w:spacing w:after="20"/>
            </w:pPr>
            <w:r/>
            <w:r>
              <w:rPr>
                <w:b w:val="0"/>
                <w:i w:val="0"/>
                <w:sz w:val="18"/>
              </w:rPr>
              <w:t>5</w:t>
            </w:r>
          </w:p>
        </w:tc>
        <w:tc>
          <w:tcPr>
            <w:tcW w:type="dxa" w:w="7056"/>
          </w:tcPr>
          <w:p>
            <w:pPr>
              <w:spacing w:after="20"/>
            </w:pPr>
            <w:r/>
            <w:r>
              <w:rPr>
                <w:b w:val="0"/>
                <w:i w:val="0"/>
                <w:sz w:val="18"/>
              </w:rPr>
              <w:t>Prepare and defend the Stanton deposition; locate documented "field feedback" on quality</w:t>
            </w:r>
          </w:p>
        </w:tc>
        <w:tc>
          <w:tcPr>
            <w:tcW w:type="dxa" w:w="2448"/>
          </w:tcPr>
          <w:p>
            <w:pPr>
              <w:spacing w:after="20"/>
            </w:pPr>
            <w:r/>
            <w:r>
              <w:rPr>
                <w:b w:val="0"/>
                <w:i w:val="0"/>
                <w:sz w:val="18"/>
              </w:rPr>
              <w:t>Before Jan. 15, 2025</w:t>
            </w:r>
          </w:p>
        </w:tc>
        <w:tc>
          <w:tcPr>
            <w:tcW w:type="dxa" w:w="3312"/>
          </w:tcPr>
          <w:p>
            <w:pPr>
              <w:spacing w:after="20"/>
            </w:pPr>
            <w:r/>
            <w:r>
              <w:rPr>
                <w:b w:val="0"/>
                <w:i w:val="0"/>
                <w:sz w:val="18"/>
              </w:rPr>
              <w:t>Only realistic support for a good-faith QA narrative</w:t>
            </w:r>
          </w:p>
        </w:tc>
      </w:tr>
      <w:tr>
        <w:tc>
          <w:tcPr>
            <w:tcW w:type="dxa" w:w="1008"/>
          </w:tcPr>
          <w:p>
            <w:pPr>
              <w:spacing w:after="20"/>
            </w:pPr>
            <w:r/>
            <w:r>
              <w:rPr>
                <w:b w:val="0"/>
                <w:i w:val="0"/>
                <w:sz w:val="18"/>
              </w:rPr>
              <w:t>6</w:t>
            </w:r>
          </w:p>
        </w:tc>
        <w:tc>
          <w:tcPr>
            <w:tcW w:type="dxa" w:w="7056"/>
          </w:tcPr>
          <w:p>
            <w:pPr>
              <w:spacing w:after="20"/>
            </w:pPr>
            <w:r/>
            <w:r>
              <w:rPr>
                <w:b w:val="0"/>
                <w:i w:val="0"/>
                <w:sz w:val="18"/>
              </w:rPr>
              <w:t>Subpoena/depose Yee and Cascade records</w:t>
            </w:r>
          </w:p>
        </w:tc>
        <w:tc>
          <w:tcPr>
            <w:tcW w:type="dxa" w:w="2448"/>
          </w:tcPr>
          <w:p>
            <w:pPr>
              <w:spacing w:after="20"/>
            </w:pPr>
            <w:r/>
            <w:r>
              <w:rPr>
                <w:b w:val="0"/>
                <w:i w:val="0"/>
                <w:sz w:val="18"/>
              </w:rPr>
              <w:t>Before Jan. 15, 2025</w:t>
            </w:r>
          </w:p>
        </w:tc>
        <w:tc>
          <w:tcPr>
            <w:tcW w:type="dxa" w:w="3312"/>
          </w:tcPr>
          <w:p>
            <w:pPr>
              <w:spacing w:after="20"/>
            </w:pPr>
            <w:r/>
            <w:r>
              <w:rPr>
                <w:b w:val="0"/>
                <w:i w:val="0"/>
                <w:sz w:val="18"/>
              </w:rPr>
              <w:t>Quantify diversion; test interference accounts</w:t>
            </w:r>
          </w:p>
        </w:tc>
      </w:tr>
      <w:tr>
        <w:tc>
          <w:tcPr>
            <w:tcW w:type="dxa" w:w="1008"/>
          </w:tcPr>
          <w:p>
            <w:pPr>
              <w:spacing w:after="20"/>
            </w:pPr>
            <w:r/>
            <w:r>
              <w:rPr>
                <w:b w:val="0"/>
                <w:i w:val="0"/>
                <w:sz w:val="18"/>
              </w:rPr>
              <w:t>7</w:t>
            </w:r>
          </w:p>
        </w:tc>
        <w:tc>
          <w:tcPr>
            <w:tcW w:type="dxa" w:w="7056"/>
          </w:tcPr>
          <w:p>
            <w:pPr>
              <w:spacing w:after="20"/>
            </w:pPr>
            <w:r/>
            <w:r>
              <w:rPr>
                <w:b w:val="0"/>
                <w:i w:val="0"/>
                <w:sz w:val="18"/>
              </w:rPr>
              <w:t>Authenticate the QA Log (native file, metadata, LIMS records, individual rejection notices, certificates of analysis)</w:t>
            </w:r>
          </w:p>
        </w:tc>
        <w:tc>
          <w:tcPr>
            <w:tcW w:type="dxa" w:w="2448"/>
          </w:tcPr>
          <w:p>
            <w:pPr>
              <w:spacing w:after="20"/>
            </w:pPr>
            <w:r/>
            <w:r>
              <w:rPr>
                <w:b w:val="0"/>
                <w:i w:val="0"/>
                <w:sz w:val="18"/>
              </w:rPr>
              <w:t>Before Jan. 15, 2025</w:t>
            </w:r>
          </w:p>
        </w:tc>
        <w:tc>
          <w:tcPr>
            <w:tcW w:type="dxa" w:w="3312"/>
          </w:tcPr>
          <w:p>
            <w:pPr>
              <w:spacing w:after="20"/>
            </w:pPr>
            <w:r/>
            <w:r>
              <w:rPr>
                <w:b w:val="0"/>
                <w:i w:val="0"/>
                <w:sz w:val="18"/>
              </w:rPr>
              <w:t>Resolve Section 5 #1–#7 conflicts</w:t>
            </w:r>
          </w:p>
        </w:tc>
      </w:tr>
      <w:tr>
        <w:tc>
          <w:tcPr>
            <w:tcW w:type="dxa" w:w="1008"/>
          </w:tcPr>
          <w:p>
            <w:pPr>
              <w:spacing w:after="20"/>
            </w:pPr>
            <w:r/>
            <w:r>
              <w:rPr>
                <w:b w:val="0"/>
                <w:i w:val="0"/>
                <w:sz w:val="18"/>
              </w:rPr>
              <w:t>8</w:t>
            </w:r>
          </w:p>
        </w:tc>
        <w:tc>
          <w:tcPr>
            <w:tcW w:type="dxa" w:w="7056"/>
          </w:tcPr>
          <w:p>
            <w:pPr>
              <w:spacing w:after="20"/>
            </w:pPr>
            <w:r/>
            <w:r>
              <w:rPr>
                <w:b w:val="0"/>
                <w:i w:val="0"/>
                <w:sz w:val="18"/>
              </w:rPr>
              <w:t>Pull the Year 3 sales ledger and commission statements by month; reconcile the $4.27M / $5.6M / $5.8M figures; identify post-Feb. 15 shipment redirections</w:t>
            </w:r>
          </w:p>
        </w:tc>
        <w:tc>
          <w:tcPr>
            <w:tcW w:type="dxa" w:w="2448"/>
          </w:tcPr>
          <w:p>
            <w:pPr>
              <w:spacing w:after="20"/>
            </w:pPr>
            <w:r/>
            <w:r>
              <w:rPr>
                <w:b w:val="0"/>
                <w:i w:val="0"/>
                <w:sz w:val="18"/>
              </w:rPr>
              <w:t>Before Jan. 15, 2025</w:t>
            </w:r>
          </w:p>
        </w:tc>
        <w:tc>
          <w:tcPr>
            <w:tcW w:type="dxa" w:w="3312"/>
          </w:tcPr>
          <w:p>
            <w:pPr>
              <w:spacing w:after="20"/>
            </w:pPr>
            <w:r/>
            <w:r>
              <w:rPr>
                <w:b w:val="0"/>
                <w:i w:val="0"/>
                <w:sz w:val="18"/>
              </w:rPr>
              <w:t>Counterclaim credibility; §12.2 cap computation</w:t>
            </w:r>
          </w:p>
        </w:tc>
      </w:tr>
      <w:tr>
        <w:tc>
          <w:tcPr>
            <w:tcW w:type="dxa" w:w="1008"/>
          </w:tcPr>
          <w:p>
            <w:pPr>
              <w:spacing w:after="20"/>
            </w:pPr>
            <w:r/>
            <w:r>
              <w:rPr>
                <w:b w:val="0"/>
                <w:i w:val="0"/>
                <w:sz w:val="18"/>
              </w:rPr>
              <w:t>9</w:t>
            </w:r>
          </w:p>
        </w:tc>
        <w:tc>
          <w:tcPr>
            <w:tcW w:type="dxa" w:w="7056"/>
          </w:tcPr>
          <w:p>
            <w:pPr>
              <w:spacing w:after="20"/>
            </w:pPr>
            <w:r/>
            <w:r>
              <w:rPr>
                <w:b w:val="0"/>
                <w:i w:val="0"/>
                <w:sz w:val="18"/>
              </w:rPr>
              <w:t>Confirm the certified-mail receipt date of the NMB (§14.4)</w:t>
            </w:r>
          </w:p>
        </w:tc>
        <w:tc>
          <w:tcPr>
            <w:tcW w:type="dxa" w:w="2448"/>
          </w:tcPr>
          <w:p>
            <w:pPr>
              <w:spacing w:after="20"/>
            </w:pPr>
            <w:r/>
            <w:r>
              <w:rPr>
                <w:b w:val="0"/>
                <w:i w:val="0"/>
                <w:sz w:val="18"/>
              </w:rPr>
              <w:t>Before Jan. 15, 2025</w:t>
            </w:r>
          </w:p>
        </w:tc>
        <w:tc>
          <w:tcPr>
            <w:tcW w:type="dxa" w:w="3312"/>
          </w:tcPr>
          <w:p>
            <w:pPr>
              <w:spacing w:after="20"/>
            </w:pPr>
            <w:r/>
            <w:r>
              <w:rPr>
                <w:b w:val="0"/>
                <w:i w:val="0"/>
                <w:sz w:val="18"/>
              </w:rPr>
              <w:t>Cure-period computation</w:t>
            </w:r>
          </w:p>
        </w:tc>
      </w:tr>
      <w:tr>
        <w:tc>
          <w:tcPr>
            <w:tcW w:type="dxa" w:w="1008"/>
          </w:tcPr>
          <w:p>
            <w:pPr>
              <w:spacing w:after="20"/>
            </w:pPr>
            <w:r/>
            <w:r>
              <w:rPr>
                <w:b w:val="0"/>
                <w:i w:val="0"/>
                <w:sz w:val="18"/>
              </w:rPr>
              <w:t>10</w:t>
            </w:r>
          </w:p>
        </w:tc>
        <w:tc>
          <w:tcPr>
            <w:tcW w:type="dxa" w:w="7056"/>
          </w:tcPr>
          <w:p>
            <w:pPr>
              <w:spacing w:after="20"/>
            </w:pPr>
            <w:r/>
            <w:r>
              <w:rPr>
                <w:b w:val="0"/>
                <w:i w:val="0"/>
                <w:sz w:val="18"/>
              </w:rPr>
              <w:t>Preservation audit and custodian declarations (Holcomb, Stanton, finance "general distribution codes")</w:t>
            </w:r>
          </w:p>
        </w:tc>
        <w:tc>
          <w:tcPr>
            <w:tcW w:type="dxa" w:w="2448"/>
          </w:tcPr>
          <w:p>
            <w:pPr>
              <w:spacing w:after="20"/>
            </w:pPr>
            <w:r/>
            <w:r>
              <w:rPr>
                <w:b w:val="0"/>
                <w:i w:val="0"/>
                <w:sz w:val="18"/>
              </w:rPr>
              <w:t>Before Jan. 15, 2025</w:t>
            </w:r>
          </w:p>
        </w:tc>
        <w:tc>
          <w:tcPr>
            <w:tcW w:type="dxa" w:w="3312"/>
          </w:tcPr>
          <w:p>
            <w:pPr>
              <w:spacing w:after="20"/>
            </w:pPr>
            <w:r/>
            <w:r>
              <w:rPr>
                <w:b w:val="0"/>
                <w:i w:val="0"/>
                <w:sz w:val="18"/>
              </w:rPr>
              <w:t>Defend against Rule 37(e)</w:t>
            </w:r>
          </w:p>
        </w:tc>
      </w:tr>
      <w:tr>
        <w:tc>
          <w:tcPr>
            <w:tcW w:type="dxa" w:w="1008"/>
          </w:tcPr>
          <w:p>
            <w:pPr>
              <w:spacing w:after="20"/>
            </w:pPr>
            <w:r/>
            <w:r>
              <w:rPr>
                <w:b w:val="0"/>
                <w:i w:val="0"/>
                <w:sz w:val="18"/>
              </w:rPr>
              <w:t>11</w:t>
            </w:r>
          </w:p>
        </w:tc>
        <w:tc>
          <w:tcPr>
            <w:tcW w:type="dxa" w:w="7056"/>
          </w:tcPr>
          <w:p>
            <w:pPr>
              <w:spacing w:after="20"/>
            </w:pPr>
            <w:r/>
            <w:r>
              <w:rPr>
                <w:b w:val="0"/>
                <w:i w:val="0"/>
                <w:sz w:val="18"/>
              </w:rPr>
              <w:t>Decide the motion package: partial SJ on (a) tortious interference; (b) fraud reliance/damages; (c) lost future profits limited to the one-year Renewal Term; (d) §§12.1/12.2 limitation; (e) no contractual fee entitlement. Withdraw the limitations, 9(b), waiver and unclean-hands defenses; narrow or dismiss the counterclaim</w:t>
            </w:r>
          </w:p>
        </w:tc>
        <w:tc>
          <w:tcPr>
            <w:tcW w:type="dxa" w:w="2448"/>
          </w:tcPr>
          <w:p>
            <w:pPr>
              <w:spacing w:after="20"/>
            </w:pPr>
            <w:r/>
            <w:r>
              <w:rPr>
                <w:b w:val="0"/>
                <w:i w:val="0"/>
                <w:sz w:val="18"/>
              </w:rPr>
              <w:t>Draft by Feb. 14; file by Feb. 28, 2025</w:t>
            </w:r>
          </w:p>
        </w:tc>
        <w:tc>
          <w:tcPr>
            <w:tcW w:type="dxa" w:w="3312"/>
          </w:tcPr>
          <w:p>
            <w:pPr>
              <w:spacing w:after="20"/>
            </w:pPr>
            <w:r/>
            <w:r>
              <w:rPr>
                <w:b w:val="0"/>
                <w:i w:val="0"/>
                <w:sz w:val="18"/>
              </w:rPr>
              <w:t>Focus on winnable issues; preserve credibility</w:t>
            </w:r>
          </w:p>
        </w:tc>
      </w:tr>
      <w:tr>
        <w:tc>
          <w:tcPr>
            <w:tcW w:type="dxa" w:w="1008"/>
          </w:tcPr>
          <w:p>
            <w:pPr>
              <w:spacing w:after="20"/>
            </w:pPr>
            <w:r/>
            <w:r>
              <w:rPr>
                <w:b w:val="0"/>
                <w:i w:val="0"/>
                <w:sz w:val="18"/>
              </w:rPr>
              <w:t>12</w:t>
            </w:r>
          </w:p>
        </w:tc>
        <w:tc>
          <w:tcPr>
            <w:tcW w:type="dxa" w:w="7056"/>
          </w:tcPr>
          <w:p>
            <w:pPr>
              <w:spacing w:after="20"/>
            </w:pPr>
            <w:r/>
            <w:r>
              <w:rPr>
                <w:b w:val="0"/>
                <w:i w:val="0"/>
                <w:sz w:val="18"/>
              </w:rPr>
              <w:t>Prepare the opposition framework for the expected Harborview cross-motion (exclusivity liability; §9.2 premature notice; prevention defeating the counterclaim)</w:t>
            </w:r>
          </w:p>
        </w:tc>
        <w:tc>
          <w:tcPr>
            <w:tcW w:type="dxa" w:w="2448"/>
          </w:tcPr>
          <w:p>
            <w:pPr>
              <w:spacing w:after="20"/>
            </w:pPr>
            <w:r/>
            <w:r>
              <w:rPr>
                <w:b w:val="0"/>
                <w:i w:val="0"/>
                <w:sz w:val="18"/>
              </w:rPr>
              <w:t>Opposition due ≈ 21 days after service</w:t>
            </w:r>
          </w:p>
        </w:tc>
        <w:tc>
          <w:tcPr>
            <w:tcW w:type="dxa" w:w="3312"/>
          </w:tcPr>
          <w:p>
            <w:pPr>
              <w:spacing w:after="20"/>
            </w:pPr>
            <w:r/>
            <w:r>
              <w:rPr>
                <w:b w:val="0"/>
                <w:i w:val="0"/>
                <w:sz w:val="18"/>
              </w:rPr>
              <w:t>Identify genuine disputes (Harborview's actual miss; Stanton's quality rationale; H-2201/H-2226/H-2233 legitimacy)</w:t>
            </w:r>
          </w:p>
        </w:tc>
      </w:tr>
      <w:tr>
        <w:tc>
          <w:tcPr>
            <w:tcW w:type="dxa" w:w="1008"/>
          </w:tcPr>
          <w:p>
            <w:pPr>
              <w:spacing w:after="20"/>
            </w:pPr>
            <w:r/>
            <w:r>
              <w:rPr>
                <w:b w:val="0"/>
                <w:i w:val="0"/>
                <w:sz w:val="18"/>
              </w:rPr>
              <w:t>13</w:t>
            </w:r>
          </w:p>
        </w:tc>
        <w:tc>
          <w:tcPr>
            <w:tcW w:type="dxa" w:w="7056"/>
          </w:tcPr>
          <w:p>
            <w:pPr>
              <w:spacing w:after="20"/>
            </w:pPr>
            <w:r/>
            <w:r>
              <w:rPr>
                <w:b w:val="0"/>
                <w:i w:val="0"/>
                <w:sz w:val="18"/>
              </w:rPr>
              <w:t>Mediation valuation memo using the SJ damages analysis</w:t>
            </w:r>
          </w:p>
        </w:tc>
        <w:tc>
          <w:tcPr>
            <w:tcW w:type="dxa" w:w="2448"/>
          </w:tcPr>
          <w:p>
            <w:pPr>
              <w:spacing w:after="20"/>
            </w:pPr>
            <w:r/>
            <w:r>
              <w:rPr>
                <w:b w:val="0"/>
                <w:i w:val="0"/>
                <w:sz w:val="18"/>
              </w:rPr>
              <w:t>Before Apr. 15, 2025</w:t>
            </w:r>
          </w:p>
        </w:tc>
        <w:tc>
          <w:tcPr>
            <w:tcW w:type="dxa" w:w="3312"/>
          </w:tcPr>
          <w:p>
            <w:pPr>
              <w:spacing w:after="20"/>
            </w:pPr>
            <w:r/>
            <w:r>
              <w:rPr>
                <w:b w:val="0"/>
                <w:i w:val="0"/>
                <w:sz w:val="18"/>
              </w:rPr>
              <w:t>Settlement leverage</w:t>
            </w:r>
          </w:p>
        </w:tc>
      </w:tr>
    </w:tbl>
    <w:p>
      <w:pPr>
        <w:spacing w:after="40"/>
      </w:pPr>
    </w:p>
    <w:p>
      <w:pPr>
        <w:spacing w:after="80"/>
      </w:pPr>
    </w:p>
    <w:p>
      <w:pPr>
        <w:spacing w:after="80"/>
      </w:pPr>
      <w:r>
        <w:rPr>
          <w:b w:val="0"/>
          <w:i/>
          <w:sz w:val="17"/>
        </w:rPr>
        <w:t>Note on method: All dates, quotations and figures are taken from the fifteen documents in the file. Where sources conflict, both versions are shown and the conflict is flagged rather than resolved. Figures marked as derived (for example, implied cure-period purchases and the recomputed NPV) are counsel's arithmetic from the stated inputs and should be confirmed with the damages consultant. Oregon-law propositions (implied covenant limits, interference with one's own contract, fraud standard of proof, ORS 20.096) are stated at a general level and should be cite-checked before briefing.</w:t>
      </w:r>
    </w:p>
    <w:sectPr w:rsidR="00FC693F" w:rsidRPr="0006063C" w:rsidSect="00034616">
      <w:headerReference w:type="default" r:id="rId9"/>
      <w:footerReference w:type="default" r:id="rId10"/>
      <w:pgSz w:w="15840" w:h="12240" w:orient="landscape"/>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Harborview v. Greenleaf, No. 3:24-cv-00613-MRH — Litigation Timeline &amp; SJ Annotations — Page </w:t>
    </w:r>
    <w:r>
      <w:rPr>
        <w:sz w:val="16"/>
      </w:rPr>
      <w:fldChar w:fldCharType="begin"/>
    </w:r>
    <w:r>
      <w:rPr>
        <w:sz w:val="16"/>
      </w:rPr>
      <w:instrText xml:space="preserve">PAGE</w:instrText>
    </w:r>
    <w:r>
      <w:rPr>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A00000"/>
        <w:sz w:val="16"/>
      </w:rPr>
      <w:t>PRIVILEGED &amp; CONFIDENTIAL — ATTORNEY WORK PRODUCT — PREPARED IN ANTICIPATION OF LITIGATION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