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ptos Display" w:hAnsi="Aptos Display"/>
          <w:b/>
          <w:color w:val="17365D"/>
          <w:sz w:val="48"/>
        </w:rPr>
        <w:t>Privilege Log</w:t>
      </w:r>
    </w:p>
    <w:p>
      <w:pPr>
        <w:spacing w:after="240"/>
      </w:pPr>
      <w:r>
        <w:rPr>
          <w:color w:val="187C80"/>
          <w:sz w:val="22"/>
        </w:rPr>
        <w:t>Withheld and redacted material in the 25-document production set</w:t>
      </w:r>
    </w:p>
    <w:p>
      <w:pPr>
        <w:spacing w:after="240"/>
      </w:pPr>
      <w:r>
        <w:rPr>
          <w:i/>
          <w:color w:val="5B6573"/>
          <w:sz w:val="18"/>
        </w:rPr>
        <w:t>Review scope: 25 supplied native documents • Matter: Vasquez v. Meridian Polymers, Inc.</w:t>
      </w:r>
    </w:p>
    <w:p>
      <w:r>
        <w:t>Review identifier note: The supplied files contain no Bates numbers. “RC-##” values are review identifiers cross-referenced to the relevance report, not production Bates numbers. Page counts are unavailable from the extracted review copies. Log descriptions are intentionally limited to avoid disclosing the substance of protected communications.</w:t>
      </w:r>
    </w:p>
    <w:p>
      <w:pPr>
        <w:pStyle w:val="Heading1"/>
      </w:pPr>
      <w:r>
        <w:t>Scope and privilege approach</w:t>
      </w:r>
    </w:p>
    <w:p>
      <w:r>
        <w:t>This log records seven documents with an apparent privilege or work-product claim, including mixed documents for which only identified portions are withheld. The review does not claim privilege over underlying facts, ordinary business records, a document merely labeled confidential, a communication merely copied to counsel, the Alderwood engagement/report, or business communications among nonlawyer employees. A common-interest claim for the Burrell–Greer thread is provisional and requires confirmation of its factual predicates.</w:t>
      </w:r>
    </w:p>
    <w:p>
      <w:pPr>
        <w:spacing w:after="160"/>
      </w:pPr>
      <w:r>
        <w:rPr>
          <w:b/>
          <w:color w:val="17365D"/>
        </w:rPr>
        <w:t xml:space="preserve">Disposition summary: </w:t>
      </w:r>
      <w:r>
        <w:t>3 items withheld in full or provisionally (PL-001, PL-002, PL-005); 4 mixed items redacted in part (PL-003, PL-004, PL-006, PL-007).</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1872"/>
            <w:shd w:fill="17365D"/>
            <w:tcMar>
              <w:top w:w="75" w:type="dxa"/>
              <w:start w:w="80" w:type="dxa"/>
              <w:bottom w:w="75" w:type="dxa"/>
              <w:end w:w="80" w:type="dxa"/>
            </w:tcMar>
          </w:tcPr>
          <w:p>
            <w:pPr>
              <w:spacing w:after="0"/>
            </w:pPr>
            <w:r>
              <w:rPr>
                <w:rFonts w:ascii="Aptos" w:hAnsi="Aptos"/>
                <w:b/>
                <w:color w:val="FFFFFF"/>
                <w:sz w:val="16"/>
              </w:rPr>
              <w:t>Log ID / Review ID</w:t>
            </w:r>
          </w:p>
        </w:tc>
        <w:tc>
          <w:tcPr>
            <w:tcW w:type="dxa" w:w="2376"/>
            <w:shd w:fill="17365D"/>
            <w:tcMar>
              <w:top w:w="75" w:type="dxa"/>
              <w:start w:w="80" w:type="dxa"/>
              <w:bottom w:w="75" w:type="dxa"/>
              <w:end w:w="80" w:type="dxa"/>
            </w:tcMar>
          </w:tcPr>
          <w:p>
            <w:pPr>
              <w:spacing w:after="0"/>
            </w:pPr>
            <w:r>
              <w:rPr>
                <w:rFonts w:ascii="Aptos" w:hAnsi="Aptos"/>
                <w:b/>
                <w:color w:val="FFFFFF"/>
                <w:sz w:val="16"/>
              </w:rPr>
              <w:t>Date; author / recipients</w:t>
            </w:r>
          </w:p>
        </w:tc>
        <w:tc>
          <w:tcPr>
            <w:tcW w:type="dxa" w:w="2304"/>
            <w:shd w:fill="17365D"/>
            <w:tcMar>
              <w:top w:w="75" w:type="dxa"/>
              <w:start w:w="80" w:type="dxa"/>
              <w:bottom w:w="75" w:type="dxa"/>
              <w:end w:w="80" w:type="dxa"/>
            </w:tcMar>
          </w:tcPr>
          <w:p>
            <w:pPr>
              <w:spacing w:after="0"/>
            </w:pPr>
            <w:r>
              <w:rPr>
                <w:rFonts w:ascii="Aptos" w:hAnsi="Aptos"/>
                <w:b/>
                <w:color w:val="FFFFFF"/>
                <w:sz w:val="16"/>
              </w:rPr>
              <w:t>Portion withheld</w:t>
            </w:r>
          </w:p>
        </w:tc>
        <w:tc>
          <w:tcPr>
            <w:tcW w:type="dxa" w:w="3240"/>
            <w:shd w:fill="17365D"/>
            <w:tcMar>
              <w:top w:w="75" w:type="dxa"/>
              <w:start w:w="80" w:type="dxa"/>
              <w:bottom w:w="75" w:type="dxa"/>
              <w:end w:w="80" w:type="dxa"/>
            </w:tcMar>
          </w:tcPr>
          <w:p>
            <w:pPr>
              <w:spacing w:after="0"/>
            </w:pPr>
            <w:r>
              <w:rPr>
                <w:rFonts w:ascii="Aptos" w:hAnsi="Aptos"/>
                <w:b/>
                <w:color w:val="FFFFFF"/>
                <w:sz w:val="16"/>
              </w:rPr>
              <w:t>General subject / nature</w:t>
            </w:r>
          </w:p>
        </w:tc>
        <w:tc>
          <w:tcPr>
            <w:tcW w:type="dxa" w:w="4320"/>
            <w:shd w:fill="17365D"/>
            <w:tcMar>
              <w:top w:w="75" w:type="dxa"/>
              <w:start w:w="80" w:type="dxa"/>
              <w:bottom w:w="75" w:type="dxa"/>
              <w:end w:w="80" w:type="dxa"/>
            </w:tcMar>
          </w:tcPr>
          <w:p>
            <w:pPr>
              <w:spacing w:after="0"/>
            </w:pPr>
            <w:r>
              <w:rPr>
                <w:rFonts w:ascii="Aptos" w:hAnsi="Aptos"/>
                <w:b/>
                <w:color w:val="FFFFFF"/>
                <w:sz w:val="16"/>
              </w:rPr>
              <w:t>Privilege basis and disposition</w:t>
            </w:r>
          </w:p>
        </w:tc>
      </w:tr>
      <w:tr>
        <w:trPr>
          <w:cantSplit/>
        </w:trPr>
        <w:tc>
          <w:tcPr>
            <w:tcW w:type="dxa" w:w="1872"/>
            <w:vAlign w:val="top"/>
            <w:tcMar>
              <w:top w:w="75" w:type="dxa"/>
              <w:start w:w="80" w:type="dxa"/>
              <w:bottom w:w="75" w:type="dxa"/>
              <w:end w:w="80" w:type="dxa"/>
            </w:tcMar>
            <w:shd w:fill="EAF1F8"/>
          </w:tcPr>
          <w:p>
            <w:pPr>
              <w:spacing w:after="0" w:line="240" w:lineRule="auto"/>
            </w:pPr>
            <w:r>
              <w:rPr>
                <w:rFonts w:ascii="Aptos" w:hAnsi="Aptos"/>
                <w:b/>
                <w:color w:val="17365D"/>
                <w:sz w:val="15"/>
              </w:rPr>
              <w:t>PL-001</w:t>
              <w:br/>
              <w:t>RC-13 | chandrasekaran-fwd-burrell-memo.eml</w:t>
            </w:r>
          </w:p>
        </w:tc>
        <w:tc>
          <w:tcPr>
            <w:tcW w:type="dxa" w:w="2376"/>
            <w:vAlign w:val="top"/>
            <w:tcMar>
              <w:top w:w="75" w:type="dxa"/>
              <w:start w:w="80" w:type="dxa"/>
              <w:bottom w:w="75" w:type="dxa"/>
              <w:end w:w="80" w:type="dxa"/>
            </w:tcMar>
          </w:tcPr>
          <w:p>
            <w:pPr>
              <w:spacing w:after="0" w:line="240" w:lineRule="auto"/>
            </w:pPr>
            <w:r>
              <w:rPr>
                <w:rFonts w:ascii="Aptos" w:hAnsi="Aptos"/>
                <w:color w:val="1F2937"/>
                <w:sz w:val="15"/>
              </w:rPr>
              <w:t>October 10, 2023</w:t>
              <w:br/>
              <w:t>Priya Chandrasekaran, General Counsel; to Derek Simmons, VP Operations</w:t>
            </w:r>
          </w:p>
        </w:tc>
        <w:tc>
          <w:tcPr>
            <w:tcW w:type="dxa" w:w="2304"/>
            <w:vAlign w:val="top"/>
            <w:tcMar>
              <w:top w:w="75" w:type="dxa"/>
              <w:start w:w="80" w:type="dxa"/>
              <w:bottom w:w="75" w:type="dxa"/>
              <w:end w:w="80" w:type="dxa"/>
            </w:tcMar>
          </w:tcPr>
          <w:p>
            <w:pPr>
              <w:spacing w:after="0" w:line="240" w:lineRule="auto"/>
            </w:pPr>
            <w:r>
              <w:rPr>
                <w:rFonts w:ascii="Aptos" w:hAnsi="Aptos"/>
                <w:color w:val="1F2937"/>
                <w:sz w:val="15"/>
              </w:rPr>
              <w:t>Entire email and forwarded summary; no attachment included in this file.</w:t>
            </w:r>
          </w:p>
        </w:tc>
        <w:tc>
          <w:tcPr>
            <w:tcW w:type="dxa" w:w="3240"/>
            <w:vAlign w:val="top"/>
            <w:tcMar>
              <w:top w:w="75" w:type="dxa"/>
              <w:start w:w="80" w:type="dxa"/>
              <w:bottom w:w="75" w:type="dxa"/>
              <w:end w:w="80" w:type="dxa"/>
            </w:tcMar>
          </w:tcPr>
          <w:p>
            <w:pPr>
              <w:spacing w:after="0" w:line="240" w:lineRule="auto"/>
            </w:pPr>
            <w:r>
              <w:rPr>
                <w:rFonts w:ascii="Aptos" w:hAnsi="Aptos"/>
                <w:color w:val="1F2937"/>
                <w:sz w:val="15"/>
              </w:rPr>
              <w:t>Internal transmission of GC’s summary of outside litigation counsel’s assessment and recommendations, sent to obtain operational input relevant to counsel’s advice and defense preparation.</w:t>
            </w:r>
          </w:p>
        </w:tc>
        <w:tc>
          <w:tcPr>
            <w:tcW w:type="dxa" w:w="4320"/>
            <w:vAlign w:val="top"/>
            <w:tcMar>
              <w:top w:w="75" w:type="dxa"/>
              <w:start w:w="80" w:type="dxa"/>
              <w:bottom w:w="75" w:type="dxa"/>
              <w:end w:w="80" w:type="dxa"/>
            </w:tcMar>
          </w:tcPr>
          <w:p>
            <w:pPr>
              <w:spacing w:after="0" w:line="240" w:lineRule="auto"/>
            </w:pPr>
            <w:r>
              <w:rPr>
                <w:rFonts w:ascii="Aptos" w:hAnsi="Aptos"/>
                <w:color w:val="1F2937"/>
                <w:sz w:val="15"/>
              </w:rPr>
              <w:t>Attorney-client communication; attorney work product. The communication concerns legal advice and litigation strategy in pending Vasquez litigation. Internal disclosure to the operations executive whose factual input is requested is asserted to remain within the corporate client.</w:t>
              <w:br/>
              <w:br/>
              <w:t>Disposition: Withhold in full. The separately referenced Burrell memorandum is not part of this item and should be logged separately if located.</w:t>
            </w:r>
          </w:p>
        </w:tc>
      </w:tr>
      <w:tr>
        <w:trPr>
          <w:cantSplit/>
        </w:trPr>
        <w:tc>
          <w:tcPr>
            <w:tcW w:type="dxa" w:w="1872"/>
            <w:vAlign w:val="top"/>
            <w:tcMar>
              <w:top w:w="75" w:type="dxa"/>
              <w:start w:w="80" w:type="dxa"/>
              <w:bottom w:w="75" w:type="dxa"/>
              <w:end w:w="80" w:type="dxa"/>
            </w:tcMar>
            <w:shd w:fill="EAF1F8"/>
          </w:tcPr>
          <w:p>
            <w:pPr>
              <w:spacing w:after="0" w:line="240" w:lineRule="auto"/>
            </w:pPr>
            <w:r>
              <w:rPr>
                <w:rFonts w:ascii="Aptos" w:hAnsi="Aptos"/>
                <w:b/>
                <w:color w:val="17365D"/>
                <w:sz w:val="15"/>
              </w:rPr>
              <w:t>PL-002</w:t>
              <w:br/>
              <w:t>RC-14 | burrell-stanton-joint-defense.eml</w:t>
            </w:r>
          </w:p>
        </w:tc>
        <w:tc>
          <w:tcPr>
            <w:tcW w:type="dxa" w:w="2376"/>
            <w:vAlign w:val="top"/>
            <w:tcMar>
              <w:top w:w="75" w:type="dxa"/>
              <w:start w:w="80" w:type="dxa"/>
              <w:bottom w:w="75" w:type="dxa"/>
              <w:end w:w="80" w:type="dxa"/>
            </w:tcMar>
          </w:tcPr>
          <w:p>
            <w:pPr>
              <w:spacing w:after="0" w:line="240" w:lineRule="auto"/>
            </w:pPr>
            <w:r>
              <w:rPr>
                <w:rFonts w:ascii="Aptos" w:hAnsi="Aptos"/>
                <w:color w:val="1F2937"/>
                <w:sz w:val="15"/>
              </w:rPr>
              <w:t>October 20, 2023 (thread includes prior message)</w:t>
              <w:br/>
              <w:t>Catherine Burrell, Meridian outside counsel; Alan Greer, counsel for Rajan Mehta</w:t>
            </w:r>
          </w:p>
        </w:tc>
        <w:tc>
          <w:tcPr>
            <w:tcW w:type="dxa" w:w="2304"/>
            <w:vAlign w:val="top"/>
            <w:tcMar>
              <w:top w:w="75" w:type="dxa"/>
              <w:start w:w="80" w:type="dxa"/>
              <w:bottom w:w="75" w:type="dxa"/>
              <w:end w:w="80" w:type="dxa"/>
            </w:tcMar>
          </w:tcPr>
          <w:p>
            <w:pPr>
              <w:spacing w:after="0" w:line="240" w:lineRule="auto"/>
            </w:pPr>
            <w:r>
              <w:rPr>
                <w:rFonts w:ascii="Aptos" w:hAnsi="Aptos"/>
                <w:color w:val="1F2937"/>
                <w:sz w:val="15"/>
              </w:rPr>
              <w:t>Entire two-counsel email thread.</w:t>
            </w:r>
          </w:p>
        </w:tc>
        <w:tc>
          <w:tcPr>
            <w:tcW w:type="dxa" w:w="3240"/>
            <w:vAlign w:val="top"/>
            <w:tcMar>
              <w:top w:w="75" w:type="dxa"/>
              <w:start w:w="80" w:type="dxa"/>
              <w:bottom w:w="75" w:type="dxa"/>
              <w:end w:w="80" w:type="dxa"/>
            </w:tcMar>
          </w:tcPr>
          <w:p>
            <w:pPr>
              <w:spacing w:after="0" w:line="240" w:lineRule="auto"/>
            </w:pPr>
            <w:r>
              <w:rPr>
                <w:rFonts w:ascii="Aptos" w:hAnsi="Aptos"/>
                <w:color w:val="1F2937"/>
                <w:sz w:val="15"/>
              </w:rPr>
              <w:t>Counsel-to-counsel discussion of overlapping inventorship/trade-secret issues, aligned defense positions, deposition preparation, discovery, and continuation claims.</w:t>
            </w:r>
          </w:p>
        </w:tc>
        <w:tc>
          <w:tcPr>
            <w:tcW w:type="dxa" w:w="4320"/>
            <w:vAlign w:val="top"/>
            <w:tcMar>
              <w:top w:w="75" w:type="dxa"/>
              <w:start w:w="80" w:type="dxa"/>
              <w:bottom w:w="75" w:type="dxa"/>
              <w:end w:w="80" w:type="dxa"/>
            </w:tcMar>
          </w:tcPr>
          <w:p>
            <w:pPr>
              <w:spacing w:after="0" w:line="240" w:lineRule="auto"/>
            </w:pPr>
            <w:r>
              <w:rPr>
                <w:rFonts w:ascii="Aptos" w:hAnsi="Aptos"/>
                <w:color w:val="1F2937"/>
                <w:sz w:val="15"/>
              </w:rPr>
              <w:t>Common-interest/joint-defense protection and work product are asserted provisionally. The record reflects aligned legal interests concerning the inventorship claims; the produced set contains no written joint-defense agreement.</w:t>
              <w:br/>
              <w:br/>
              <w:t>Disposition: Withhold provisionally. Confirm the attorney-client relationships, shared legal (not merely commercial) interest, confidentiality, and any common-interest arrangement. If those elements cannot be established, reassess and consider production; the common-interest doctrine is not automatic.</w:t>
            </w:r>
          </w:p>
        </w:tc>
      </w:tr>
      <w:tr>
        <w:trPr>
          <w:cantSplit/>
        </w:trPr>
        <w:tc>
          <w:tcPr>
            <w:tcW w:type="dxa" w:w="1872"/>
            <w:vAlign w:val="top"/>
            <w:tcMar>
              <w:top w:w="75" w:type="dxa"/>
              <w:start w:w="80" w:type="dxa"/>
              <w:bottom w:w="75" w:type="dxa"/>
              <w:end w:w="80" w:type="dxa"/>
            </w:tcMar>
            <w:shd w:fill="EAF1F8"/>
          </w:tcPr>
          <w:p>
            <w:pPr>
              <w:spacing w:after="0" w:line="240" w:lineRule="auto"/>
            </w:pPr>
            <w:r>
              <w:rPr>
                <w:rFonts w:ascii="Aptos" w:hAnsi="Aptos"/>
                <w:b/>
                <w:color w:val="17365D"/>
                <w:sz w:val="15"/>
              </w:rPr>
              <w:t>PL-003</w:t>
              <w:br/>
              <w:t>RC-17 | board-minutes-april2023.docx</w:t>
            </w:r>
          </w:p>
        </w:tc>
        <w:tc>
          <w:tcPr>
            <w:tcW w:type="dxa" w:w="2376"/>
            <w:vAlign w:val="top"/>
            <w:tcMar>
              <w:top w:w="75" w:type="dxa"/>
              <w:start w:w="80" w:type="dxa"/>
              <w:bottom w:w="75" w:type="dxa"/>
              <w:end w:w="80" w:type="dxa"/>
            </w:tcMar>
          </w:tcPr>
          <w:p>
            <w:pPr>
              <w:spacing w:after="0" w:line="240" w:lineRule="auto"/>
            </w:pPr>
            <w:r>
              <w:rPr>
                <w:rFonts w:ascii="Aptos" w:hAnsi="Aptos"/>
                <w:color w:val="1F2937"/>
                <w:sz w:val="15"/>
              </w:rPr>
              <w:t>April 18, 2023</w:t>
              <w:br/>
              <w:t>Priya Chandrasekaran, Corporate Secretary; Board of Directors; Catherine Burrell, outside counsel, present for M&amp;A sections</w:t>
            </w:r>
          </w:p>
        </w:tc>
        <w:tc>
          <w:tcPr>
            <w:tcW w:type="dxa" w:w="2304"/>
            <w:vAlign w:val="top"/>
            <w:tcMar>
              <w:top w:w="75" w:type="dxa"/>
              <w:start w:w="80" w:type="dxa"/>
              <w:bottom w:w="75" w:type="dxa"/>
              <w:end w:w="80" w:type="dxa"/>
            </w:tcMar>
          </w:tcPr>
          <w:p>
            <w:pPr>
              <w:spacing w:after="0" w:line="240" w:lineRule="auto"/>
            </w:pPr>
            <w:r>
              <w:rPr>
                <w:rFonts w:ascii="Aptos" w:hAnsi="Aptos"/>
                <w:color w:val="1F2937"/>
                <w:sz w:val="15"/>
              </w:rPr>
              <w:t>Limited portions of §§5.1–5.2 and counsel-advice portions of §6 only. Remaining business minutes are not logged.</w:t>
            </w:r>
          </w:p>
        </w:tc>
        <w:tc>
          <w:tcPr>
            <w:tcW w:type="dxa" w:w="3240"/>
            <w:vAlign w:val="top"/>
            <w:tcMar>
              <w:top w:w="75" w:type="dxa"/>
              <w:start w:w="80" w:type="dxa"/>
              <w:bottom w:w="75" w:type="dxa"/>
              <w:end w:w="80" w:type="dxa"/>
            </w:tcMar>
          </w:tcPr>
          <w:p>
            <w:pPr>
              <w:spacing w:after="0" w:line="240" w:lineRule="auto"/>
            </w:pPr>
            <w:r>
              <w:rPr>
                <w:rFonts w:ascii="Aptos" w:hAnsi="Aptos"/>
                <w:color w:val="1F2937"/>
                <w:sz w:val="15"/>
              </w:rPr>
              <w:t>Confidential Board-level discussion of outside counsel’s legal due-diligence advice concerning the unrelated Polychem Industries acquisition.</w:t>
            </w:r>
          </w:p>
        </w:tc>
        <w:tc>
          <w:tcPr>
            <w:tcW w:type="dxa" w:w="4320"/>
            <w:vAlign w:val="top"/>
            <w:tcMar>
              <w:top w:w="75" w:type="dxa"/>
              <w:start w:w="80" w:type="dxa"/>
              <w:bottom w:w="75" w:type="dxa"/>
              <w:end w:w="80" w:type="dxa"/>
            </w:tcMar>
          </w:tcPr>
          <w:p>
            <w:pPr>
              <w:spacing w:after="0" w:line="240" w:lineRule="auto"/>
            </w:pPr>
            <w:r>
              <w:rPr>
                <w:rFonts w:ascii="Aptos" w:hAnsi="Aptos"/>
                <w:color w:val="1F2937"/>
                <w:sz w:val="15"/>
              </w:rPr>
              <w:t>Attorney-client privilege for confidential legal advice from outside counsel to the corporate client. No work-product claim is necessary to the extent the passages communicate counsel’s M&amp;A legal advice.</w:t>
              <w:br/>
              <w:br/>
              <w:t>Disposition: Redact only the identified counsel-advice passages if the minutes are otherwise responsive. These portions appear unrelated to the Vasquez claims; the balance is not withheld on privilege grounds.</w:t>
            </w:r>
          </w:p>
        </w:tc>
      </w:tr>
      <w:tr>
        <w:trPr>
          <w:cantSplit/>
        </w:trPr>
        <w:tc>
          <w:tcPr>
            <w:tcW w:type="dxa" w:w="1872"/>
            <w:vAlign w:val="top"/>
            <w:tcMar>
              <w:top w:w="75" w:type="dxa"/>
              <w:start w:w="80" w:type="dxa"/>
              <w:bottom w:w="75" w:type="dxa"/>
              <w:end w:w="80" w:type="dxa"/>
            </w:tcMar>
            <w:shd w:fill="EAF1F8"/>
          </w:tcPr>
          <w:p>
            <w:pPr>
              <w:spacing w:after="0" w:line="240" w:lineRule="auto"/>
            </w:pPr>
            <w:r>
              <w:rPr>
                <w:rFonts w:ascii="Aptos" w:hAnsi="Aptos"/>
                <w:b/>
                <w:color w:val="17365D"/>
                <w:sz w:val="15"/>
              </w:rPr>
              <w:t>PL-004</w:t>
              <w:br/>
              <w:t>RC-18 | bellworth-reply-adding-gc.eml</w:t>
            </w:r>
          </w:p>
        </w:tc>
        <w:tc>
          <w:tcPr>
            <w:tcW w:type="dxa" w:w="2376"/>
            <w:vAlign w:val="top"/>
            <w:tcMar>
              <w:top w:w="75" w:type="dxa"/>
              <w:start w:w="80" w:type="dxa"/>
              <w:bottom w:w="75" w:type="dxa"/>
              <w:end w:w="80" w:type="dxa"/>
            </w:tcMar>
          </w:tcPr>
          <w:p>
            <w:pPr>
              <w:spacing w:after="0" w:line="240" w:lineRule="auto"/>
            </w:pPr>
            <w:r>
              <w:rPr>
                <w:rFonts w:ascii="Aptos" w:hAnsi="Aptos"/>
                <w:color w:val="1F2937"/>
                <w:sz w:val="15"/>
              </w:rPr>
              <w:t>August 23, 2023 (thread also contains August 22 business email)</w:t>
              <w:br/>
              <w:t>Tanya Bellworth, Director of HR; to Derek Simmons, cc Priya Chandrasekaran; Priya reply to Tanya/Derek</w:t>
            </w:r>
          </w:p>
        </w:tc>
        <w:tc>
          <w:tcPr>
            <w:tcW w:type="dxa" w:w="2304"/>
            <w:vAlign w:val="top"/>
            <w:tcMar>
              <w:top w:w="75" w:type="dxa"/>
              <w:start w:w="80" w:type="dxa"/>
              <w:bottom w:w="75" w:type="dxa"/>
              <w:end w:w="80" w:type="dxa"/>
            </w:tcMar>
          </w:tcPr>
          <w:p>
            <w:pPr>
              <w:spacing w:after="0" w:line="240" w:lineRule="auto"/>
            </w:pPr>
            <w:r>
              <w:rPr>
                <w:rFonts w:ascii="Aptos" w:hAnsi="Aptos"/>
                <w:color w:val="1F2937"/>
                <w:sz w:val="15"/>
              </w:rPr>
              <w:t>August 23 HR message seeking legal guidance and GC’s response; not the embedded August 22 operational-metrics message.</w:t>
            </w:r>
          </w:p>
        </w:tc>
        <w:tc>
          <w:tcPr>
            <w:tcW w:type="dxa" w:w="3240"/>
            <w:vAlign w:val="top"/>
            <w:tcMar>
              <w:top w:w="75" w:type="dxa"/>
              <w:start w:w="80" w:type="dxa"/>
              <w:bottom w:w="75" w:type="dxa"/>
              <w:end w:w="80" w:type="dxa"/>
            </w:tcMar>
          </w:tcPr>
          <w:p>
            <w:pPr>
              <w:spacing w:after="0" w:line="240" w:lineRule="auto"/>
            </w:pPr>
            <w:r>
              <w:rPr>
                <w:rFonts w:ascii="Aptos" w:hAnsi="Aptos"/>
                <w:color w:val="1F2937"/>
                <w:sz w:val="15"/>
              </w:rPr>
              <w:t>HR requests counsel’s assessment of whether operational data supports contemplated employment action; GC directs the recipients to await legal review/advice.</w:t>
            </w:r>
          </w:p>
        </w:tc>
        <w:tc>
          <w:tcPr>
            <w:tcW w:type="dxa" w:w="4320"/>
            <w:vAlign w:val="top"/>
            <w:tcMar>
              <w:top w:w="75" w:type="dxa"/>
              <w:start w:w="80" w:type="dxa"/>
              <w:bottom w:w="75" w:type="dxa"/>
              <w:end w:w="80" w:type="dxa"/>
            </w:tcMar>
          </w:tcPr>
          <w:p>
            <w:pPr>
              <w:spacing w:after="0" w:line="240" w:lineRule="auto"/>
            </w:pPr>
            <w:r>
              <w:rPr>
                <w:rFonts w:ascii="Aptos" w:hAnsi="Aptos"/>
                <w:color w:val="1F2937"/>
                <w:sz w:val="15"/>
              </w:rPr>
              <w:t>Attorney-client communication seeking and conveying legal advice; work-product protection is also asserted to the extent the communications reflect legal preparation regarding anticipated employment claims.</w:t>
              <w:br/>
              <w:br/>
              <w:t>Disposition: Redact/withhold the August 23 legal-advice exchange only. Produce the August 22 business metrics message and underlying nonprivileged facts, subject to ordinary relevance/privacy review.</w:t>
            </w:r>
          </w:p>
        </w:tc>
      </w:tr>
      <w:tr>
        <w:trPr>
          <w:cantSplit/>
        </w:trPr>
        <w:tc>
          <w:tcPr>
            <w:tcW w:type="dxa" w:w="1872"/>
            <w:vAlign w:val="top"/>
            <w:tcMar>
              <w:top w:w="75" w:type="dxa"/>
              <w:start w:w="80" w:type="dxa"/>
              <w:bottom w:w="75" w:type="dxa"/>
              <w:end w:w="80" w:type="dxa"/>
            </w:tcMar>
            <w:shd w:fill="EAF1F8"/>
          </w:tcPr>
          <w:p>
            <w:pPr>
              <w:spacing w:after="0" w:line="240" w:lineRule="auto"/>
            </w:pPr>
            <w:r>
              <w:rPr>
                <w:rFonts w:ascii="Aptos" w:hAnsi="Aptos"/>
                <w:b/>
                <w:color w:val="17365D"/>
                <w:sz w:val="15"/>
              </w:rPr>
              <w:t>PL-005</w:t>
              <w:br/>
              <w:t>RC-19 | chandrasekaran-burrell-litrisik-email.eml</w:t>
            </w:r>
          </w:p>
        </w:tc>
        <w:tc>
          <w:tcPr>
            <w:tcW w:type="dxa" w:w="2376"/>
            <w:vAlign w:val="top"/>
            <w:tcMar>
              <w:top w:w="75" w:type="dxa"/>
              <w:start w:w="80" w:type="dxa"/>
              <w:bottom w:w="75" w:type="dxa"/>
              <w:end w:w="80" w:type="dxa"/>
            </w:tcMar>
          </w:tcPr>
          <w:p>
            <w:pPr>
              <w:spacing w:after="0" w:line="240" w:lineRule="auto"/>
            </w:pPr>
            <w:r>
              <w:rPr>
                <w:rFonts w:ascii="Aptos" w:hAnsi="Aptos"/>
                <w:color w:val="1F2937"/>
                <w:sz w:val="15"/>
              </w:rPr>
              <w:t>March 3, 2023</w:t>
              <w:br/>
              <w:t>Priya Chandrasekaran, General Counsel; to Catherine Burrell, outside counsel</w:t>
            </w:r>
          </w:p>
        </w:tc>
        <w:tc>
          <w:tcPr>
            <w:tcW w:type="dxa" w:w="2304"/>
            <w:vAlign w:val="top"/>
            <w:tcMar>
              <w:top w:w="75" w:type="dxa"/>
              <w:start w:w="80" w:type="dxa"/>
              <w:bottom w:w="75" w:type="dxa"/>
              <w:end w:w="80" w:type="dxa"/>
            </w:tcMar>
          </w:tcPr>
          <w:p>
            <w:pPr>
              <w:spacing w:after="0" w:line="240" w:lineRule="auto"/>
            </w:pPr>
            <w:r>
              <w:rPr>
                <w:rFonts w:ascii="Aptos" w:hAnsi="Aptos"/>
                <w:color w:val="1F2937"/>
                <w:sz w:val="15"/>
              </w:rPr>
              <w:t>Entire email.</w:t>
            </w:r>
          </w:p>
        </w:tc>
        <w:tc>
          <w:tcPr>
            <w:tcW w:type="dxa" w:w="3240"/>
            <w:vAlign w:val="top"/>
            <w:tcMar>
              <w:top w:w="75" w:type="dxa"/>
              <w:start w:w="80" w:type="dxa"/>
              <w:bottom w:w="75" w:type="dxa"/>
              <w:end w:w="80" w:type="dxa"/>
            </w:tcMar>
          </w:tcPr>
          <w:p>
            <w:pPr>
              <w:spacing w:after="0" w:line="240" w:lineRule="auto"/>
            </w:pPr>
            <w:r>
              <w:rPr>
                <w:rFonts w:ascii="Aptos" w:hAnsi="Aptos"/>
                <w:color w:val="1F2937"/>
                <w:sz w:val="15"/>
              </w:rPr>
              <w:t>GC requests counsel’s legal risk assessment of environmental regulatory exposure and potential whistleblower claims, and advice on how to structure a contemplated audit.</w:t>
            </w:r>
          </w:p>
        </w:tc>
        <w:tc>
          <w:tcPr>
            <w:tcW w:type="dxa" w:w="4320"/>
            <w:vAlign w:val="top"/>
            <w:tcMar>
              <w:top w:w="75" w:type="dxa"/>
              <w:start w:w="80" w:type="dxa"/>
              <w:bottom w:w="75" w:type="dxa"/>
              <w:end w:w="80" w:type="dxa"/>
            </w:tcMar>
          </w:tcPr>
          <w:p>
            <w:pPr>
              <w:spacing w:after="0" w:line="240" w:lineRule="auto"/>
            </w:pPr>
            <w:r>
              <w:rPr>
                <w:rFonts w:ascii="Aptos" w:hAnsi="Aptos"/>
                <w:color w:val="1F2937"/>
                <w:sz w:val="15"/>
              </w:rPr>
              <w:t>Attorney-client communication seeking legal advice; attorney work product in anticipation of potential regulatory/employment litigation. The request expressly frames possible adverse employment action and litigation exposure.</w:t>
              <w:br/>
              <w:br/>
              <w:t>Disposition: Withhold in full. The underlying environmental facts and later business audit records are not privileged merely because they were discussed with counsel.</w:t>
            </w:r>
          </w:p>
        </w:tc>
      </w:tr>
      <w:tr>
        <w:trPr>
          <w:cantSplit/>
        </w:trPr>
        <w:tc>
          <w:tcPr>
            <w:tcW w:type="dxa" w:w="1872"/>
            <w:vAlign w:val="top"/>
            <w:tcMar>
              <w:top w:w="75" w:type="dxa"/>
              <w:start w:w="80" w:type="dxa"/>
              <w:bottom w:w="75" w:type="dxa"/>
              <w:end w:w="80" w:type="dxa"/>
            </w:tcMar>
            <w:shd w:fill="EAF1F8"/>
          </w:tcPr>
          <w:p>
            <w:pPr>
              <w:spacing w:after="0" w:line="240" w:lineRule="auto"/>
            </w:pPr>
            <w:r>
              <w:rPr>
                <w:rFonts w:ascii="Aptos" w:hAnsi="Aptos"/>
                <w:b/>
                <w:color w:val="17365D"/>
                <w:sz w:val="15"/>
              </w:rPr>
              <w:t>PL-006</w:t>
              <w:br/>
              <w:t>RC-20 | litigation-hold-notice.docx</w:t>
            </w:r>
          </w:p>
        </w:tc>
        <w:tc>
          <w:tcPr>
            <w:tcW w:type="dxa" w:w="2376"/>
            <w:vAlign w:val="top"/>
            <w:tcMar>
              <w:top w:w="75" w:type="dxa"/>
              <w:start w:w="80" w:type="dxa"/>
              <w:bottom w:w="75" w:type="dxa"/>
              <w:end w:w="80" w:type="dxa"/>
            </w:tcMar>
          </w:tcPr>
          <w:p>
            <w:pPr>
              <w:spacing w:after="0" w:line="240" w:lineRule="auto"/>
            </w:pPr>
            <w:r>
              <w:rPr>
                <w:rFonts w:ascii="Aptos" w:hAnsi="Aptos"/>
                <w:color w:val="1F2937"/>
                <w:sz w:val="15"/>
              </w:rPr>
              <w:t>October 5, 2023</w:t>
              <w:br/>
              <w:t>Priya Chandrasekaran, General Counsel; to 12 identified company custodians; cc outside counsel</w:t>
            </w:r>
          </w:p>
        </w:tc>
        <w:tc>
          <w:tcPr>
            <w:tcW w:type="dxa" w:w="2304"/>
            <w:vAlign w:val="top"/>
            <w:tcMar>
              <w:top w:w="75" w:type="dxa"/>
              <w:start w:w="80" w:type="dxa"/>
              <w:bottom w:w="75" w:type="dxa"/>
              <w:end w:w="80" w:type="dxa"/>
            </w:tcMar>
          </w:tcPr>
          <w:p>
            <w:pPr>
              <w:spacing w:after="0" w:line="240" w:lineRule="auto"/>
            </w:pPr>
            <w:r>
              <w:rPr>
                <w:rFonts w:ascii="Aptos" w:hAnsi="Aptos"/>
                <w:color w:val="1F2937"/>
                <w:sz w:val="15"/>
              </w:rPr>
              <w:t>Sections 4 (“Assessment of Key Risk Areas”) and 5 (“Documents Most Critical to Our Defense Strategy”) only. The operative hold, preservation scope, custodians, deadlines, and collection instructions in §§1–3 and closing are not claimed.</w:t>
            </w:r>
          </w:p>
        </w:tc>
        <w:tc>
          <w:tcPr>
            <w:tcW w:type="dxa" w:w="3240"/>
            <w:vAlign w:val="top"/>
            <w:tcMar>
              <w:top w:w="75" w:type="dxa"/>
              <w:start w:w="80" w:type="dxa"/>
              <w:bottom w:w="75" w:type="dxa"/>
              <w:end w:w="80" w:type="dxa"/>
            </w:tcMar>
          </w:tcPr>
          <w:p>
            <w:pPr>
              <w:spacing w:after="0" w:line="240" w:lineRule="auto"/>
            </w:pPr>
            <w:r>
              <w:rPr>
                <w:rFonts w:ascii="Aptos" w:hAnsi="Aptos"/>
                <w:color w:val="1F2937"/>
                <w:sz w:val="15"/>
              </w:rPr>
              <w:t>GC’s internal assessment of case vulnerabilities and counsel’s prioritization of evidence and defense strategy, appended to an otherwise operational litigation hold.</w:t>
            </w:r>
          </w:p>
        </w:tc>
        <w:tc>
          <w:tcPr>
            <w:tcW w:type="dxa" w:w="4320"/>
            <w:vAlign w:val="top"/>
            <w:tcMar>
              <w:top w:w="75" w:type="dxa"/>
              <w:start w:w="80" w:type="dxa"/>
              <w:bottom w:w="75" w:type="dxa"/>
              <w:end w:w="80" w:type="dxa"/>
            </w:tcMar>
          </w:tcPr>
          <w:p>
            <w:pPr>
              <w:spacing w:after="0" w:line="240" w:lineRule="auto"/>
            </w:pPr>
            <w:r>
              <w:rPr>
                <w:rFonts w:ascii="Aptos" w:hAnsi="Aptos"/>
                <w:color w:val="1F2937"/>
                <w:sz w:val="15"/>
              </w:rPr>
              <w:t>Attorney work product, including counsel’s mental impressions, litigation-risk assessment, and defense strategy; attorney-client privilege to the extent legal advice is conveyed to custodians with preservation responsibilities.</w:t>
              <w:br/>
              <w:br/>
              <w:t>Disposition: Redact §§4–5 only, subject to review of the actual distribution/need-to-know. Produce the nonprivileged preservation directives. A “privileged” label does not protect the entire hold notice.</w:t>
            </w:r>
          </w:p>
        </w:tc>
      </w:tr>
      <w:tr>
        <w:trPr>
          <w:cantSplit/>
        </w:trPr>
        <w:tc>
          <w:tcPr>
            <w:tcW w:type="dxa" w:w="1872"/>
            <w:vAlign w:val="top"/>
            <w:tcMar>
              <w:top w:w="75" w:type="dxa"/>
              <w:start w:w="80" w:type="dxa"/>
              <w:bottom w:w="75" w:type="dxa"/>
              <w:end w:w="80" w:type="dxa"/>
            </w:tcMar>
            <w:shd w:fill="EAF1F8"/>
          </w:tcPr>
          <w:p>
            <w:pPr>
              <w:spacing w:after="0" w:line="240" w:lineRule="auto"/>
            </w:pPr>
            <w:r>
              <w:rPr>
                <w:rFonts w:ascii="Aptos" w:hAnsi="Aptos"/>
                <w:b/>
                <w:color w:val="17365D"/>
                <w:sz w:val="15"/>
              </w:rPr>
              <w:t>PL-007</w:t>
              <w:br/>
              <w:t>RC-24 | chandrasekaran-meeting-notes-aug28.docx</w:t>
            </w:r>
          </w:p>
        </w:tc>
        <w:tc>
          <w:tcPr>
            <w:tcW w:type="dxa" w:w="2376"/>
            <w:vAlign w:val="top"/>
            <w:tcMar>
              <w:top w:w="75" w:type="dxa"/>
              <w:start w:w="80" w:type="dxa"/>
              <w:bottom w:w="75" w:type="dxa"/>
              <w:end w:w="80" w:type="dxa"/>
            </w:tcMar>
          </w:tcPr>
          <w:p>
            <w:pPr>
              <w:spacing w:after="0" w:line="240" w:lineRule="auto"/>
            </w:pPr>
            <w:r>
              <w:rPr>
                <w:rFonts w:ascii="Aptos" w:hAnsi="Aptos"/>
                <w:color w:val="1F2937"/>
                <w:sz w:val="15"/>
              </w:rPr>
              <w:t>August 28, 2023</w:t>
              <w:br/>
              <w:t>Notes by Priya Chandrasekaran, General Counsel; meeting with CEO, HR Director, VP Operations, and GC</w:t>
            </w:r>
          </w:p>
        </w:tc>
        <w:tc>
          <w:tcPr>
            <w:tcW w:type="dxa" w:w="2304"/>
            <w:vAlign w:val="top"/>
            <w:tcMar>
              <w:top w:w="75" w:type="dxa"/>
              <w:start w:w="80" w:type="dxa"/>
              <w:bottom w:w="75" w:type="dxa"/>
              <w:end w:w="80" w:type="dxa"/>
            </w:tcMar>
          </w:tcPr>
          <w:p>
            <w:pPr>
              <w:spacing w:after="0" w:line="240" w:lineRule="auto"/>
            </w:pPr>
            <w:r>
              <w:rPr>
                <w:rFonts w:ascii="Aptos" w:hAnsi="Aptos"/>
                <w:color w:val="1F2937"/>
                <w:sz w:val="15"/>
              </w:rPr>
              <w:t>The portions headed “Legal Strategy — Retaliation Exposure” and “Legal Strategy — Separation &amp; Documentation,” including express references to counsel’s advice. Operational discussion/meeting facts and action items are not claimed as privileged on this log.</w:t>
            </w:r>
          </w:p>
        </w:tc>
        <w:tc>
          <w:tcPr>
            <w:tcW w:type="dxa" w:w="3240"/>
            <w:vAlign w:val="top"/>
            <w:tcMar>
              <w:top w:w="75" w:type="dxa"/>
              <w:start w:w="80" w:type="dxa"/>
              <w:bottom w:w="75" w:type="dxa"/>
              <w:end w:w="80" w:type="dxa"/>
            </w:tcMar>
          </w:tcPr>
          <w:p>
            <w:pPr>
              <w:spacing w:after="0" w:line="240" w:lineRule="auto"/>
            </w:pPr>
            <w:r>
              <w:rPr>
                <w:rFonts w:ascii="Aptos" w:hAnsi="Aptos"/>
                <w:color w:val="1F2937"/>
                <w:sz w:val="15"/>
              </w:rPr>
              <w:t>GC’s notes of confidential executive discussion recording legal advice and strategy about whistleblower-retaliation exposure, timing, and separation structure.</w:t>
            </w:r>
          </w:p>
        </w:tc>
        <w:tc>
          <w:tcPr>
            <w:tcW w:type="dxa" w:w="4320"/>
            <w:vAlign w:val="top"/>
            <w:tcMar>
              <w:top w:w="75" w:type="dxa"/>
              <w:start w:w="80" w:type="dxa"/>
              <w:bottom w:w="75" w:type="dxa"/>
              <w:end w:w="80" w:type="dxa"/>
            </w:tcMar>
          </w:tcPr>
          <w:p>
            <w:pPr>
              <w:spacing w:after="0" w:line="240" w:lineRule="auto"/>
            </w:pPr>
            <w:r>
              <w:rPr>
                <w:rFonts w:ascii="Aptos" w:hAnsi="Aptos"/>
                <w:color w:val="1F2937"/>
                <w:sz w:val="15"/>
              </w:rPr>
              <w:t>Attorney-client privilege and attorney work product. The meeting included company decision-makers receiving legal advice in connection with an anticipated employment dispute; the marked passages reflect counsel’s legal analysis and strategy.</w:t>
              <w:br/>
              <w:br/>
              <w:t>Disposition: Redact the identified legal-strategy passages only. Preserve/produce nonlegal operational deliberations, subject to line-level review where legal advice is embedded.</w:t>
            </w:r>
          </w:p>
        </w:tc>
      </w:tr>
    </w:tbl>
    <w:p/>
    <w:p>
      <w:pPr>
        <w:pStyle w:val="Heading1"/>
      </w:pPr>
      <w:r>
        <w:t>Important qualifications</w:t>
      </w:r>
    </w:p>
    <w:p>
      <w:pPr>
        <w:pStyle w:val="ListBullet"/>
      </w:pPr>
      <w:r>
        <w:t>Privilege determinations are document- and portion-specific. Actual distribution lists, attachments, underlying communications, corporate roles, and any joint-defense agreement should be confirmed against native files before the log is finalized.</w:t>
      </w:r>
    </w:p>
    <w:p>
      <w:pPr>
        <w:pStyle w:val="ListBullet"/>
      </w:pPr>
      <w:r>
        <w:t>For mixed items, the log claims only the specifically described legal-advice/work-product passages. Nonprivileged facts and operative instructions should be produced if responsive, with any redaction narrowly tailored.</w:t>
      </w:r>
    </w:p>
    <w:p>
      <w:pPr>
        <w:pStyle w:val="ListBullet"/>
      </w:pPr>
      <w:r>
        <w:t>No privilege claim is asserted here over the two Alderwood documents (RC-16 and RC-25): the engagement is a standard business audit led by Operations, expressly disclaims an attorney-client relationship, and calls the audit a non-legal professional opinion. Nor is privilege asserted over the Vasquez report to management, HR performance records, patents, the separation draft, or the nonlawyer inventor-list email based only on the present record.</w:t>
      </w:r>
    </w:p>
    <w:sectPr w:rsidR="00FC693F" w:rsidRPr="0006063C" w:rsidSect="00034616">
      <w:headerReference w:type="default" r:id="rId9"/>
      <w:footerReference w:type="default" r:id="rId10"/>
      <w:pgSz w:w="15840" w:h="12240" w:orient="landscape"/>
      <w:pgMar w:top="893" w:right="792" w:bottom="893" w:left="79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573"/>
        <w:sz w:val="15"/>
      </w:rPr>
      <w:t xml:space="preserve">CONFIDENTIAL • PRIVILEGE LOG  •  </w:t>
    </w: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5B6573"/>
        <w:sz w:val="16"/>
      </w:rPr>
      <w:t>MERIDIAN POLYMERS  |  LITIGATION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87C80"/>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