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RELEVANCE CLASSIFICATION REPORT</w:t>
      </w:r>
    </w:p>
    <w:p>
      <w:pPr>
        <w:jc w:val="center"/>
      </w:pPr>
      <w:r>
        <w:rPr>
          <w:i/>
        </w:rPr>
        <w:t>Vasquez v. Meridian Polymers, Inc., Case No. 2023-CV-07892 (Summit Cty. C.P.)</w:t>
        <w:br/>
        <w:t>25-Document Production Set – First-Level and Privilege Review</w:t>
      </w:r>
    </w:p>
    <w:p>
      <w:r>
        <w:rPr>
          <w:b w:val="0"/>
          <w:i w:val="0"/>
          <w:sz w:val="18"/>
        </w:rPr>
        <w:t>To: Catherine Burrell, Kirkfield, Oates &amp; Burrell LLP; Priya Chandrasekaran, General Counsel</w:t>
        <w:br/>
        <w:t>Re: Responsiveness, relevance, privilege, and hot-document findings</w:t>
        <w:br/>
        <w:t>Status: Draft for attorney review; all calls on privilege and production subject to supervising-attorney sign-off.</w:t>
      </w:r>
    </w:p>
    <w:p>
      <w:pPr>
        <w:pStyle w:val="Heading1"/>
      </w:pPr>
      <w:r>
        <w:t>1. Executive Summary</w:t>
      </w:r>
    </w:p>
    <w:p>
      <w:pPr>
        <w:pStyle w:val="ListBullet"/>
      </w:pPr>
      <w:r>
        <w:rPr>
          <w:b/>
        </w:rPr>
        <w:t>Volume.</w:t>
      </w:r>
      <w:r>
        <w:t xml:space="preserve"> 25 documents reviewed: 17 Highly Relevant, 5 Relevant, 1 Marginally Relevant, 2 Not Relevant.</w:t>
      </w:r>
    </w:p>
    <w:p>
      <w:pPr>
        <w:pStyle w:val="ListBullet"/>
      </w:pPr>
      <w:r>
        <w:rPr>
          <w:b/>
        </w:rPr>
        <w:t>Disposition.</w:t>
      </w:r>
      <w:r>
        <w:t xml:space="preserve"> 17 produce in full; 2 produce with privilege redactions; 4 withhold in full as privileged/work product; 2 withhold as non-responsive. Six documents appear on the privilege log (plus one conditional entry).</w:t>
      </w:r>
    </w:p>
    <w:p>
      <w:pPr>
        <w:pStyle w:val="ListBullet"/>
      </w:pPr>
      <w:r>
        <w:rPr>
          <w:b/>
        </w:rPr>
        <w:t>Over-designation risk.</w:t>
      </w:r>
      <w:r>
        <w:t xml:space="preserve"> Several privilege-marked or attorney-copied documents are NOT privileged and must be produced: the Alderwood audit report and engagement letter, the draft separation agreement (labeled 'Attorney Work Product' but sent to plaintiff), the GC's acknowledgment email to Vasquez, and Vasquez's Jan. 15 memo.</w:t>
      </w:r>
    </w:p>
    <w:p>
      <w:pPr>
        <w:pStyle w:val="ListBullet"/>
      </w:pPr>
      <w:r>
        <w:rPr>
          <w:b/>
        </w:rPr>
        <w:t>Critical issues for counsel.</w:t>
      </w:r>
      <w:r>
        <w:t xml:space="preserve"> (i) Conflicting performance metrics across five documents; (ii) the Performance Concerns Summary was last modified three days after termination; (iii) the inventor-list email ('given the current situation, let's streamline the inventor list'); (iv) the continuation application places key development work during Vasquez's tenure, contradicting the defense narrative; (v) date anomalies in two privileged emails; (vi) a gap between when Meridian anticipated litigation (March 2023) and when it issued a litigation hold (Oct. 2023).</w:t>
      </w:r>
    </w:p>
    <w:p>
      <w:pPr>
        <w:pStyle w:val="Heading1"/>
      </w:pPr>
      <w:r>
        <w:t>2. Review Methodology and Criteria</w:t>
      </w:r>
    </w:p>
    <w:p>
      <w:r>
        <w:rPr>
          <w:b w:val="0"/>
          <w:i w:val="0"/>
        </w:rPr>
        <w:t>Each document was read in full and coded for (a) responsiveness/relevance to the claims and defenses; (b) privilege and work product; (c) confidentiality designation; and (d) hot/key status. Relevance was assessed against the issues framed by the complaint and the Oct. 15, 2023 demand letter:</w:t>
      </w:r>
    </w:p>
    <w:p>
      <w:pPr>
        <w:pStyle w:val="ListBullet"/>
      </w:pPr>
      <w:r>
        <w:t>Issue A – Whistleblower retaliation / wrongful termination (R.C. 4113.52): protected activity, employer knowledge, causation, pretext, temporal proximity.</w:t>
      </w:r>
    </w:p>
    <w:p>
      <w:pPr>
        <w:pStyle w:val="ListBullet"/>
      </w:pPr>
      <w:r>
        <w:t>Issue B – Trade secret misappropriation (R.C. 1333.61 et seq.) and inventorship: MPC-7X, U.S. Pat. 11,234,567, continuation App. 18/456,789, invention assignment.</w:t>
      </w:r>
    </w:p>
    <w:p>
      <w:pPr>
        <w:pStyle w:val="ListBullet"/>
      </w:pPr>
      <w:r>
        <w:t>Issue C – Damages: compensation, benefits, emotional distress ($8.7M demand).</w:t>
      </w:r>
    </w:p>
    <w:p>
      <w:pPr>
        <w:pStyle w:val="ListBullet"/>
      </w:pPr>
      <w:r>
        <w:t>Issue D – Preservation / discovery conduct.</w:t>
      </w:r>
    </w:p>
    <w:tbl>
      <w:tblPr>
        <w:tblStyle w:val="TableGrid"/>
        <w:tblW w:type="auto" w:w="0"/>
        <w:tblLook w:firstColumn="1" w:firstRow="1" w:lastColumn="0" w:lastRow="0" w:noHBand="0" w:noVBand="1" w:val="04A0"/>
      </w:tblPr>
      <w:tblGrid>
        <w:gridCol w:w="4824"/>
        <w:gridCol w:w="4824"/>
      </w:tblGrid>
      <w:tr>
        <w:trPr>
          <w:tblHeader w:val="true"/>
        </w:trPr>
        <w:tc>
          <w:tcPr>
            <w:tcW w:type="dxa" w:w="2160"/>
            <w:shd w:val="clear" w:color="auto" w:fill="D9E2F3"/>
          </w:tcPr>
          <w:p>
            <w:r/>
            <w:r>
              <w:rPr>
                <w:b/>
                <w:sz w:val="18"/>
              </w:rPr>
              <w:t>Classification</w:t>
            </w:r>
          </w:p>
        </w:tc>
        <w:tc>
          <w:tcPr>
            <w:tcW w:type="dxa" w:w="7056"/>
            <w:shd w:val="clear" w:color="auto" w:fill="D9E2F3"/>
          </w:tcPr>
          <w:p>
            <w:r/>
            <w:r>
              <w:rPr>
                <w:b/>
                <w:sz w:val="18"/>
              </w:rPr>
              <w:t>Standard</w:t>
            </w:r>
          </w:p>
        </w:tc>
      </w:tr>
      <w:tr>
        <w:tc>
          <w:tcPr>
            <w:tcW w:type="dxa" w:w="2160"/>
          </w:tcPr>
          <w:p>
            <w:r/>
            <w:r>
              <w:rPr>
                <w:sz w:val="18"/>
              </w:rPr>
              <w:t>Highly Relevant</w:t>
            </w:r>
          </w:p>
        </w:tc>
        <w:tc>
          <w:tcPr>
            <w:tcW w:type="dxa" w:w="7056"/>
          </w:tcPr>
          <w:p>
            <w:r/>
            <w:r>
              <w:rPr>
                <w:sz w:val="18"/>
              </w:rPr>
              <w:t>Directly bears on an element of a claim or defense; Key/Hot flags denote documents likely to be deposition or trial exhibits.</w:t>
            </w:r>
          </w:p>
        </w:tc>
      </w:tr>
      <w:tr>
        <w:tc>
          <w:tcPr>
            <w:tcW w:type="dxa" w:w="2160"/>
          </w:tcPr>
          <w:p>
            <w:r/>
            <w:r>
              <w:rPr>
                <w:sz w:val="18"/>
              </w:rPr>
              <w:t>Relevant</w:t>
            </w:r>
          </w:p>
        </w:tc>
        <w:tc>
          <w:tcPr>
            <w:tcW w:type="dxa" w:w="7056"/>
          </w:tcPr>
          <w:p>
            <w:r/>
            <w:r>
              <w:rPr>
                <w:sz w:val="18"/>
              </w:rPr>
              <w:t>Bears on claims or defenses, or background likely to be requested.</w:t>
            </w:r>
          </w:p>
        </w:tc>
      </w:tr>
      <w:tr>
        <w:tc>
          <w:tcPr>
            <w:tcW w:type="dxa" w:w="2160"/>
          </w:tcPr>
          <w:p>
            <w:r/>
            <w:r>
              <w:rPr>
                <w:sz w:val="18"/>
              </w:rPr>
              <w:t>Marginally Relevant</w:t>
            </w:r>
          </w:p>
        </w:tc>
        <w:tc>
          <w:tcPr>
            <w:tcW w:type="dxa" w:w="7056"/>
          </w:tcPr>
          <w:p>
            <w:r/>
            <w:r>
              <w:rPr>
                <w:sz w:val="18"/>
              </w:rPr>
              <w:t>Tangential; produce because it is responsive to broad requests and low-risk.</w:t>
            </w:r>
          </w:p>
        </w:tc>
      </w:tr>
      <w:tr>
        <w:tc>
          <w:tcPr>
            <w:tcW w:type="dxa" w:w="2160"/>
          </w:tcPr>
          <w:p>
            <w:r/>
            <w:r>
              <w:rPr>
                <w:sz w:val="18"/>
              </w:rPr>
              <w:t>Not Relevant</w:t>
            </w:r>
          </w:p>
        </w:tc>
        <w:tc>
          <w:tcPr>
            <w:tcW w:type="dxa" w:w="7056"/>
          </w:tcPr>
          <w:p>
            <w:r/>
            <w:r>
              <w:rPr>
                <w:sz w:val="18"/>
              </w:rPr>
              <w:t>No reasonable bearing on any claim or defense; withhold as non-responsive, subject to the scope of the actual document requests.</w:t>
            </w:r>
          </w:p>
        </w:tc>
      </w:tr>
    </w:tbl>
    <w:p/>
    <w:p>
      <w:pPr>
        <w:pStyle w:val="Heading1"/>
      </w:pPr>
      <w:r>
        <w:t>3. Document-by-Document Classification</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rPr>
          <w:tblHeader w:val="true"/>
        </w:trPr>
        <w:tc>
          <w:tcPr>
            <w:tcW w:type="dxa" w:w="792"/>
            <w:shd w:val="clear" w:color="auto" w:fill="D9E2F3"/>
          </w:tcPr>
          <w:p>
            <w:r/>
            <w:r>
              <w:rPr>
                <w:b/>
                <w:sz w:val="13"/>
              </w:rPr>
              <w:t>Ctrl No.</w:t>
            </w:r>
          </w:p>
        </w:tc>
        <w:tc>
          <w:tcPr>
            <w:tcW w:type="dxa" w:w="1296"/>
            <w:shd w:val="clear" w:color="auto" w:fill="D9E2F3"/>
          </w:tcPr>
          <w:p>
            <w:r/>
            <w:r>
              <w:rPr>
                <w:b/>
                <w:sz w:val="13"/>
              </w:rPr>
              <w:t>File</w:t>
            </w:r>
          </w:p>
        </w:tc>
        <w:tc>
          <w:tcPr>
            <w:tcW w:type="dxa" w:w="792"/>
            <w:shd w:val="clear" w:color="auto" w:fill="D9E2F3"/>
          </w:tcPr>
          <w:p>
            <w:r/>
            <w:r>
              <w:rPr>
                <w:b/>
                <w:sz w:val="13"/>
              </w:rPr>
              <w:t>Date</w:t>
            </w:r>
          </w:p>
        </w:tc>
        <w:tc>
          <w:tcPr>
            <w:tcW w:type="dxa" w:w="936"/>
            <w:shd w:val="clear" w:color="auto" w:fill="D9E2F3"/>
          </w:tcPr>
          <w:p>
            <w:r/>
            <w:r>
              <w:rPr>
                <w:b/>
                <w:sz w:val="13"/>
              </w:rPr>
              <w:t>Author</w:t>
            </w:r>
          </w:p>
        </w:tc>
        <w:tc>
          <w:tcPr>
            <w:tcW w:type="dxa" w:w="1944"/>
            <w:shd w:val="clear" w:color="auto" w:fill="D9E2F3"/>
          </w:tcPr>
          <w:p>
            <w:r/>
            <w:r>
              <w:rPr>
                <w:b/>
                <w:sz w:val="13"/>
              </w:rPr>
              <w:t>Summary</w:t>
            </w:r>
          </w:p>
        </w:tc>
        <w:tc>
          <w:tcPr>
            <w:tcW w:type="dxa" w:w="864"/>
            <w:shd w:val="clear" w:color="auto" w:fill="D9E2F3"/>
          </w:tcPr>
          <w:p>
            <w:r/>
            <w:r>
              <w:rPr>
                <w:b/>
                <w:sz w:val="13"/>
              </w:rPr>
              <w:t>Relevance</w:t>
            </w:r>
          </w:p>
        </w:tc>
        <w:tc>
          <w:tcPr>
            <w:tcW w:type="dxa" w:w="1080"/>
            <w:shd w:val="clear" w:color="auto" w:fill="D9E2F3"/>
          </w:tcPr>
          <w:p>
            <w:r/>
            <w:r>
              <w:rPr>
                <w:b/>
                <w:sz w:val="13"/>
              </w:rPr>
              <w:t>Issues</w:t>
            </w:r>
          </w:p>
        </w:tc>
        <w:tc>
          <w:tcPr>
            <w:tcW w:type="dxa" w:w="1152"/>
            <w:shd w:val="clear" w:color="auto" w:fill="D9E2F3"/>
          </w:tcPr>
          <w:p>
            <w:r/>
            <w:r>
              <w:rPr>
                <w:b/>
                <w:sz w:val="13"/>
              </w:rPr>
              <w:t>Privilege</w:t>
            </w:r>
          </w:p>
        </w:tc>
        <w:tc>
          <w:tcPr>
            <w:tcW w:type="dxa" w:w="864"/>
            <w:shd w:val="clear" w:color="auto" w:fill="D9E2F3"/>
          </w:tcPr>
          <w:p>
            <w:r/>
            <w:r>
              <w:rPr>
                <w:b/>
                <w:sz w:val="13"/>
              </w:rPr>
              <w:t>Treatment</w:t>
            </w:r>
          </w:p>
        </w:tc>
      </w:tr>
      <w:tr>
        <w:tc>
          <w:tcPr>
            <w:tcW w:type="dxa" w:w="792"/>
          </w:tcPr>
          <w:p>
            <w:r/>
            <w:r>
              <w:rPr>
                <w:sz w:val="13"/>
              </w:rPr>
              <w:t>MPI-REV-001</w:t>
            </w:r>
          </w:p>
        </w:tc>
        <w:tc>
          <w:tcPr>
            <w:tcW w:type="dxa" w:w="1296"/>
          </w:tcPr>
          <w:p>
            <w:r/>
            <w:r>
              <w:rPr>
                <w:sz w:val="13"/>
              </w:rPr>
              <w:t>chandrasekaran-burrell-litrisik-email.eml</w:t>
            </w:r>
          </w:p>
        </w:tc>
        <w:tc>
          <w:tcPr>
            <w:tcW w:type="dxa" w:w="792"/>
          </w:tcPr>
          <w:p>
            <w:r/>
            <w:r>
              <w:rPr>
                <w:sz w:val="13"/>
              </w:rPr>
              <w:t>03/03/2023</w:t>
            </w:r>
          </w:p>
        </w:tc>
        <w:tc>
          <w:tcPr>
            <w:tcW w:type="dxa" w:w="936"/>
          </w:tcPr>
          <w:p>
            <w:r/>
            <w:r>
              <w:rPr>
                <w:sz w:val="13"/>
              </w:rPr>
              <w:t>P. Chandrasekaran*</w:t>
            </w:r>
          </w:p>
        </w:tc>
        <w:tc>
          <w:tcPr>
            <w:tcW w:type="dxa" w:w="1944"/>
          </w:tcPr>
          <w:p>
            <w:r/>
            <w:r>
              <w:rPr>
                <w:sz w:val="13"/>
              </w:rPr>
              <w:t>GC requests outside counsel's litigation-risk assessment of RCRA/Ohio EPA exposure and potential R.C. 4113.52 whistleblower claims; seeks advice on structuring environmental audit under privilege.</w:t>
            </w:r>
          </w:p>
        </w:tc>
        <w:tc>
          <w:tcPr>
            <w:tcW w:type="dxa" w:w="864"/>
          </w:tcPr>
          <w:p>
            <w:r/>
            <w:r>
              <w:rPr>
                <w:sz w:val="13"/>
              </w:rPr>
              <w:t>Highly Relevant</w:t>
            </w:r>
          </w:p>
        </w:tc>
        <w:tc>
          <w:tcPr>
            <w:tcW w:type="dxa" w:w="1080"/>
          </w:tcPr>
          <w:p>
            <w:r/>
            <w:r>
              <w:rPr>
                <w:sz w:val="13"/>
              </w:rPr>
              <w:t>Whistleblower: company knowledge of protected activity; anticipation of litigation; audit structure</w:t>
            </w:r>
          </w:p>
        </w:tc>
        <w:tc>
          <w:tcPr>
            <w:tcW w:type="dxa" w:w="1152"/>
          </w:tcPr>
          <w:p>
            <w:r/>
            <w:r>
              <w:rPr>
                <w:sz w:val="13"/>
              </w:rPr>
              <w:t>Attorney-Client; Work Product</w:t>
            </w:r>
          </w:p>
        </w:tc>
        <w:tc>
          <w:tcPr>
            <w:tcW w:type="dxa" w:w="864"/>
          </w:tcPr>
          <w:p>
            <w:r/>
            <w:r>
              <w:rPr>
                <w:sz w:val="13"/>
              </w:rPr>
              <w:t>Withhold</w:t>
            </w:r>
          </w:p>
        </w:tc>
      </w:tr>
      <w:tr>
        <w:tc>
          <w:tcPr>
            <w:tcW w:type="dxa" w:w="792"/>
          </w:tcPr>
          <w:p>
            <w:r/>
            <w:r>
              <w:rPr>
                <w:sz w:val="13"/>
              </w:rPr>
              <w:t>MPI-REV-002</w:t>
            </w:r>
          </w:p>
        </w:tc>
        <w:tc>
          <w:tcPr>
            <w:tcW w:type="dxa" w:w="1296"/>
          </w:tcPr>
          <w:p>
            <w:r/>
            <w:r>
              <w:rPr>
                <w:sz w:val="13"/>
              </w:rPr>
              <w:t>vasquez-env-compliance-memo.docx</w:t>
            </w:r>
          </w:p>
        </w:tc>
        <w:tc>
          <w:tcPr>
            <w:tcW w:type="dxa" w:w="792"/>
          </w:tcPr>
          <w:p>
            <w:r/>
            <w:r>
              <w:rPr>
                <w:sz w:val="13"/>
              </w:rPr>
              <w:t>01/15/2023</w:t>
            </w:r>
          </w:p>
        </w:tc>
        <w:tc>
          <w:tcPr>
            <w:tcW w:type="dxa" w:w="936"/>
          </w:tcPr>
          <w:p>
            <w:r/>
            <w:r>
              <w:rPr>
                <w:sz w:val="13"/>
              </w:rPr>
              <w:t>L. Vasquez</w:t>
            </w:r>
          </w:p>
        </w:tc>
        <w:tc>
          <w:tcPr>
            <w:tcW w:type="dxa" w:w="1944"/>
          </w:tcPr>
          <w:p>
            <w:r/>
            <w:r>
              <w:rPr>
                <w:sz w:val="13"/>
              </w:rPr>
              <w:t>Vasquez's internal memo reporting 14 alleged instances of improper hexavalent chromium waste manifesting (Mar.–Dec. 2022).</w:t>
            </w:r>
          </w:p>
        </w:tc>
        <w:tc>
          <w:tcPr>
            <w:tcW w:type="dxa" w:w="864"/>
          </w:tcPr>
          <w:p>
            <w:r/>
            <w:r>
              <w:rPr>
                <w:sz w:val="13"/>
              </w:rPr>
              <w:t>Highly Relevant (Key)</w:t>
            </w:r>
          </w:p>
        </w:tc>
        <w:tc>
          <w:tcPr>
            <w:tcW w:type="dxa" w:w="1080"/>
          </w:tcPr>
          <w:p>
            <w:r/>
            <w:r>
              <w:rPr>
                <w:sz w:val="13"/>
              </w:rPr>
              <w:t>Whistleblower: the protected activity itself (R.C. 4113.52 written report)</w:t>
            </w:r>
          </w:p>
        </w:tc>
        <w:tc>
          <w:tcPr>
            <w:tcW w:type="dxa" w:w="1152"/>
          </w:tcPr>
          <w:p>
            <w:r/>
            <w:r>
              <w:rPr>
                <w:sz w:val="13"/>
              </w:rPr>
              <w:t>Not privileged: employee business report authored by plaintiff; not a request for legal advice</w:t>
            </w:r>
          </w:p>
        </w:tc>
        <w:tc>
          <w:tcPr>
            <w:tcW w:type="dxa" w:w="864"/>
          </w:tcPr>
          <w:p>
            <w:r/>
            <w:r>
              <w:rPr>
                <w:sz w:val="13"/>
              </w:rPr>
              <w:t>Produce</w:t>
            </w:r>
          </w:p>
        </w:tc>
      </w:tr>
      <w:tr>
        <w:tc>
          <w:tcPr>
            <w:tcW w:type="dxa" w:w="792"/>
          </w:tcPr>
          <w:p>
            <w:r/>
            <w:r>
              <w:rPr>
                <w:sz w:val="13"/>
              </w:rPr>
              <w:t>MPI-REV-003</w:t>
            </w:r>
          </w:p>
        </w:tc>
        <w:tc>
          <w:tcPr>
            <w:tcW w:type="dxa" w:w="1296"/>
          </w:tcPr>
          <w:p>
            <w:r/>
            <w:r>
              <w:rPr>
                <w:sz w:val="13"/>
              </w:rPr>
              <w:t>chandrasekaran-ack-email.eml</w:t>
            </w:r>
          </w:p>
        </w:tc>
        <w:tc>
          <w:tcPr>
            <w:tcW w:type="dxa" w:w="792"/>
          </w:tcPr>
          <w:p>
            <w:r/>
            <w:r>
              <w:rPr>
                <w:sz w:val="13"/>
              </w:rPr>
              <w:t>02/08/2023</w:t>
            </w:r>
          </w:p>
        </w:tc>
        <w:tc>
          <w:tcPr>
            <w:tcW w:type="dxa" w:w="936"/>
          </w:tcPr>
          <w:p>
            <w:r/>
            <w:r>
              <w:rPr>
                <w:sz w:val="13"/>
              </w:rPr>
              <w:t>P. Chandrasekaran*</w:t>
            </w:r>
          </w:p>
        </w:tc>
        <w:tc>
          <w:tcPr>
            <w:tcW w:type="dxa" w:w="1944"/>
          </w:tcPr>
          <w:p>
            <w:r/>
            <w:r>
              <w:rPr>
                <w:sz w:val="13"/>
              </w:rPr>
              <w:t>GC acknowledges receipt of Jan. 15 memo, says it will be reviewed, asks Vasquez to preserve records.</w:t>
            </w:r>
          </w:p>
        </w:tc>
        <w:tc>
          <w:tcPr>
            <w:tcW w:type="dxa" w:w="864"/>
          </w:tcPr>
          <w:p>
            <w:r/>
            <w:r>
              <w:rPr>
                <w:sz w:val="13"/>
              </w:rPr>
              <w:t>Highly Relevant</w:t>
            </w:r>
          </w:p>
        </w:tc>
        <w:tc>
          <w:tcPr>
            <w:tcW w:type="dxa" w:w="1080"/>
          </w:tcPr>
          <w:p>
            <w:r/>
            <w:r>
              <w:rPr>
                <w:sz w:val="13"/>
              </w:rPr>
              <w:t>Whistleblower: employer knowledge/response to report</w:t>
            </w:r>
          </w:p>
        </w:tc>
        <w:tc>
          <w:tcPr>
            <w:tcW w:type="dxa" w:w="1152"/>
          </w:tcPr>
          <w:p>
            <w:r/>
            <w:r>
              <w:rPr>
                <w:sz w:val="13"/>
              </w:rPr>
              <w:t>Not privileged: communication with the (now adverse) employee; no legal advice to company</w:t>
            </w:r>
          </w:p>
        </w:tc>
        <w:tc>
          <w:tcPr>
            <w:tcW w:type="dxa" w:w="864"/>
          </w:tcPr>
          <w:p>
            <w:r/>
            <w:r>
              <w:rPr>
                <w:sz w:val="13"/>
              </w:rPr>
              <w:t>Produce</w:t>
            </w:r>
          </w:p>
        </w:tc>
      </w:tr>
      <w:tr>
        <w:tc>
          <w:tcPr>
            <w:tcW w:type="dxa" w:w="792"/>
          </w:tcPr>
          <w:p>
            <w:r/>
            <w:r>
              <w:rPr>
                <w:sz w:val="13"/>
              </w:rPr>
              <w:t>MPI-REV-004</w:t>
            </w:r>
          </w:p>
        </w:tc>
        <w:tc>
          <w:tcPr>
            <w:tcW w:type="dxa" w:w="1296"/>
          </w:tcPr>
          <w:p>
            <w:r/>
            <w:r>
              <w:rPr>
                <w:sz w:val="13"/>
              </w:rPr>
              <w:t>board-minutes-april2023.docx</w:t>
            </w:r>
          </w:p>
        </w:tc>
        <w:tc>
          <w:tcPr>
            <w:tcW w:type="dxa" w:w="792"/>
          </w:tcPr>
          <w:p>
            <w:r/>
            <w:r>
              <w:rPr>
                <w:sz w:val="13"/>
              </w:rPr>
              <w:t>04/18/2023</w:t>
            </w:r>
          </w:p>
        </w:tc>
        <w:tc>
          <w:tcPr>
            <w:tcW w:type="dxa" w:w="936"/>
          </w:tcPr>
          <w:p>
            <w:r/>
            <w:r>
              <w:rPr>
                <w:sz w:val="13"/>
              </w:rPr>
              <w:t>P. Chandrasekaran* (Corp. Secretary)</w:t>
            </w:r>
          </w:p>
        </w:tc>
        <w:tc>
          <w:tcPr>
            <w:tcW w:type="dxa" w:w="1944"/>
          </w:tcPr>
          <w:p>
            <w:r/>
            <w:r>
              <w:rPr>
                <w:sz w:val="13"/>
              </w:rPr>
              <w:t>Regular board meeting: financials, Polychem acquisition (with GC and outside-counsel legal due-diligence briefings, §§5.1–5.2), compensation, audit, operations. No mention of Vasquez or the environmental allegations.</w:t>
            </w:r>
          </w:p>
        </w:tc>
        <w:tc>
          <w:tcPr>
            <w:tcW w:type="dxa" w:w="864"/>
          </w:tcPr>
          <w:p>
            <w:r/>
            <w:r>
              <w:rPr>
                <w:sz w:val="13"/>
              </w:rPr>
              <w:t>Not Relevant</w:t>
            </w:r>
          </w:p>
        </w:tc>
        <w:tc>
          <w:tcPr>
            <w:tcW w:type="dxa" w:w="1080"/>
          </w:tcPr>
          <w:p>
            <w:r/>
            <w:r>
              <w:rPr>
                <w:sz w:val="13"/>
              </w:rPr>
              <w:t>None directly; silence on environmental allegations may be probed later</w:t>
            </w:r>
          </w:p>
        </w:tc>
        <w:tc>
          <w:tcPr>
            <w:tcW w:type="dxa" w:w="1152"/>
          </w:tcPr>
          <w:p>
            <w:r/>
            <w:r>
              <w:rPr>
                <w:sz w:val="13"/>
              </w:rPr>
              <w:t>§§5.1–5.2 Attorney-Client (unrelated M&amp;A advice)</w:t>
            </w:r>
          </w:p>
        </w:tc>
        <w:tc>
          <w:tcPr>
            <w:tcW w:type="dxa" w:w="864"/>
          </w:tcPr>
          <w:p>
            <w:r/>
            <w:r>
              <w:rPr>
                <w:sz w:val="13"/>
              </w:rPr>
              <w:t>Withhold as non-responsive; if produced, redact §§5.1–5.2</w:t>
            </w:r>
          </w:p>
        </w:tc>
      </w:tr>
      <w:tr>
        <w:tc>
          <w:tcPr>
            <w:tcW w:type="dxa" w:w="792"/>
          </w:tcPr>
          <w:p>
            <w:r/>
            <w:r>
              <w:rPr>
                <w:sz w:val="13"/>
              </w:rPr>
              <w:t>MPI-REV-005</w:t>
            </w:r>
          </w:p>
        </w:tc>
        <w:tc>
          <w:tcPr>
            <w:tcW w:type="dxa" w:w="1296"/>
          </w:tcPr>
          <w:p>
            <w:r/>
            <w:r>
              <w:rPr>
                <w:sz w:val="13"/>
              </w:rPr>
              <w:t>alderwood-engagement-letter.docx</w:t>
            </w:r>
          </w:p>
        </w:tc>
        <w:tc>
          <w:tcPr>
            <w:tcW w:type="dxa" w:w="792"/>
          </w:tcPr>
          <w:p>
            <w:r/>
            <w:r>
              <w:rPr>
                <w:sz w:val="13"/>
              </w:rPr>
              <w:t>06/05/2023</w:t>
            </w:r>
          </w:p>
        </w:tc>
        <w:tc>
          <w:tcPr>
            <w:tcW w:type="dxa" w:w="936"/>
          </w:tcPr>
          <w:p>
            <w:r/>
            <w:r>
              <w:rPr>
                <w:sz w:val="13"/>
              </w:rPr>
              <w:t>Alderwood Environmental Consulting LLC (N. Pressler)</w:t>
            </w:r>
          </w:p>
        </w:tc>
        <w:tc>
          <w:tcPr>
            <w:tcW w:type="dxa" w:w="1944"/>
          </w:tcPr>
          <w:p>
            <w:r/>
            <w:r>
              <w:rPr>
                <w:sz w:val="13"/>
              </w:rPr>
              <w:t>VP Operations hires Alderwood for 'proactive' compliance audit of Akron facility; letter states no attorney-client relationship and not legal advice.</w:t>
            </w:r>
          </w:p>
        </w:tc>
        <w:tc>
          <w:tcPr>
            <w:tcW w:type="dxa" w:w="864"/>
          </w:tcPr>
          <w:p>
            <w:r/>
            <w:r>
              <w:rPr>
                <w:sz w:val="13"/>
              </w:rPr>
              <w:t>Relevant</w:t>
            </w:r>
          </w:p>
        </w:tc>
        <w:tc>
          <w:tcPr>
            <w:tcW w:type="dxa" w:w="1080"/>
          </w:tcPr>
          <w:p>
            <w:r/>
            <w:r>
              <w:rPr>
                <w:sz w:val="13"/>
              </w:rPr>
              <w:t>Whistleblower: company's investigative response; framing as 'proactive'</w:t>
            </w:r>
          </w:p>
        </w:tc>
        <w:tc>
          <w:tcPr>
            <w:tcW w:type="dxa" w:w="1152"/>
          </w:tcPr>
          <w:p>
            <w:r/>
            <w:r>
              <w:rPr>
                <w:sz w:val="13"/>
              </w:rPr>
              <w:t>Not privileged: business engagement, not by or for counsel</w:t>
            </w:r>
          </w:p>
        </w:tc>
        <w:tc>
          <w:tcPr>
            <w:tcW w:type="dxa" w:w="864"/>
          </w:tcPr>
          <w:p>
            <w:r/>
            <w:r>
              <w:rPr>
                <w:sz w:val="13"/>
              </w:rPr>
              <w:t>Produce (Confidential)</w:t>
            </w:r>
          </w:p>
        </w:tc>
      </w:tr>
      <w:tr>
        <w:tc>
          <w:tcPr>
            <w:tcW w:type="dxa" w:w="792"/>
          </w:tcPr>
          <w:p>
            <w:r/>
            <w:r>
              <w:rPr>
                <w:sz w:val="13"/>
              </w:rPr>
              <w:t>MPI-REV-006</w:t>
            </w:r>
          </w:p>
        </w:tc>
        <w:tc>
          <w:tcPr>
            <w:tcW w:type="dxa" w:w="1296"/>
          </w:tcPr>
          <w:p>
            <w:r/>
            <w:r>
              <w:rPr>
                <w:sz w:val="13"/>
              </w:rPr>
              <w:t>alderwood-draft-audit-report.docx</w:t>
            </w:r>
          </w:p>
        </w:tc>
        <w:tc>
          <w:tcPr>
            <w:tcW w:type="dxa" w:w="792"/>
          </w:tcPr>
          <w:p>
            <w:r/>
            <w:r>
              <w:rPr>
                <w:sz w:val="13"/>
              </w:rPr>
              <w:t>07/22/2023</w:t>
            </w:r>
          </w:p>
        </w:tc>
        <w:tc>
          <w:tcPr>
            <w:tcW w:type="dxa" w:w="936"/>
          </w:tcPr>
          <w:p>
            <w:r/>
            <w:r>
              <w:rPr>
                <w:sz w:val="13"/>
              </w:rPr>
              <w:t>N. Pressler, Alderwood</w:t>
            </w:r>
          </w:p>
        </w:tc>
        <w:tc>
          <w:tcPr>
            <w:tcW w:type="dxa" w:w="1944"/>
          </w:tcPr>
          <w:p>
            <w:r/>
            <w:r>
              <w:rPr>
                <w:sz w:val="13"/>
              </w:rPr>
              <w:t>Draft audit AEC-2023-0147; confirms 4 of 14 alleged instances (1 significant deficiency); recommends $47,000 remediation.</w:t>
            </w:r>
          </w:p>
        </w:tc>
        <w:tc>
          <w:tcPr>
            <w:tcW w:type="dxa" w:w="864"/>
          </w:tcPr>
          <w:p>
            <w:r/>
            <w:r>
              <w:rPr>
                <w:sz w:val="13"/>
              </w:rPr>
              <w:t>Highly Relevant (Key)</w:t>
            </w:r>
          </w:p>
        </w:tc>
        <w:tc>
          <w:tcPr>
            <w:tcW w:type="dxa" w:w="1080"/>
          </w:tcPr>
          <w:p>
            <w:r/>
            <w:r>
              <w:rPr>
                <w:sz w:val="13"/>
              </w:rPr>
              <w:t>Whistleblower: substance and good faith of the report; damages/defense themes</w:t>
            </w:r>
          </w:p>
        </w:tc>
        <w:tc>
          <w:tcPr>
            <w:tcW w:type="dxa" w:w="1152"/>
          </w:tcPr>
          <w:p>
            <w:r/>
            <w:r>
              <w:rPr>
                <w:sz w:val="13"/>
              </w:rPr>
              <w:t>Not privileged: business consultant, not agent of counsel; cc to GC does not confer privilege</w:t>
            </w:r>
          </w:p>
        </w:tc>
        <w:tc>
          <w:tcPr>
            <w:tcW w:type="dxa" w:w="864"/>
          </w:tcPr>
          <w:p>
            <w:r/>
            <w:r>
              <w:rPr>
                <w:sz w:val="13"/>
              </w:rPr>
              <w:t>Produce (Confidential)</w:t>
            </w:r>
          </w:p>
        </w:tc>
      </w:tr>
      <w:tr>
        <w:tc>
          <w:tcPr>
            <w:tcW w:type="dxa" w:w="792"/>
          </w:tcPr>
          <w:p>
            <w:r/>
            <w:r>
              <w:rPr>
                <w:sz w:val="13"/>
              </w:rPr>
              <w:t>MPI-REV-007</w:t>
            </w:r>
          </w:p>
        </w:tc>
        <w:tc>
          <w:tcPr>
            <w:tcW w:type="dxa" w:w="1296"/>
          </w:tcPr>
          <w:p>
            <w:r/>
            <w:r>
              <w:rPr>
                <w:sz w:val="13"/>
              </w:rPr>
              <w:t>simmons-vasquez-situation-email.eml</w:t>
            </w:r>
          </w:p>
        </w:tc>
        <w:tc>
          <w:tcPr>
            <w:tcW w:type="dxa" w:w="792"/>
          </w:tcPr>
          <w:p>
            <w:r/>
            <w:r>
              <w:rPr>
                <w:sz w:val="13"/>
              </w:rPr>
              <w:t>08/10/2023</w:t>
            </w:r>
          </w:p>
        </w:tc>
        <w:tc>
          <w:tcPr>
            <w:tcW w:type="dxa" w:w="936"/>
          </w:tcPr>
          <w:p>
            <w:r/>
            <w:r>
              <w:rPr>
                <w:sz w:val="13"/>
              </w:rPr>
              <w:t>D. Simmons</w:t>
            </w:r>
          </w:p>
        </w:tc>
        <w:tc>
          <w:tcPr>
            <w:tcW w:type="dxa" w:w="1944"/>
          </w:tcPr>
          <w:p>
            <w:r/>
            <w:r>
              <w:rPr>
                <w:sz w:val="13"/>
              </w:rPr>
              <w:t>Simmons raises 'the Vasquez situation': Q2 deliverables ~40% behind, 3 of 5 projects slipped, morale; asks HR for performance file.</w:t>
            </w:r>
          </w:p>
        </w:tc>
        <w:tc>
          <w:tcPr>
            <w:tcW w:type="dxa" w:w="864"/>
          </w:tcPr>
          <w:p>
            <w:r/>
            <w:r>
              <w:rPr>
                <w:sz w:val="13"/>
              </w:rPr>
              <w:t>Highly Relevant (Hot)</w:t>
            </w:r>
          </w:p>
        </w:tc>
        <w:tc>
          <w:tcPr>
            <w:tcW w:type="dxa" w:w="1080"/>
          </w:tcPr>
          <w:p>
            <w:r/>
            <w:r>
              <w:rPr>
                <w:sz w:val="13"/>
              </w:rPr>
              <w:t>Pretext: origin of performance narrative 7 months after protected activity</w:t>
            </w:r>
          </w:p>
        </w:tc>
        <w:tc>
          <w:tcPr>
            <w:tcW w:type="dxa" w:w="1152"/>
          </w:tcPr>
          <w:p>
            <w:r/>
            <w:r>
              <w:rPr>
                <w:sz w:val="13"/>
              </w:rPr>
              <w:t>Not privileged: no attorney</w:t>
            </w:r>
          </w:p>
        </w:tc>
        <w:tc>
          <w:tcPr>
            <w:tcW w:type="dxa" w:w="864"/>
          </w:tcPr>
          <w:p>
            <w:r/>
            <w:r>
              <w:rPr>
                <w:sz w:val="13"/>
              </w:rPr>
              <w:t>Produce</w:t>
            </w:r>
          </w:p>
        </w:tc>
      </w:tr>
      <w:tr>
        <w:tc>
          <w:tcPr>
            <w:tcW w:type="dxa" w:w="792"/>
          </w:tcPr>
          <w:p>
            <w:r/>
            <w:r>
              <w:rPr>
                <w:sz w:val="13"/>
              </w:rPr>
              <w:t>MPI-REV-008</w:t>
            </w:r>
          </w:p>
        </w:tc>
        <w:tc>
          <w:tcPr>
            <w:tcW w:type="dxa" w:w="1296"/>
          </w:tcPr>
          <w:p>
            <w:r/>
            <w:r>
              <w:rPr>
                <w:sz w:val="13"/>
              </w:rPr>
              <w:t>vasquez-performance-summary.docx</w:t>
            </w:r>
          </w:p>
        </w:tc>
        <w:tc>
          <w:tcPr>
            <w:tcW w:type="dxa" w:w="792"/>
          </w:tcPr>
          <w:p>
            <w:r/>
            <w:r>
              <w:rPr>
                <w:sz w:val="13"/>
              </w:rPr>
              <w:t>08/14/2023 (last modified 09/18/2023)</w:t>
            </w:r>
          </w:p>
        </w:tc>
        <w:tc>
          <w:tcPr>
            <w:tcW w:type="dxa" w:w="936"/>
          </w:tcPr>
          <w:p>
            <w:r/>
            <w:r>
              <w:rPr>
                <w:sz w:val="13"/>
              </w:rPr>
              <w:t>T. Bellworth</w:t>
            </w:r>
          </w:p>
        </w:tc>
        <w:tc>
          <w:tcPr>
            <w:tcW w:type="dxa" w:w="1944"/>
          </w:tcPr>
          <w:p>
            <w:r/>
            <w:r>
              <w:rPr>
                <w:sz w:val="13"/>
              </w:rPr>
              <w:t>Performance Concerns Summary citing missed milestones (Titan-3, Helix-R, etc.), covering Jan.–Aug. 2023. Metadata: Revision 3, last modified 3 days after termination.</w:t>
            </w:r>
          </w:p>
        </w:tc>
        <w:tc>
          <w:tcPr>
            <w:tcW w:type="dxa" w:w="864"/>
          </w:tcPr>
          <w:p>
            <w:r/>
            <w:r>
              <w:rPr>
                <w:sz w:val="13"/>
              </w:rPr>
              <w:t>Highly Relevant (Hot)</w:t>
            </w:r>
          </w:p>
        </w:tc>
        <w:tc>
          <w:tcPr>
            <w:tcW w:type="dxa" w:w="1080"/>
          </w:tcPr>
          <w:p>
            <w:r/>
            <w:r>
              <w:rPr>
                <w:sz w:val="13"/>
              </w:rPr>
              <w:t>Pretext: post-hoc documentation; metadata integrity</w:t>
            </w:r>
          </w:p>
        </w:tc>
        <w:tc>
          <w:tcPr>
            <w:tcW w:type="dxa" w:w="1152"/>
          </w:tcPr>
          <w:p>
            <w:r/>
            <w:r>
              <w:rPr>
                <w:sz w:val="13"/>
              </w:rPr>
              <w:t>Not privileged: HR business record</w:t>
            </w:r>
          </w:p>
        </w:tc>
        <w:tc>
          <w:tcPr>
            <w:tcW w:type="dxa" w:w="864"/>
          </w:tcPr>
          <w:p>
            <w:r/>
            <w:r>
              <w:rPr>
                <w:sz w:val="13"/>
              </w:rPr>
              <w:t>Produce (native with metadata)</w:t>
            </w:r>
          </w:p>
        </w:tc>
      </w:tr>
      <w:tr>
        <w:tc>
          <w:tcPr>
            <w:tcW w:type="dxa" w:w="792"/>
          </w:tcPr>
          <w:p>
            <w:r/>
            <w:r>
              <w:rPr>
                <w:sz w:val="13"/>
              </w:rPr>
              <w:t>MPI-REV-009</w:t>
            </w:r>
          </w:p>
        </w:tc>
        <w:tc>
          <w:tcPr>
            <w:tcW w:type="dxa" w:w="1296"/>
          </w:tcPr>
          <w:p>
            <w:r/>
            <w:r>
              <w:rPr>
                <w:sz w:val="13"/>
              </w:rPr>
              <w:t>simmons-bellworth-ops-metrics.eml</w:t>
            </w:r>
          </w:p>
        </w:tc>
        <w:tc>
          <w:tcPr>
            <w:tcW w:type="dxa" w:w="792"/>
          </w:tcPr>
          <w:p>
            <w:r/>
            <w:r>
              <w:rPr>
                <w:sz w:val="13"/>
              </w:rPr>
              <w:t>08/22/2023</w:t>
            </w:r>
          </w:p>
        </w:tc>
        <w:tc>
          <w:tcPr>
            <w:tcW w:type="dxa" w:w="936"/>
          </w:tcPr>
          <w:p>
            <w:r/>
            <w:r>
              <w:rPr>
                <w:sz w:val="13"/>
              </w:rPr>
              <w:t>D. Simmons</w:t>
            </w:r>
          </w:p>
        </w:tc>
        <w:tc>
          <w:tcPr>
            <w:tcW w:type="dxa" w:w="1944"/>
          </w:tcPr>
          <w:p>
            <w:r/>
            <w:r>
              <w:rPr>
                <w:sz w:val="13"/>
              </w:rPr>
              <w:t>Q2 R&amp;D metrics: 5 projects, 60% on-time (Titan, Calder), 12% budget overrun, morale survey decline.</w:t>
            </w:r>
          </w:p>
        </w:tc>
        <w:tc>
          <w:tcPr>
            <w:tcW w:type="dxa" w:w="864"/>
          </w:tcPr>
          <w:p>
            <w:r/>
            <w:r>
              <w:rPr>
                <w:sz w:val="13"/>
              </w:rPr>
              <w:t>Highly Relevant</w:t>
            </w:r>
          </w:p>
        </w:tc>
        <w:tc>
          <w:tcPr>
            <w:tcW w:type="dxa" w:w="1080"/>
          </w:tcPr>
          <w:p>
            <w:r/>
            <w:r>
              <w:rPr>
                <w:sz w:val="13"/>
              </w:rPr>
              <w:t>Pretext: performance justification</w:t>
            </w:r>
          </w:p>
        </w:tc>
        <w:tc>
          <w:tcPr>
            <w:tcW w:type="dxa" w:w="1152"/>
          </w:tcPr>
          <w:p>
            <w:r/>
            <w:r>
              <w:rPr>
                <w:sz w:val="13"/>
              </w:rPr>
              <w:t>Not privileged: no attorney</w:t>
            </w:r>
          </w:p>
        </w:tc>
        <w:tc>
          <w:tcPr>
            <w:tcW w:type="dxa" w:w="864"/>
          </w:tcPr>
          <w:p>
            <w:r/>
            <w:r>
              <w:rPr>
                <w:sz w:val="13"/>
              </w:rPr>
              <w:t>Produce</w:t>
            </w:r>
          </w:p>
        </w:tc>
      </w:tr>
      <w:tr>
        <w:tc>
          <w:tcPr>
            <w:tcW w:type="dxa" w:w="792"/>
          </w:tcPr>
          <w:p>
            <w:r/>
            <w:r>
              <w:rPr>
                <w:sz w:val="13"/>
              </w:rPr>
              <w:t>MPI-REV-010</w:t>
            </w:r>
          </w:p>
        </w:tc>
        <w:tc>
          <w:tcPr>
            <w:tcW w:type="dxa" w:w="1296"/>
          </w:tcPr>
          <w:p>
            <w:r/>
            <w:r>
              <w:rPr>
                <w:sz w:val="13"/>
              </w:rPr>
              <w:t>bellworth-reply-adding-gc.eml</w:t>
            </w:r>
          </w:p>
        </w:tc>
        <w:tc>
          <w:tcPr>
            <w:tcW w:type="dxa" w:w="792"/>
          </w:tcPr>
          <w:p>
            <w:r/>
            <w:r>
              <w:rPr>
                <w:sz w:val="13"/>
              </w:rPr>
              <w:t>08/22/2023–08/23/2023</w:t>
            </w:r>
          </w:p>
        </w:tc>
        <w:tc>
          <w:tcPr>
            <w:tcW w:type="dxa" w:w="936"/>
          </w:tcPr>
          <w:p>
            <w:r/>
            <w:r>
              <w:rPr>
                <w:sz w:val="13"/>
              </w:rPr>
              <w:t>D. Simmons; T. Bellworth; P. Chandrasekaran*</w:t>
            </w:r>
          </w:p>
        </w:tc>
        <w:tc>
          <w:tcPr>
            <w:tcW w:type="dxa" w:w="1944"/>
          </w:tcPr>
          <w:p>
            <w:r/>
            <w:r>
              <w:rPr>
                <w:sz w:val="13"/>
              </w:rPr>
              <w:t>(1) Simmons→Bellworth Q2 metrics (7 projects, 58%, 23% overrun); (2) Bellworth adds GC seeking legal advice on whether metrics support 'the action we discussed'; (3) GC instructs no action pending advice after consulting outside counsel.</w:t>
            </w:r>
          </w:p>
        </w:tc>
        <w:tc>
          <w:tcPr>
            <w:tcW w:type="dxa" w:w="864"/>
          </w:tcPr>
          <w:p>
            <w:r/>
            <w:r>
              <w:rPr>
                <w:sz w:val="13"/>
              </w:rPr>
              <w:t>Highly Relevant (Hot)</w:t>
            </w:r>
          </w:p>
        </w:tc>
        <w:tc>
          <w:tcPr>
            <w:tcW w:type="dxa" w:w="1080"/>
          </w:tcPr>
          <w:p>
            <w:r/>
            <w:r>
              <w:rPr>
                <w:sz w:val="13"/>
              </w:rPr>
              <w:t>Pretext; decision timeline; conflicting metrics</w:t>
            </w:r>
          </w:p>
        </w:tc>
        <w:tc>
          <w:tcPr>
            <w:tcW w:type="dxa" w:w="1152"/>
          </w:tcPr>
          <w:p>
            <w:r/>
            <w:r>
              <w:rPr>
                <w:sz w:val="13"/>
              </w:rPr>
              <w:t>Partially privileged: msgs (2) and (3) Attorney-Client</w:t>
            </w:r>
          </w:p>
        </w:tc>
        <w:tc>
          <w:tcPr>
            <w:tcW w:type="dxa" w:w="864"/>
          </w:tcPr>
          <w:p>
            <w:r/>
            <w:r>
              <w:rPr>
                <w:sz w:val="13"/>
              </w:rPr>
              <w:t>Produce with redactions</w:t>
            </w:r>
          </w:p>
        </w:tc>
      </w:tr>
      <w:tr>
        <w:tc>
          <w:tcPr>
            <w:tcW w:type="dxa" w:w="792"/>
          </w:tcPr>
          <w:p>
            <w:r/>
            <w:r>
              <w:rPr>
                <w:sz w:val="13"/>
              </w:rPr>
              <w:t>MPI-REV-011</w:t>
            </w:r>
          </w:p>
        </w:tc>
        <w:tc>
          <w:tcPr>
            <w:tcW w:type="dxa" w:w="1296"/>
          </w:tcPr>
          <w:p>
            <w:r/>
            <w:r>
              <w:rPr>
                <w:sz w:val="13"/>
              </w:rPr>
              <w:t>chandrasekaran-meeting-notes-aug28.docx</w:t>
            </w:r>
          </w:p>
        </w:tc>
        <w:tc>
          <w:tcPr>
            <w:tcW w:type="dxa" w:w="792"/>
          </w:tcPr>
          <w:p>
            <w:r/>
            <w:r>
              <w:rPr>
                <w:sz w:val="13"/>
              </w:rPr>
              <w:t>08/28/2023</w:t>
            </w:r>
          </w:p>
        </w:tc>
        <w:tc>
          <w:tcPr>
            <w:tcW w:type="dxa" w:w="936"/>
          </w:tcPr>
          <w:p>
            <w:r/>
            <w:r>
              <w:rPr>
                <w:sz w:val="13"/>
              </w:rPr>
              <w:t>P. Chandrasekaran*</w:t>
            </w:r>
          </w:p>
        </w:tc>
        <w:tc>
          <w:tcPr>
            <w:tcW w:type="dxa" w:w="1944"/>
          </w:tcPr>
          <w:p>
            <w:r/>
            <w:r>
              <w:rPr>
                <w:sz w:val="13"/>
              </w:rPr>
              <w:t>GC notes of meeting re R&amp;D performance/Vasquez: operational discussion; 'Legal Strategy' sections on retaliation exposure, outside-counsel advice, severance structure.</w:t>
            </w:r>
          </w:p>
        </w:tc>
        <w:tc>
          <w:tcPr>
            <w:tcW w:type="dxa" w:w="864"/>
          </w:tcPr>
          <w:p>
            <w:r/>
            <w:r>
              <w:rPr>
                <w:sz w:val="13"/>
              </w:rPr>
              <w:t>Highly Relevant (Hot)</w:t>
            </w:r>
          </w:p>
        </w:tc>
        <w:tc>
          <w:tcPr>
            <w:tcW w:type="dxa" w:w="1080"/>
          </w:tcPr>
          <w:p>
            <w:r/>
            <w:r>
              <w:rPr>
                <w:sz w:val="13"/>
              </w:rPr>
              <w:t>Pretext; decision-maker knowledge of protected activity; 60-day PIP policy</w:t>
            </w:r>
          </w:p>
        </w:tc>
        <w:tc>
          <w:tcPr>
            <w:tcW w:type="dxa" w:w="1152"/>
          </w:tcPr>
          <w:p>
            <w:r/>
            <w:r>
              <w:rPr>
                <w:sz w:val="13"/>
              </w:rPr>
              <w:t>Partially privileged: 'Legal Strategy' sections Attorney-Client/Work Product</w:t>
            </w:r>
          </w:p>
        </w:tc>
        <w:tc>
          <w:tcPr>
            <w:tcW w:type="dxa" w:w="864"/>
          </w:tcPr>
          <w:p>
            <w:r/>
            <w:r>
              <w:rPr>
                <w:sz w:val="13"/>
              </w:rPr>
              <w:t>Produce with redactions</w:t>
            </w:r>
          </w:p>
        </w:tc>
      </w:tr>
      <w:tr>
        <w:tc>
          <w:tcPr>
            <w:tcW w:type="dxa" w:w="792"/>
          </w:tcPr>
          <w:p>
            <w:r/>
            <w:r>
              <w:rPr>
                <w:sz w:val="13"/>
              </w:rPr>
              <w:t>MPI-REV-012</w:t>
            </w:r>
          </w:p>
        </w:tc>
        <w:tc>
          <w:tcPr>
            <w:tcW w:type="dxa" w:w="1296"/>
          </w:tcPr>
          <w:p>
            <w:r/>
            <w:r>
              <w:rPr>
                <w:sz w:val="13"/>
              </w:rPr>
              <w:t>vasquez-pip.docx</w:t>
            </w:r>
          </w:p>
        </w:tc>
        <w:tc>
          <w:tcPr>
            <w:tcW w:type="dxa" w:w="792"/>
          </w:tcPr>
          <w:p>
            <w:r/>
            <w:r>
              <w:rPr>
                <w:sz w:val="13"/>
              </w:rPr>
              <w:t>09/08/2023</w:t>
            </w:r>
          </w:p>
        </w:tc>
        <w:tc>
          <w:tcPr>
            <w:tcW w:type="dxa" w:w="936"/>
          </w:tcPr>
          <w:p>
            <w:r/>
            <w:r>
              <w:rPr>
                <w:sz w:val="13"/>
              </w:rPr>
              <w:t>T. Bellworth (reviewed D. Simmons)</w:t>
            </w:r>
          </w:p>
        </w:tc>
        <w:tc>
          <w:tcPr>
            <w:tcW w:type="dxa" w:w="1944"/>
          </w:tcPr>
          <w:p>
            <w:r/>
            <w:r>
              <w:rPr>
                <w:sz w:val="13"/>
              </w:rPr>
              <w:t>60-day PIP (9/8–11/7/2023); Vasquez signed 'under protest.'</w:t>
            </w:r>
          </w:p>
        </w:tc>
        <w:tc>
          <w:tcPr>
            <w:tcW w:type="dxa" w:w="864"/>
          </w:tcPr>
          <w:p>
            <w:r/>
            <w:r>
              <w:rPr>
                <w:sz w:val="13"/>
              </w:rPr>
              <w:t>Highly Relevant (Key)</w:t>
            </w:r>
          </w:p>
        </w:tc>
        <w:tc>
          <w:tcPr>
            <w:tcW w:type="dxa" w:w="1080"/>
          </w:tcPr>
          <w:p>
            <w:r/>
            <w:r>
              <w:rPr>
                <w:sz w:val="13"/>
              </w:rPr>
              <w:t>Pretext: 7-day termination within 60-day PIP</w:t>
            </w:r>
          </w:p>
        </w:tc>
        <w:tc>
          <w:tcPr>
            <w:tcW w:type="dxa" w:w="1152"/>
          </w:tcPr>
          <w:p>
            <w:r/>
            <w:r>
              <w:rPr>
                <w:sz w:val="13"/>
              </w:rPr>
              <w:t>Not privileged: delivered to plaintiff</w:t>
            </w:r>
          </w:p>
        </w:tc>
        <w:tc>
          <w:tcPr>
            <w:tcW w:type="dxa" w:w="864"/>
          </w:tcPr>
          <w:p>
            <w:r/>
            <w:r>
              <w:rPr>
                <w:sz w:val="13"/>
              </w:rPr>
              <w:t>Produce</w:t>
            </w:r>
          </w:p>
        </w:tc>
      </w:tr>
      <w:tr>
        <w:tc>
          <w:tcPr>
            <w:tcW w:type="dxa" w:w="792"/>
          </w:tcPr>
          <w:p>
            <w:r/>
            <w:r>
              <w:rPr>
                <w:sz w:val="13"/>
              </w:rPr>
              <w:t>MPI-REV-013</w:t>
            </w:r>
          </w:p>
        </w:tc>
        <w:tc>
          <w:tcPr>
            <w:tcW w:type="dxa" w:w="1296"/>
          </w:tcPr>
          <w:p>
            <w:r/>
            <w:r>
              <w:rPr>
                <w:sz w:val="13"/>
              </w:rPr>
              <w:t>vasquez-termination-letter.docx</w:t>
            </w:r>
          </w:p>
        </w:tc>
        <w:tc>
          <w:tcPr>
            <w:tcW w:type="dxa" w:w="792"/>
          </w:tcPr>
          <w:p>
            <w:r/>
            <w:r>
              <w:rPr>
                <w:sz w:val="13"/>
              </w:rPr>
              <w:t>09/15/2023</w:t>
            </w:r>
          </w:p>
        </w:tc>
        <w:tc>
          <w:tcPr>
            <w:tcW w:type="dxa" w:w="936"/>
          </w:tcPr>
          <w:p>
            <w:r/>
            <w:r>
              <w:rPr>
                <w:sz w:val="13"/>
              </w:rPr>
              <w:t>T. Bellworth; G. Firth</w:t>
            </w:r>
          </w:p>
        </w:tc>
        <w:tc>
          <w:tcPr>
            <w:tcW w:type="dxa" w:w="1944"/>
          </w:tcPr>
          <w:p>
            <w:r/>
            <w:r>
              <w:rPr>
                <w:sz w:val="13"/>
              </w:rPr>
              <w:t>Termination for performance and leadership deficiencies; no reference to PIP or environmental memo.</w:t>
            </w:r>
          </w:p>
        </w:tc>
        <w:tc>
          <w:tcPr>
            <w:tcW w:type="dxa" w:w="864"/>
          </w:tcPr>
          <w:p>
            <w:r/>
            <w:r>
              <w:rPr>
                <w:sz w:val="13"/>
              </w:rPr>
              <w:t>Highly Relevant (Key)</w:t>
            </w:r>
          </w:p>
        </w:tc>
        <w:tc>
          <w:tcPr>
            <w:tcW w:type="dxa" w:w="1080"/>
          </w:tcPr>
          <w:p>
            <w:r/>
            <w:r>
              <w:rPr>
                <w:sz w:val="13"/>
              </w:rPr>
              <w:t>Wrongful termination: stated reason</w:t>
            </w:r>
          </w:p>
        </w:tc>
        <w:tc>
          <w:tcPr>
            <w:tcW w:type="dxa" w:w="1152"/>
          </w:tcPr>
          <w:p>
            <w:r/>
            <w:r>
              <w:rPr>
                <w:sz w:val="13"/>
              </w:rPr>
              <w:t>Not privileged: sent to plaintiff; cc to GC immaterial</w:t>
            </w:r>
          </w:p>
        </w:tc>
        <w:tc>
          <w:tcPr>
            <w:tcW w:type="dxa" w:w="864"/>
          </w:tcPr>
          <w:p>
            <w:r/>
            <w:r>
              <w:rPr>
                <w:sz w:val="13"/>
              </w:rPr>
              <w:t>Produce</w:t>
            </w:r>
          </w:p>
        </w:tc>
      </w:tr>
      <w:tr>
        <w:tc>
          <w:tcPr>
            <w:tcW w:type="dxa" w:w="792"/>
          </w:tcPr>
          <w:p>
            <w:r/>
            <w:r>
              <w:rPr>
                <w:sz w:val="13"/>
              </w:rPr>
              <w:t>MPI-REV-014</w:t>
            </w:r>
          </w:p>
        </w:tc>
        <w:tc>
          <w:tcPr>
            <w:tcW w:type="dxa" w:w="1296"/>
          </w:tcPr>
          <w:p>
            <w:r/>
            <w:r>
              <w:rPr>
                <w:sz w:val="13"/>
              </w:rPr>
              <w:t>vasquez-separation-agreement.docx</w:t>
            </w:r>
          </w:p>
        </w:tc>
        <w:tc>
          <w:tcPr>
            <w:tcW w:type="dxa" w:w="792"/>
          </w:tcPr>
          <w:p>
            <w:r/>
            <w:r>
              <w:rPr>
                <w:sz w:val="13"/>
              </w:rPr>
              <w:t>09/20/2023</w:t>
            </w:r>
          </w:p>
        </w:tc>
        <w:tc>
          <w:tcPr>
            <w:tcW w:type="dxa" w:w="936"/>
          </w:tcPr>
          <w:p>
            <w:r/>
            <w:r>
              <w:rPr>
                <w:sz w:val="13"/>
              </w:rPr>
              <w:t>Office of General Counsel (P. Chandrasekaran*); transmitted by T. Bellworth</w:t>
            </w:r>
          </w:p>
        </w:tc>
        <w:tc>
          <w:tcPr>
            <w:tcW w:type="dxa" w:w="1944"/>
          </w:tcPr>
          <w:p>
            <w:r/>
            <w:r>
              <w:rPr>
                <w:sz w:val="13"/>
              </w:rPr>
              <w:t>Unexecuted draft Separation Agreement and General Release offered to Vasquez; footer marked 'Attorney Work Product.'</w:t>
            </w:r>
          </w:p>
        </w:tc>
        <w:tc>
          <w:tcPr>
            <w:tcW w:type="dxa" w:w="864"/>
          </w:tcPr>
          <w:p>
            <w:r/>
            <w:r>
              <w:rPr>
                <w:sz w:val="13"/>
              </w:rPr>
              <w:t>Relevant</w:t>
            </w:r>
          </w:p>
        </w:tc>
        <w:tc>
          <w:tcPr>
            <w:tcW w:type="dxa" w:w="1080"/>
          </w:tcPr>
          <w:p>
            <w:r/>
            <w:r>
              <w:rPr>
                <w:sz w:val="13"/>
              </w:rPr>
              <w:t>Wrongful termination; release/non-compete terms; settlement context</w:t>
            </w:r>
          </w:p>
        </w:tc>
        <w:tc>
          <w:tcPr>
            <w:tcW w:type="dxa" w:w="1152"/>
          </w:tcPr>
          <w:p>
            <w:r/>
            <w:r>
              <w:rPr>
                <w:sz w:val="13"/>
              </w:rPr>
              <w:t>Not privileged: any privilege/work product waived by transmission to adverse party</w:t>
            </w:r>
          </w:p>
        </w:tc>
        <w:tc>
          <w:tcPr>
            <w:tcW w:type="dxa" w:w="864"/>
          </w:tcPr>
          <w:p>
            <w:r/>
            <w:r>
              <w:rPr>
                <w:sz w:val="13"/>
              </w:rPr>
              <w:t>Produce (Evid.R. 408 admissibility objection reserved)</w:t>
            </w:r>
          </w:p>
        </w:tc>
      </w:tr>
      <w:tr>
        <w:tc>
          <w:tcPr>
            <w:tcW w:type="dxa" w:w="792"/>
          </w:tcPr>
          <w:p>
            <w:r/>
            <w:r>
              <w:rPr>
                <w:sz w:val="13"/>
              </w:rPr>
              <w:t>MPI-REV-015</w:t>
            </w:r>
          </w:p>
        </w:tc>
        <w:tc>
          <w:tcPr>
            <w:tcW w:type="dxa" w:w="1296"/>
          </w:tcPr>
          <w:p>
            <w:r/>
            <w:r>
              <w:rPr>
                <w:sz w:val="13"/>
              </w:rPr>
              <w:t>litigation-hold-notice.docx</w:t>
            </w:r>
          </w:p>
        </w:tc>
        <w:tc>
          <w:tcPr>
            <w:tcW w:type="dxa" w:w="792"/>
          </w:tcPr>
          <w:p>
            <w:r/>
            <w:r>
              <w:rPr>
                <w:sz w:val="13"/>
              </w:rPr>
              <w:t>10/05/2023</w:t>
            </w:r>
          </w:p>
        </w:tc>
        <w:tc>
          <w:tcPr>
            <w:tcW w:type="dxa" w:w="936"/>
          </w:tcPr>
          <w:p>
            <w:r/>
            <w:r>
              <w:rPr>
                <w:sz w:val="13"/>
              </w:rPr>
              <w:t>P. Chandrasekaran*</w:t>
            </w:r>
          </w:p>
        </w:tc>
        <w:tc>
          <w:tcPr>
            <w:tcW w:type="dxa" w:w="1944"/>
          </w:tcPr>
          <w:p>
            <w:r/>
            <w:r>
              <w:rPr>
                <w:sz w:val="13"/>
              </w:rPr>
              <w:t>Litigation hold notice; includes preservation categories and outside counsel's assessment of litigation vulnerabilities and priority defense documents.</w:t>
            </w:r>
          </w:p>
        </w:tc>
        <w:tc>
          <w:tcPr>
            <w:tcW w:type="dxa" w:w="864"/>
          </w:tcPr>
          <w:p>
            <w:r/>
            <w:r>
              <w:rPr>
                <w:sz w:val="13"/>
              </w:rPr>
              <w:t>Relevant</w:t>
            </w:r>
          </w:p>
        </w:tc>
        <w:tc>
          <w:tcPr>
            <w:tcW w:type="dxa" w:w="1080"/>
          </w:tcPr>
          <w:p>
            <w:r/>
            <w:r>
              <w:rPr>
                <w:sz w:val="13"/>
              </w:rPr>
              <w:t>Preservation/spoliation; defense strategy</w:t>
            </w:r>
          </w:p>
        </w:tc>
        <w:tc>
          <w:tcPr>
            <w:tcW w:type="dxa" w:w="1152"/>
          </w:tcPr>
          <w:p>
            <w:r/>
            <w:r>
              <w:rPr>
                <w:sz w:val="13"/>
              </w:rPr>
              <w:t>Attorney-Client; Work Product</w:t>
            </w:r>
          </w:p>
        </w:tc>
        <w:tc>
          <w:tcPr>
            <w:tcW w:type="dxa" w:w="864"/>
          </w:tcPr>
          <w:p>
            <w:r/>
            <w:r>
              <w:rPr>
                <w:sz w:val="13"/>
              </w:rPr>
              <w:t>Withhold (disclose date, custodians and categories on request)</w:t>
            </w:r>
          </w:p>
        </w:tc>
      </w:tr>
      <w:tr>
        <w:tc>
          <w:tcPr>
            <w:tcW w:type="dxa" w:w="792"/>
          </w:tcPr>
          <w:p>
            <w:r/>
            <w:r>
              <w:rPr>
                <w:sz w:val="13"/>
              </w:rPr>
              <w:t>MPI-REV-016</w:t>
            </w:r>
          </w:p>
        </w:tc>
        <w:tc>
          <w:tcPr>
            <w:tcW w:type="dxa" w:w="1296"/>
          </w:tcPr>
          <w:p>
            <w:r/>
            <w:r>
              <w:rPr>
                <w:sz w:val="13"/>
              </w:rPr>
              <w:t>chandrasekaran-fwd-burrell-memo.eml</w:t>
            </w:r>
          </w:p>
        </w:tc>
        <w:tc>
          <w:tcPr>
            <w:tcW w:type="dxa" w:w="792"/>
          </w:tcPr>
          <w:p>
            <w:r/>
            <w:r>
              <w:rPr>
                <w:sz w:val="13"/>
              </w:rPr>
              <w:t>10/10/2023</w:t>
            </w:r>
          </w:p>
        </w:tc>
        <w:tc>
          <w:tcPr>
            <w:tcW w:type="dxa" w:w="936"/>
          </w:tcPr>
          <w:p>
            <w:r/>
            <w:r>
              <w:rPr>
                <w:sz w:val="13"/>
              </w:rPr>
              <w:t>P. Chandrasekaran*</w:t>
            </w:r>
          </w:p>
        </w:tc>
        <w:tc>
          <w:tcPr>
            <w:tcW w:type="dxa" w:w="1944"/>
          </w:tcPr>
          <w:p>
            <w:r/>
            <w:r>
              <w:rPr>
                <w:sz w:val="13"/>
              </w:rPr>
              <w:t>GC summary of outside counsel's Oct. 8, 2023 litigation strategy memo; requests VP Operations' input on operational records.</w:t>
            </w:r>
          </w:p>
        </w:tc>
        <w:tc>
          <w:tcPr>
            <w:tcW w:type="dxa" w:w="864"/>
          </w:tcPr>
          <w:p>
            <w:r/>
            <w:r>
              <w:rPr>
                <w:sz w:val="13"/>
              </w:rPr>
              <w:t>Highly Relevant</w:t>
            </w:r>
          </w:p>
        </w:tc>
        <w:tc>
          <w:tcPr>
            <w:tcW w:type="dxa" w:w="1080"/>
          </w:tcPr>
          <w:p>
            <w:r/>
            <w:r>
              <w:rPr>
                <w:sz w:val="13"/>
              </w:rPr>
              <w:t>All claims: defense strategy</w:t>
            </w:r>
          </w:p>
        </w:tc>
        <w:tc>
          <w:tcPr>
            <w:tcW w:type="dxa" w:w="1152"/>
          </w:tcPr>
          <w:p>
            <w:r/>
            <w:r>
              <w:rPr>
                <w:sz w:val="13"/>
              </w:rPr>
              <w:t>Attorney-Client; Work Product</w:t>
            </w:r>
          </w:p>
        </w:tc>
        <w:tc>
          <w:tcPr>
            <w:tcW w:type="dxa" w:w="864"/>
          </w:tcPr>
          <w:p>
            <w:r/>
            <w:r>
              <w:rPr>
                <w:sz w:val="13"/>
              </w:rPr>
              <w:t>Withhold</w:t>
            </w:r>
          </w:p>
        </w:tc>
      </w:tr>
      <w:tr>
        <w:tc>
          <w:tcPr>
            <w:tcW w:type="dxa" w:w="792"/>
          </w:tcPr>
          <w:p>
            <w:r/>
            <w:r>
              <w:rPr>
                <w:sz w:val="13"/>
              </w:rPr>
              <w:t>MPI-REV-017</w:t>
            </w:r>
          </w:p>
        </w:tc>
        <w:tc>
          <w:tcPr>
            <w:tcW w:type="dxa" w:w="1296"/>
          </w:tcPr>
          <w:p>
            <w:r/>
            <w:r>
              <w:rPr>
                <w:sz w:val="13"/>
              </w:rPr>
              <w:t>plaintiff-demand-letter.docx</w:t>
            </w:r>
          </w:p>
        </w:tc>
        <w:tc>
          <w:tcPr>
            <w:tcW w:type="dxa" w:w="792"/>
          </w:tcPr>
          <w:p>
            <w:r/>
            <w:r>
              <w:rPr>
                <w:sz w:val="13"/>
              </w:rPr>
              <w:t>10/15/2023</w:t>
            </w:r>
          </w:p>
        </w:tc>
        <w:tc>
          <w:tcPr>
            <w:tcW w:type="dxa" w:w="936"/>
          </w:tcPr>
          <w:p>
            <w:r/>
            <w:r>
              <w:rPr>
                <w:sz w:val="13"/>
              </w:rPr>
              <w:t>M. Hargrove (Hargrove &amp; Linden, plaintiff's counsel)</w:t>
            </w:r>
          </w:p>
        </w:tc>
        <w:tc>
          <w:tcPr>
            <w:tcW w:type="dxa" w:w="1944"/>
          </w:tcPr>
          <w:p>
            <w:r/>
            <w:r>
              <w:rPr>
                <w:sz w:val="13"/>
              </w:rPr>
              <w:t>Plaintiff's pre-discovery demand of $8.7M; summarizes retaliation and inventorship allegations.</w:t>
            </w:r>
          </w:p>
        </w:tc>
        <w:tc>
          <w:tcPr>
            <w:tcW w:type="dxa" w:w="864"/>
          </w:tcPr>
          <w:p>
            <w:r/>
            <w:r>
              <w:rPr>
                <w:sz w:val="13"/>
              </w:rPr>
              <w:t>Relevant</w:t>
            </w:r>
          </w:p>
        </w:tc>
        <w:tc>
          <w:tcPr>
            <w:tcW w:type="dxa" w:w="1080"/>
          </w:tcPr>
          <w:p>
            <w:r/>
            <w:r>
              <w:rPr>
                <w:sz w:val="13"/>
              </w:rPr>
              <w:t>All claims; damages</w:t>
            </w:r>
          </w:p>
        </w:tc>
        <w:tc>
          <w:tcPr>
            <w:tcW w:type="dxa" w:w="1152"/>
          </w:tcPr>
          <w:p>
            <w:r/>
            <w:r>
              <w:rPr>
                <w:sz w:val="13"/>
              </w:rPr>
              <w:t>Not privileged: from opposing counsel</w:t>
            </w:r>
          </w:p>
        </w:tc>
        <w:tc>
          <w:tcPr>
            <w:tcW w:type="dxa" w:w="864"/>
          </w:tcPr>
          <w:p>
            <w:r/>
            <w:r>
              <w:rPr>
                <w:sz w:val="13"/>
              </w:rPr>
              <w:t>Produce (Evid.R. 408 reserved)</w:t>
            </w:r>
          </w:p>
        </w:tc>
      </w:tr>
      <w:tr>
        <w:tc>
          <w:tcPr>
            <w:tcW w:type="dxa" w:w="792"/>
          </w:tcPr>
          <w:p>
            <w:r/>
            <w:r>
              <w:rPr>
                <w:sz w:val="13"/>
              </w:rPr>
              <w:t>MPI-REV-018</w:t>
            </w:r>
          </w:p>
        </w:tc>
        <w:tc>
          <w:tcPr>
            <w:tcW w:type="dxa" w:w="1296"/>
          </w:tcPr>
          <w:p>
            <w:r/>
            <w:r>
              <w:rPr>
                <w:sz w:val="13"/>
              </w:rPr>
              <w:t>inventor-list-email-chain.eml</w:t>
            </w:r>
          </w:p>
        </w:tc>
        <w:tc>
          <w:tcPr>
            <w:tcW w:type="dxa" w:w="792"/>
          </w:tcPr>
          <w:p>
            <w:r/>
            <w:r>
              <w:rPr>
                <w:sz w:val="13"/>
              </w:rPr>
              <w:t>10/18/2023–10/19/2023</w:t>
            </w:r>
          </w:p>
        </w:tc>
        <w:tc>
          <w:tcPr>
            <w:tcW w:type="dxa" w:w="936"/>
          </w:tcPr>
          <w:p>
            <w:r/>
            <w:r>
              <w:rPr>
                <w:sz w:val="13"/>
              </w:rPr>
              <w:t>D. Simmons; R. Mehta; K. Park</w:t>
            </w:r>
          </w:p>
        </w:tc>
        <w:tc>
          <w:tcPr>
            <w:tcW w:type="dxa" w:w="1944"/>
          </w:tcPr>
          <w:p>
            <w:r/>
            <w:r>
              <w:rPr>
                <w:sz w:val="13"/>
              </w:rPr>
              <w:t>Simmons proposes to 'streamline the inventor list... given the current situation' and name only Mehta and Park on the continuation; both agree.</w:t>
            </w:r>
          </w:p>
        </w:tc>
        <w:tc>
          <w:tcPr>
            <w:tcW w:type="dxa" w:w="864"/>
          </w:tcPr>
          <w:p>
            <w:r/>
            <w:r>
              <w:rPr>
                <w:sz w:val="13"/>
              </w:rPr>
              <w:t>Highly Relevant (Hot)</w:t>
            </w:r>
          </w:p>
        </w:tc>
        <w:tc>
          <w:tcPr>
            <w:tcW w:type="dxa" w:w="1080"/>
          </w:tcPr>
          <w:p>
            <w:r/>
            <w:r>
              <w:rPr>
                <w:sz w:val="13"/>
              </w:rPr>
              <w:t>Inventorship; trade secret; post-termination retaliation</w:t>
            </w:r>
          </w:p>
        </w:tc>
        <w:tc>
          <w:tcPr>
            <w:tcW w:type="dxa" w:w="1152"/>
          </w:tcPr>
          <w:p>
            <w:r/>
            <w:r>
              <w:rPr>
                <w:sz w:val="13"/>
              </w:rPr>
              <w:t>Not privileged: no attorney; patent agent not party to communications</w:t>
            </w:r>
          </w:p>
        </w:tc>
        <w:tc>
          <w:tcPr>
            <w:tcW w:type="dxa" w:w="864"/>
          </w:tcPr>
          <w:p>
            <w:r/>
            <w:r>
              <w:rPr>
                <w:sz w:val="13"/>
              </w:rPr>
              <w:t>Produce</w:t>
            </w:r>
          </w:p>
        </w:tc>
      </w:tr>
      <w:tr>
        <w:tc>
          <w:tcPr>
            <w:tcW w:type="dxa" w:w="792"/>
          </w:tcPr>
          <w:p>
            <w:r/>
            <w:r>
              <w:rPr>
                <w:sz w:val="13"/>
              </w:rPr>
              <w:t>MPI-REV-019</w:t>
            </w:r>
          </w:p>
        </w:tc>
        <w:tc>
          <w:tcPr>
            <w:tcW w:type="dxa" w:w="1296"/>
          </w:tcPr>
          <w:p>
            <w:r/>
            <w:r>
              <w:rPr>
                <w:sz w:val="13"/>
              </w:rPr>
              <w:t>burrell-stanton-joint-defense.eml</w:t>
            </w:r>
          </w:p>
        </w:tc>
        <w:tc>
          <w:tcPr>
            <w:tcW w:type="dxa" w:w="792"/>
          </w:tcPr>
          <w:p>
            <w:r/>
            <w:r>
              <w:rPr>
                <w:sz w:val="13"/>
              </w:rPr>
              <w:t>10/20/2023</w:t>
            </w:r>
          </w:p>
        </w:tc>
        <w:tc>
          <w:tcPr>
            <w:tcW w:type="dxa" w:w="936"/>
          </w:tcPr>
          <w:p>
            <w:r/>
            <w:r>
              <w:rPr>
                <w:sz w:val="13"/>
              </w:rPr>
              <w:t>C. Burrell*; A. Greer* (counsel for R. Mehta)</w:t>
            </w:r>
          </w:p>
        </w:tc>
        <w:tc>
          <w:tcPr>
            <w:tcW w:type="dxa" w:w="1944"/>
          </w:tcPr>
          <w:p>
            <w:r/>
            <w:r>
              <w:rPr>
                <w:sz w:val="13"/>
              </w:rPr>
              <w:t>Outside counsel for Meridian and counsel for Dr. Mehta coordinate defense of inventorship claims, deposition preparation, and privilege positions.</w:t>
            </w:r>
          </w:p>
        </w:tc>
        <w:tc>
          <w:tcPr>
            <w:tcW w:type="dxa" w:w="864"/>
          </w:tcPr>
          <w:p>
            <w:r/>
            <w:r>
              <w:rPr>
                <w:sz w:val="13"/>
              </w:rPr>
              <w:t>Highly Relevant</w:t>
            </w:r>
          </w:p>
        </w:tc>
        <w:tc>
          <w:tcPr>
            <w:tcW w:type="dxa" w:w="1080"/>
          </w:tcPr>
          <w:p>
            <w:r/>
            <w:r>
              <w:rPr>
                <w:sz w:val="13"/>
              </w:rPr>
              <w:t>Inventorship; trade secret; Mehta testimony</w:t>
            </w:r>
          </w:p>
        </w:tc>
        <w:tc>
          <w:tcPr>
            <w:tcW w:type="dxa" w:w="1152"/>
          </w:tcPr>
          <w:p>
            <w:r/>
            <w:r>
              <w:rPr>
                <w:sz w:val="13"/>
              </w:rPr>
              <w:t>Work Product; Attorney-Client (common-interest)</w:t>
            </w:r>
          </w:p>
        </w:tc>
        <w:tc>
          <w:tcPr>
            <w:tcW w:type="dxa" w:w="864"/>
          </w:tcPr>
          <w:p>
            <w:r/>
            <w:r>
              <w:rPr>
                <w:sz w:val="13"/>
              </w:rPr>
              <w:t>Withhold</w:t>
            </w:r>
          </w:p>
        </w:tc>
      </w:tr>
      <w:tr>
        <w:tc>
          <w:tcPr>
            <w:tcW w:type="dxa" w:w="792"/>
          </w:tcPr>
          <w:p>
            <w:r/>
            <w:r>
              <w:rPr>
                <w:sz w:val="13"/>
              </w:rPr>
              <w:t>MPI-REV-020</w:t>
            </w:r>
          </w:p>
        </w:tc>
        <w:tc>
          <w:tcPr>
            <w:tcW w:type="dxa" w:w="1296"/>
          </w:tcPr>
          <w:p>
            <w:r/>
            <w:r>
              <w:rPr>
                <w:sz w:val="13"/>
              </w:rPr>
              <w:t>mpc7x-original-patent.docx</w:t>
            </w:r>
          </w:p>
        </w:tc>
        <w:tc>
          <w:tcPr>
            <w:tcW w:type="dxa" w:w="792"/>
          </w:tcPr>
          <w:p>
            <w:r/>
            <w:r>
              <w:rPr>
                <w:sz w:val="13"/>
              </w:rPr>
              <w:t>08/15/2022</w:t>
            </w:r>
          </w:p>
        </w:tc>
        <w:tc>
          <w:tcPr>
            <w:tcW w:type="dxa" w:w="936"/>
          </w:tcPr>
          <w:p>
            <w:r/>
            <w:r>
              <w:rPr>
                <w:sz w:val="13"/>
              </w:rPr>
              <w:t>USPTO / Aldersgate Patent Services (agent)</w:t>
            </w:r>
          </w:p>
        </w:tc>
        <w:tc>
          <w:tcPr>
            <w:tcW w:type="dxa" w:w="1944"/>
          </w:tcPr>
          <w:p>
            <w:r/>
            <w:r>
              <w:rPr>
                <w:sz w:val="13"/>
              </w:rPr>
              <w:t>U.S. Patent No. 11,234,567 (MPC-7X); inventors Vasquez and Mehta; assigned to Meridian.</w:t>
            </w:r>
          </w:p>
        </w:tc>
        <w:tc>
          <w:tcPr>
            <w:tcW w:type="dxa" w:w="864"/>
          </w:tcPr>
          <w:p>
            <w:r/>
            <w:r>
              <w:rPr>
                <w:sz w:val="13"/>
              </w:rPr>
              <w:t>Highly Relevant (Key)</w:t>
            </w:r>
          </w:p>
        </w:tc>
        <w:tc>
          <w:tcPr>
            <w:tcW w:type="dxa" w:w="1080"/>
          </w:tcPr>
          <w:p>
            <w:r/>
            <w:r>
              <w:rPr>
                <w:sz w:val="13"/>
              </w:rPr>
              <w:t>Inventorship; trade secret; assignment</w:t>
            </w:r>
          </w:p>
        </w:tc>
        <w:tc>
          <w:tcPr>
            <w:tcW w:type="dxa" w:w="1152"/>
          </w:tcPr>
          <w:p>
            <w:r/>
            <w:r>
              <w:rPr>
                <w:sz w:val="13"/>
              </w:rPr>
              <w:t>Not privileged: public record</w:t>
            </w:r>
          </w:p>
        </w:tc>
        <w:tc>
          <w:tcPr>
            <w:tcW w:type="dxa" w:w="864"/>
          </w:tcPr>
          <w:p>
            <w:r/>
            <w:r>
              <w:rPr>
                <w:sz w:val="13"/>
              </w:rPr>
              <w:t>Produce</w:t>
            </w:r>
          </w:p>
        </w:tc>
      </w:tr>
      <w:tr>
        <w:tc>
          <w:tcPr>
            <w:tcW w:type="dxa" w:w="792"/>
          </w:tcPr>
          <w:p>
            <w:r/>
            <w:r>
              <w:rPr>
                <w:sz w:val="13"/>
              </w:rPr>
              <w:t>MPI-REV-021</w:t>
            </w:r>
          </w:p>
        </w:tc>
        <w:tc>
          <w:tcPr>
            <w:tcW w:type="dxa" w:w="1296"/>
          </w:tcPr>
          <w:p>
            <w:r/>
            <w:r>
              <w:rPr>
                <w:sz w:val="13"/>
              </w:rPr>
              <w:t>mpc7x-continuation-app.docx</w:t>
            </w:r>
          </w:p>
        </w:tc>
        <w:tc>
          <w:tcPr>
            <w:tcW w:type="dxa" w:w="792"/>
          </w:tcPr>
          <w:p>
            <w:r/>
            <w:r>
              <w:rPr>
                <w:sz w:val="13"/>
              </w:rPr>
              <w:t>11/01/2023</w:t>
            </w:r>
          </w:p>
        </w:tc>
        <w:tc>
          <w:tcPr>
            <w:tcW w:type="dxa" w:w="936"/>
          </w:tcPr>
          <w:p>
            <w:r/>
            <w:r>
              <w:rPr>
                <w:sz w:val="13"/>
              </w:rPr>
              <w:t>Aldersgate Patent Services (agent); inventors R. Mehta, K. Park</w:t>
            </w:r>
          </w:p>
        </w:tc>
        <w:tc>
          <w:tcPr>
            <w:tcW w:type="dxa" w:w="1944"/>
          </w:tcPr>
          <w:p>
            <w:r/>
            <w:r>
              <w:rPr>
                <w:sz w:val="13"/>
              </w:rPr>
              <w:t>Continuation App. No. 18/456,789 listing only Mehta and Park; states cure-accelerator work done Q3 2022–Q1 2023.</w:t>
            </w:r>
          </w:p>
        </w:tc>
        <w:tc>
          <w:tcPr>
            <w:tcW w:type="dxa" w:w="864"/>
          </w:tcPr>
          <w:p>
            <w:r/>
            <w:r>
              <w:rPr>
                <w:sz w:val="13"/>
              </w:rPr>
              <w:t>Highly Relevant (Key)</w:t>
            </w:r>
          </w:p>
        </w:tc>
        <w:tc>
          <w:tcPr>
            <w:tcW w:type="dxa" w:w="1080"/>
          </w:tcPr>
          <w:p>
            <w:r/>
            <w:r>
              <w:rPr>
                <w:sz w:val="13"/>
              </w:rPr>
              <w:t>Inventorship; trade secret misappropriation</w:t>
            </w:r>
          </w:p>
        </w:tc>
        <w:tc>
          <w:tcPr>
            <w:tcW w:type="dxa" w:w="1152"/>
          </w:tcPr>
          <w:p>
            <w:r/>
            <w:r>
              <w:rPr>
                <w:sz w:val="13"/>
              </w:rPr>
              <w:t>Not privileged: filed with USPTO</w:t>
            </w:r>
          </w:p>
        </w:tc>
        <w:tc>
          <w:tcPr>
            <w:tcW w:type="dxa" w:w="864"/>
          </w:tcPr>
          <w:p>
            <w:r/>
            <w:r>
              <w:rPr>
                <w:sz w:val="13"/>
              </w:rPr>
              <w:t>Produce (Confidential until published)</w:t>
            </w:r>
          </w:p>
        </w:tc>
      </w:tr>
      <w:tr>
        <w:tc>
          <w:tcPr>
            <w:tcW w:type="dxa" w:w="792"/>
          </w:tcPr>
          <w:p>
            <w:r/>
            <w:r>
              <w:rPr>
                <w:sz w:val="13"/>
              </w:rPr>
              <w:t>MPI-REV-022</w:t>
            </w:r>
          </w:p>
        </w:tc>
        <w:tc>
          <w:tcPr>
            <w:tcW w:type="dxa" w:w="1296"/>
          </w:tcPr>
          <w:p>
            <w:r/>
            <w:r>
              <w:rPr>
                <w:sz w:val="13"/>
              </w:rPr>
              <w:t>vasquez-invention-assignment.docx</w:t>
            </w:r>
          </w:p>
        </w:tc>
        <w:tc>
          <w:tcPr>
            <w:tcW w:type="dxa" w:w="792"/>
          </w:tcPr>
          <w:p>
            <w:r/>
            <w:r>
              <w:rPr>
                <w:sz w:val="13"/>
              </w:rPr>
              <w:t>03/12/2018</w:t>
            </w:r>
          </w:p>
        </w:tc>
        <w:tc>
          <w:tcPr>
            <w:tcW w:type="dxa" w:w="936"/>
          </w:tcPr>
          <w:p>
            <w:r/>
            <w:r>
              <w:rPr>
                <w:sz w:val="13"/>
              </w:rPr>
              <w:t>Meridian Polymers; L. Vasquez</w:t>
            </w:r>
          </w:p>
        </w:tc>
        <w:tc>
          <w:tcPr>
            <w:tcW w:type="dxa" w:w="1944"/>
          </w:tcPr>
          <w:p>
            <w:r/>
            <w:r>
              <w:rPr>
                <w:sz w:val="13"/>
              </w:rPr>
              <w:t>Employee Invention Assignment and Confidentiality Agreement, incl. R.C. own-time carve-out (§2.5) and Prior Inventions exhibit.</w:t>
            </w:r>
          </w:p>
        </w:tc>
        <w:tc>
          <w:tcPr>
            <w:tcW w:type="dxa" w:w="864"/>
          </w:tcPr>
          <w:p>
            <w:r/>
            <w:r>
              <w:rPr>
                <w:sz w:val="13"/>
              </w:rPr>
              <w:t>Highly Relevant (Key)</w:t>
            </w:r>
          </w:p>
        </w:tc>
        <w:tc>
          <w:tcPr>
            <w:tcW w:type="dxa" w:w="1080"/>
          </w:tcPr>
          <w:p>
            <w:r/>
            <w:r>
              <w:rPr>
                <w:sz w:val="13"/>
              </w:rPr>
              <w:t>Trade secret / ownership; work-for-hire defense</w:t>
            </w:r>
          </w:p>
        </w:tc>
        <w:tc>
          <w:tcPr>
            <w:tcW w:type="dxa" w:w="1152"/>
          </w:tcPr>
          <w:p>
            <w:r/>
            <w:r>
              <w:rPr>
                <w:sz w:val="13"/>
              </w:rPr>
              <w:t>Not privileged</w:t>
            </w:r>
          </w:p>
        </w:tc>
        <w:tc>
          <w:tcPr>
            <w:tcW w:type="dxa" w:w="864"/>
          </w:tcPr>
          <w:p>
            <w:r/>
            <w:r>
              <w:rPr>
                <w:sz w:val="13"/>
              </w:rPr>
              <w:t>Produce</w:t>
            </w:r>
          </w:p>
        </w:tc>
      </w:tr>
      <w:tr>
        <w:tc>
          <w:tcPr>
            <w:tcW w:type="dxa" w:w="792"/>
          </w:tcPr>
          <w:p>
            <w:r/>
            <w:r>
              <w:rPr>
                <w:sz w:val="13"/>
              </w:rPr>
              <w:t>MPI-REV-023</w:t>
            </w:r>
          </w:p>
        </w:tc>
        <w:tc>
          <w:tcPr>
            <w:tcW w:type="dxa" w:w="1296"/>
          </w:tcPr>
          <w:p>
            <w:r/>
            <w:r>
              <w:rPr>
                <w:sz w:val="13"/>
              </w:rPr>
              <w:t>vasquez-benefits-enrollment.docx</w:t>
            </w:r>
          </w:p>
        </w:tc>
        <w:tc>
          <w:tcPr>
            <w:tcW w:type="dxa" w:w="792"/>
          </w:tcPr>
          <w:p>
            <w:r/>
            <w:r>
              <w:rPr>
                <w:sz w:val="13"/>
              </w:rPr>
              <w:t>03/15/2022</w:t>
            </w:r>
          </w:p>
        </w:tc>
        <w:tc>
          <w:tcPr>
            <w:tcW w:type="dxa" w:w="936"/>
          </w:tcPr>
          <w:p>
            <w:r/>
            <w:r>
              <w:rPr>
                <w:sz w:val="13"/>
              </w:rPr>
              <w:t>HR Benefits Administration</w:t>
            </w:r>
          </w:p>
        </w:tc>
        <w:tc>
          <w:tcPr>
            <w:tcW w:type="dxa" w:w="1944"/>
          </w:tcPr>
          <w:p>
            <w:r/>
            <w:r>
              <w:rPr>
                <w:sz w:val="13"/>
              </w:rPr>
              <w:t>2022 benefits elections plus STD claim record (Apr.–May 2022) with psychiatric diagnoses, prescriptions and physician certification.</w:t>
            </w:r>
          </w:p>
        </w:tc>
        <w:tc>
          <w:tcPr>
            <w:tcW w:type="dxa" w:w="864"/>
          </w:tcPr>
          <w:p>
            <w:r/>
            <w:r>
              <w:rPr>
                <w:sz w:val="13"/>
              </w:rPr>
              <w:t>Relevant</w:t>
            </w:r>
          </w:p>
        </w:tc>
        <w:tc>
          <w:tcPr>
            <w:tcW w:type="dxa" w:w="1080"/>
          </w:tcPr>
          <w:p>
            <w:r/>
            <w:r>
              <w:rPr>
                <w:sz w:val="13"/>
              </w:rPr>
              <w:t>Damages: emotional distress ($500K) – pre-existing condition; compensation/benefits</w:t>
            </w:r>
          </w:p>
        </w:tc>
        <w:tc>
          <w:tcPr>
            <w:tcW w:type="dxa" w:w="1152"/>
          </w:tcPr>
          <w:p>
            <w:r/>
            <w:r>
              <w:rPr>
                <w:sz w:val="13"/>
              </w:rPr>
              <w:t>Not privileged for Meridian; PHI – physician-patient privilege belongs to plaintiff (likely waived under R.C. 2317.02(B)(1)(a)(iii) by emotional distress claim)</w:t>
            </w:r>
          </w:p>
        </w:tc>
        <w:tc>
          <w:tcPr>
            <w:tcW w:type="dxa" w:w="864"/>
          </w:tcPr>
          <w:p>
            <w:r/>
            <w:r>
              <w:rPr>
                <w:sz w:val="13"/>
              </w:rPr>
              <w:t>Produce as Highly Confidential – AEO under protective order</w:t>
            </w:r>
          </w:p>
        </w:tc>
      </w:tr>
      <w:tr>
        <w:tc>
          <w:tcPr>
            <w:tcW w:type="dxa" w:w="792"/>
          </w:tcPr>
          <w:p>
            <w:r/>
            <w:r>
              <w:rPr>
                <w:sz w:val="13"/>
              </w:rPr>
              <w:t>MPI-REV-024</w:t>
            </w:r>
          </w:p>
        </w:tc>
        <w:tc>
          <w:tcPr>
            <w:tcW w:type="dxa" w:w="1296"/>
          </w:tcPr>
          <w:p>
            <w:r/>
            <w:r>
              <w:rPr>
                <w:sz w:val="13"/>
              </w:rPr>
              <w:t>acs-conference-registration.eml</w:t>
            </w:r>
          </w:p>
        </w:tc>
        <w:tc>
          <w:tcPr>
            <w:tcW w:type="dxa" w:w="792"/>
          </w:tcPr>
          <w:p>
            <w:r/>
            <w:r>
              <w:rPr>
                <w:sz w:val="13"/>
              </w:rPr>
              <w:t>Undated (c. mid-2022)</w:t>
            </w:r>
          </w:p>
        </w:tc>
        <w:tc>
          <w:tcPr>
            <w:tcW w:type="dxa" w:w="936"/>
          </w:tcPr>
          <w:p>
            <w:r/>
            <w:r>
              <w:rPr>
                <w:sz w:val="13"/>
              </w:rPr>
              <w:t>National Chemical Society</w:t>
            </w:r>
          </w:p>
        </w:tc>
        <w:tc>
          <w:tcPr>
            <w:tcW w:type="dxa" w:w="1944"/>
          </w:tcPr>
          <w:p>
            <w:r/>
            <w:r>
              <w:rPr>
                <w:sz w:val="13"/>
              </w:rPr>
              <w:t>Registration for Vasquez's Aug. 23, 2022 presentation; notes pre-approval by Simmons and that no MPC-7X or unpublished data is disclosed.</w:t>
            </w:r>
          </w:p>
        </w:tc>
        <w:tc>
          <w:tcPr>
            <w:tcW w:type="dxa" w:w="864"/>
          </w:tcPr>
          <w:p>
            <w:r/>
            <w:r>
              <w:rPr>
                <w:sz w:val="13"/>
              </w:rPr>
              <w:t>Marginally Relevant</w:t>
            </w:r>
          </w:p>
        </w:tc>
        <w:tc>
          <w:tcPr>
            <w:tcW w:type="dxa" w:w="1080"/>
          </w:tcPr>
          <w:p>
            <w:r/>
            <w:r>
              <w:rPr>
                <w:sz w:val="13"/>
              </w:rPr>
              <w:t>Trade secret: reasonable secrecy measures / no public disclosure</w:t>
            </w:r>
          </w:p>
        </w:tc>
        <w:tc>
          <w:tcPr>
            <w:tcW w:type="dxa" w:w="1152"/>
          </w:tcPr>
          <w:p>
            <w:r/>
            <w:r>
              <w:rPr>
                <w:sz w:val="13"/>
              </w:rPr>
              <w:t>Not privileged</w:t>
            </w:r>
          </w:p>
        </w:tc>
        <w:tc>
          <w:tcPr>
            <w:tcW w:type="dxa" w:w="864"/>
          </w:tcPr>
          <w:p>
            <w:r/>
            <w:r>
              <w:rPr>
                <w:sz w:val="13"/>
              </w:rPr>
              <w:t>Produce</w:t>
            </w:r>
          </w:p>
        </w:tc>
      </w:tr>
      <w:tr>
        <w:tc>
          <w:tcPr>
            <w:tcW w:type="dxa" w:w="792"/>
          </w:tcPr>
          <w:p>
            <w:r/>
            <w:r>
              <w:rPr>
                <w:sz w:val="13"/>
              </w:rPr>
              <w:t>MPI-REV-025</w:t>
            </w:r>
          </w:p>
        </w:tc>
        <w:tc>
          <w:tcPr>
            <w:tcW w:type="dxa" w:w="1296"/>
          </w:tcPr>
          <w:p>
            <w:r/>
            <w:r>
              <w:rPr>
                <w:sz w:val="13"/>
              </w:rPr>
              <w:t>it-backup-notification.eml</w:t>
            </w:r>
          </w:p>
        </w:tc>
        <w:tc>
          <w:tcPr>
            <w:tcW w:type="dxa" w:w="792"/>
          </w:tcPr>
          <w:p>
            <w:r/>
            <w:r>
              <w:rPr>
                <w:sz w:val="13"/>
              </w:rPr>
              <w:t>06/15/2022</w:t>
            </w:r>
          </w:p>
        </w:tc>
        <w:tc>
          <w:tcPr>
            <w:tcW w:type="dxa" w:w="936"/>
          </w:tcPr>
          <w:p>
            <w:r/>
            <w:r>
              <w:rPr>
                <w:sz w:val="13"/>
              </w:rPr>
              <w:t>IT Systems Administration</w:t>
            </w:r>
          </w:p>
        </w:tc>
        <w:tc>
          <w:tcPr>
            <w:tcW w:type="dxa" w:w="1944"/>
          </w:tcPr>
          <w:p>
            <w:r/>
            <w:r>
              <w:rPr>
                <w:sz w:val="13"/>
              </w:rPr>
              <w:t>Routine monthly backup notice; references IT Data Retention Policy IT-POL-2019-04.</w:t>
            </w:r>
          </w:p>
        </w:tc>
        <w:tc>
          <w:tcPr>
            <w:tcW w:type="dxa" w:w="864"/>
          </w:tcPr>
          <w:p>
            <w:r/>
            <w:r>
              <w:rPr>
                <w:sz w:val="13"/>
              </w:rPr>
              <w:t>Not Relevant (preservation reference only)</w:t>
            </w:r>
          </w:p>
        </w:tc>
        <w:tc>
          <w:tcPr>
            <w:tcW w:type="dxa" w:w="1080"/>
          </w:tcPr>
          <w:p>
            <w:r/>
            <w:r>
              <w:rPr>
                <w:sz w:val="13"/>
              </w:rPr>
              <w:t>Possible ESI-retention background only</w:t>
            </w:r>
          </w:p>
        </w:tc>
        <w:tc>
          <w:tcPr>
            <w:tcW w:type="dxa" w:w="1152"/>
          </w:tcPr>
          <w:p>
            <w:r/>
            <w:r>
              <w:rPr>
                <w:sz w:val="13"/>
              </w:rPr>
              <w:t>Not privileged</w:t>
            </w:r>
          </w:p>
        </w:tc>
        <w:tc>
          <w:tcPr>
            <w:tcW w:type="dxa" w:w="864"/>
          </w:tcPr>
          <w:p>
            <w:r/>
            <w:r>
              <w:rPr>
                <w:sz w:val="13"/>
              </w:rPr>
              <w:t>Withhold as non-responsive; retain for ESI/preservation reference</w:t>
            </w:r>
          </w:p>
        </w:tc>
      </w:tr>
    </w:tbl>
    <w:p/>
    <w:p>
      <w:pPr>
        <w:pStyle w:val="Heading1"/>
      </w:pPr>
      <w:r>
        <w:t>4. Hot Documents</w:t>
      </w:r>
    </w:p>
    <w:p>
      <w:pPr>
        <w:pStyle w:val="ListBullet"/>
      </w:pPr>
      <w:r>
        <w:rPr>
          <w:b/>
        </w:rPr>
        <w:t xml:space="preserve">vasquez-performance-summary.docx – </w:t>
      </w:r>
      <w:r>
        <w:t xml:space="preserve"> Created 8/14/2023, four days after Simmons's 'Vasquez situation' email and seven months after the protected report. Metadata: Revision 3, last modified 9/18/2023 3:47 PM, three days after termination. Plaintiff already describes this document as 'transparently' pretextual. Produce natively with metadata. Collect prior revisions and find out what changed after 9/15 before any witness is prepared on it.</w:t>
      </w:r>
    </w:p>
    <w:p>
      <w:pPr>
        <w:pStyle w:val="ListBullet"/>
      </w:pPr>
      <w:r>
        <w:rPr>
          <w:b/>
        </w:rPr>
        <w:t xml:space="preserve">inventor-list-email-chain.eml – </w:t>
      </w:r>
      <w:r>
        <w:t xml:space="preserve"> Simmons (a non-inventor executive) sets the inventor list 'given the current situation... to avoid complications.' This is the strongest evidence for plaintiff's inventorship-retaliation theory. Also names 'Crestview Patent Services LLC' as the firm handling the filing, then refers to Aldersgate at the same address. Confirm which firm was involved.</w:t>
      </w:r>
    </w:p>
    <w:p>
      <w:pPr>
        <w:pStyle w:val="ListBullet"/>
      </w:pPr>
      <w:r>
        <w:rPr>
          <w:b/>
        </w:rPr>
        <w:t xml:space="preserve">chandrasekaran-meeting-notes-aug28.docx – </w:t>
      </w:r>
      <w:r>
        <w:t xml:space="preserve"> The unredacted business portions show the termination discussion began on 8/28, with Simmons pushing back on the 'minimum 60-day PIP window per our policy'. Termination came 7 days into the PIP. The redacted legal portions (C. Burrell's advice to 'build contemporaneous performance record to insulate against retaliation claim') are highly damaging if privilege is lost (see §6).</w:t>
      </w:r>
    </w:p>
    <w:p>
      <w:pPr>
        <w:pStyle w:val="ListBullet"/>
      </w:pPr>
      <w:r>
        <w:rPr>
          <w:b/>
        </w:rPr>
        <w:t xml:space="preserve">vasquez-pip.docx / vasquez-termination-letter.docx – </w:t>
      </w:r>
      <w:r>
        <w:t xml:space="preserve"> 60-day PIP issued 9/8; termination 9/15, with 53 days left. The termination letter does not mention the PIP. The PIP says Vasquez joined as 'Director of R&amp;D', while every other document says she was hired as VP. This internal inconsistency could hurt the document's credibility.</w:t>
      </w:r>
    </w:p>
    <w:p>
      <w:pPr>
        <w:pStyle w:val="ListBullet"/>
      </w:pPr>
      <w:r>
        <w:rPr>
          <w:b/>
        </w:rPr>
        <w:t xml:space="preserve">simmons-vasquez-situation-email.eml / bellworth-reply-adding-gc.eml – </w:t>
      </w:r>
      <w:r>
        <w:t xml:space="preserve"> Bellworth's reference to 'the action we discussed' (redacted portion) and Simmons's 8/10 email show adverse action was being planned before the documentation existed.</w:t>
      </w:r>
    </w:p>
    <w:p>
      <w:pPr>
        <w:pStyle w:val="ListBullet"/>
      </w:pPr>
      <w:r>
        <w:rPr>
          <w:b/>
        </w:rPr>
        <w:t xml:space="preserve">mpc7x-continuation-app.docx – </w:t>
      </w:r>
      <w:r>
        <w:t xml:space="preserve"> Para. [0012] says the cure-accelerator screening was done 'primarily during Q3 and Q4 of 2022 and Q1 of 2023.' Vasquez was still VP of R&amp;D then. This contradicts Burrell's position that the improvements were developed 'after Vasquez's departure on September 15, 2023' (burrell-stanton email) and Mehta's statement that they came from 'recent work over the last several months.' It creates a real risk of an incorrect inventorship designation (35 U.S.C. §§ 115-116, 256) and a candor issue before the USPTO.</w:t>
      </w:r>
    </w:p>
    <w:p>
      <w:pPr>
        <w:pStyle w:val="ListBullet"/>
      </w:pPr>
      <w:r>
        <w:rPr>
          <w:b/>
        </w:rPr>
        <w:t xml:space="preserve">alderwood-draft-audit-report.docx – </w:t>
      </w:r>
      <w:r>
        <w:t xml:space="preserve"> The report is double-edged. It supports the defense because only 4 of 14 instances were confirmed. It supports plaintiff because it confirms real violations, including a significant deficiency, which supports her good-faith, reasonable belief. The engagement letter calls the audit 'proactive' and never mentions the Jan. 15 memo.</w:t>
      </w:r>
    </w:p>
    <w:p>
      <w:pPr>
        <w:pStyle w:val="Heading1"/>
      </w:pPr>
      <w:r>
        <w:t>5. Inconsistencies and Document-Integrity Flags</w:t>
      </w:r>
    </w:p>
    <w:p>
      <w:pPr>
        <w:pStyle w:val="Heading2"/>
      </w:pPr>
      <w:r>
        <w:t>5.1 Conflicting performance metrics</w:t>
      </w:r>
    </w:p>
    <w:tbl>
      <w:tblPr>
        <w:tblStyle w:val="TableGrid"/>
        <w:tblW w:type="auto" w:w="0"/>
        <w:tblLook w:firstColumn="1" w:firstRow="1" w:lastColumn="0" w:lastRow="0" w:noHBand="0" w:noVBand="1" w:val="04A0"/>
      </w:tblPr>
      <w:tblGrid>
        <w:gridCol w:w="4824"/>
        <w:gridCol w:w="4824"/>
      </w:tblGrid>
      <w:tr>
        <w:trPr>
          <w:tblHeader w:val="true"/>
        </w:trPr>
        <w:tc>
          <w:tcPr>
            <w:tcW w:type="dxa" w:w="3744"/>
            <w:shd w:val="clear" w:color="auto" w:fill="D9E2F3"/>
          </w:tcPr>
          <w:p>
            <w:r/>
            <w:r>
              <w:rPr>
                <w:b/>
                <w:sz w:val="17"/>
              </w:rPr>
              <w:t>Document</w:t>
            </w:r>
          </w:p>
        </w:tc>
        <w:tc>
          <w:tcPr>
            <w:tcW w:type="dxa" w:w="5472"/>
            <w:shd w:val="clear" w:color="auto" w:fill="D9E2F3"/>
          </w:tcPr>
          <w:p>
            <w:r/>
            <w:r>
              <w:rPr>
                <w:b/>
                <w:sz w:val="17"/>
              </w:rPr>
              <w:t>Projects / figures cited</w:t>
            </w:r>
          </w:p>
        </w:tc>
      </w:tr>
      <w:tr>
        <w:tc>
          <w:tcPr>
            <w:tcW w:type="dxa" w:w="3744"/>
          </w:tcPr>
          <w:p>
            <w:r/>
            <w:r>
              <w:rPr>
                <w:sz w:val="17"/>
              </w:rPr>
              <w:t>Simmons email 8/10/2023</w:t>
            </w:r>
          </w:p>
        </w:tc>
        <w:tc>
          <w:tcPr>
            <w:tcW w:type="dxa" w:w="5472"/>
          </w:tcPr>
          <w:p>
            <w:r/>
            <w:r>
              <w:rPr>
                <w:sz w:val="17"/>
              </w:rPr>
              <w:t>Q2 deliverables ~40% behind; 3 of 5 projects slipped; 'Tessaro contract'</w:t>
            </w:r>
          </w:p>
        </w:tc>
      </w:tr>
      <w:tr>
        <w:tc>
          <w:tcPr>
            <w:tcW w:type="dxa" w:w="3744"/>
          </w:tcPr>
          <w:p>
            <w:r/>
            <w:r>
              <w:rPr>
                <w:sz w:val="17"/>
              </w:rPr>
              <w:t>Performance Summary 8/14/2023</w:t>
            </w:r>
          </w:p>
        </w:tc>
        <w:tc>
          <w:tcPr>
            <w:tcW w:type="dxa" w:w="5472"/>
          </w:tcPr>
          <w:p>
            <w:r/>
            <w:r>
              <w:rPr>
                <w:sz w:val="17"/>
              </w:rPr>
              <w:t>Project Titan-3, Project Helix-R (missed milestones on 3 of 5)</w:t>
            </w:r>
          </w:p>
        </w:tc>
      </w:tr>
      <w:tr>
        <w:tc>
          <w:tcPr>
            <w:tcW w:type="dxa" w:w="3744"/>
          </w:tcPr>
          <w:p>
            <w:r/>
            <w:r>
              <w:rPr>
                <w:sz w:val="17"/>
              </w:rPr>
              <w:t>Simmons email 8/22/2023 (standalone, 03:47 UTC)</w:t>
            </w:r>
          </w:p>
        </w:tc>
        <w:tc>
          <w:tcPr>
            <w:tcW w:type="dxa" w:w="5472"/>
          </w:tcPr>
          <w:p>
            <w:r/>
            <w:r>
              <w:rPr>
                <w:sz w:val="17"/>
              </w:rPr>
              <w:t>5 projects; 60% on-time; Projects Titan and Calder; budget 12% over ($1.82M vs $1.625M)</w:t>
            </w:r>
          </w:p>
        </w:tc>
      </w:tr>
      <w:tr>
        <w:tc>
          <w:tcPr>
            <w:tcW w:type="dxa" w:w="3744"/>
          </w:tcPr>
          <w:p>
            <w:r/>
            <w:r>
              <w:rPr>
                <w:sz w:val="17"/>
              </w:rPr>
              <w:t>Simmons email 8/22/2023 4:37 PM (embedded in Bellworth chain)</w:t>
            </w:r>
          </w:p>
        </w:tc>
        <w:tc>
          <w:tcPr>
            <w:tcW w:type="dxa" w:w="5472"/>
          </w:tcPr>
          <w:p>
            <w:r/>
            <w:r>
              <w:rPr>
                <w:sz w:val="17"/>
              </w:rPr>
              <w:t>7 projects; 58% completion; VP-400 reformulation stalled; budget 23% over; 14 FTEs</w:t>
            </w:r>
          </w:p>
        </w:tc>
      </w:tr>
      <w:tr>
        <w:tc>
          <w:tcPr>
            <w:tcW w:type="dxa" w:w="3744"/>
          </w:tcPr>
          <w:p>
            <w:r/>
            <w:r>
              <w:rPr>
                <w:sz w:val="17"/>
              </w:rPr>
              <w:t>GC notes 8/28/2023</w:t>
            </w:r>
          </w:p>
        </w:tc>
        <w:tc>
          <w:tcPr>
            <w:tcW w:type="dxa" w:w="5472"/>
          </w:tcPr>
          <w:p>
            <w:r/>
            <w:r>
              <w:rPr>
                <w:sz w:val="17"/>
              </w:rPr>
              <w:t>Project Titan, SpectraCoat, AeroShield Phase II</w:t>
            </w:r>
          </w:p>
        </w:tc>
      </w:tr>
      <w:tr>
        <w:tc>
          <w:tcPr>
            <w:tcW w:type="dxa" w:w="3744"/>
          </w:tcPr>
          <w:p>
            <w:r/>
            <w:r>
              <w:rPr>
                <w:sz w:val="17"/>
              </w:rPr>
              <w:t>PIP 9/8/2023</w:t>
            </w:r>
          </w:p>
        </w:tc>
        <w:tc>
          <w:tcPr>
            <w:tcW w:type="dxa" w:w="5472"/>
          </w:tcPr>
          <w:p>
            <w:r/>
            <w:r>
              <w:rPr>
                <w:sz w:val="17"/>
              </w:rPr>
              <w:t>Projects Aurora-3, Titan-C, Lakeshore</w:t>
            </w:r>
          </w:p>
        </w:tc>
      </w:tr>
    </w:tbl>
    <w:p/>
    <w:p>
      <w:r>
        <w:rPr>
          <w:b w:val="0"/>
          <w:i w:val="0"/>
        </w:rPr>
        <w:t>Two different versions of Simmons's 8/22 metrics email exist, with the same date and materially different numbers. Both must be produced. Counsel should run forensic collection from the Exchange server to establish which version was actually sent and whether either was edited later. The changing project names and figures will be a central part of plaintiff's pretext argument.</w:t>
      </w:r>
    </w:p>
    <w:p>
      <w:pPr>
        <w:pStyle w:val="Heading2"/>
      </w:pPr>
      <w:r>
        <w:t>5.2 Date and metadata anomalies in privileged documents</w:t>
      </w:r>
    </w:p>
    <w:p>
      <w:pPr>
        <w:pStyle w:val="ListBullet"/>
      </w:pPr>
      <w:r>
        <w:rPr>
          <w:b/>
        </w:rPr>
        <w:t>chandrasekaran-fwd-burrell-memo.eml –</w:t>
      </w:r>
      <w:r>
        <w:t xml:space="preserve"> Dated 10/10/2023, but it describes the continuation application as 'filed' on Nov. 1, 2023, a future date at that point. Before the log is served, verify the sent date from server metadata. The log must give accurate dates, and a date error on a withheld document invites in camera review.</w:t>
      </w:r>
    </w:p>
    <w:p>
      <w:pPr>
        <w:pStyle w:val="ListBullet"/>
      </w:pPr>
      <w:r>
        <w:rPr>
          <w:b/>
        </w:rPr>
        <w:t>burrell-stanton-joint-defense.eml –</w:t>
      </w:r>
      <w:r>
        <w:t xml:space="preserve"> Burrell's reply is timestamped 20 Oct 2023 02:43 UTC (10:43 PM EDT on Oct. 19). That is before the Greer message it answers (Oct. 20, 9:17 AM). Verify with native metadata.</w:t>
      </w:r>
    </w:p>
    <w:p>
      <w:pPr>
        <w:pStyle w:val="ListBullet"/>
      </w:pPr>
      <w:r>
        <w:rPr>
          <w:b/>
        </w:rPr>
        <w:t>chandrasekaran-burrell-litrisik-email.eml –</w:t>
      </w:r>
      <w:r>
        <w:t xml:space="preserve"> Sent to cburrell@kirkfieldoatesburrell.com. Every other Burrell address is @kirkfieldoates.com. Confirm that Burrell actually received it and that it was not sent to a third-party domain. Misdirected delivery could undermine confidentiality.</w:t>
      </w:r>
    </w:p>
    <w:p>
      <w:pPr>
        <w:pStyle w:val="ListBullet"/>
      </w:pPr>
      <w:r>
        <w:rPr>
          <w:b/>
        </w:rPr>
        <w:t>Other –</w:t>
      </w:r>
      <w:r>
        <w:t xml:space="preserve"> The ACS registration has no date. The Burrell phone number differs between the litigation hold ((614) 555-8200) and her signature block ((614) 555-8320). These are minor, but note them for authentication.</w:t>
      </w:r>
    </w:p>
    <w:p>
      <w:pPr>
        <w:pStyle w:val="Heading1"/>
      </w:pPr>
      <w:r>
        <w:t>6. Privilege Analysis and Risk Assessment</w:t>
      </w:r>
    </w:p>
    <w:p>
      <w:pPr>
        <w:pStyle w:val="ListBullet"/>
      </w:pPr>
      <w:r>
        <w:rPr>
          <w:b/>
        </w:rPr>
        <w:t xml:space="preserve">Withheld in full (4): </w:t>
      </w:r>
      <w:r>
        <w:t>The litigation-risk email (3/3/2023), the litigation hold (10/5/2023), the GC summary of the Burrell memo (10/10/2023), and the Burrell–Greer emails (10/20/2023). The 3/3 email is a classic request for legal advice. Privilege attaches even though Kirkfield's engagement letters are dated 3/6/2023 (M&amp;A) and 10/3/2023 (litigation), because consultations by a prospective client are protected. Sharing Burrell's analysis with Simmons stays within the privilege: he is a senior manager whose input was needed to render legal advice.</w:t>
      </w:r>
    </w:p>
    <w:p>
      <w:pPr>
        <w:pStyle w:val="ListBullet"/>
      </w:pPr>
      <w:r>
        <w:rPr>
          <w:b/>
        </w:rPr>
        <w:t xml:space="preserve">Partially privileged (2): </w:t>
      </w:r>
      <w:r>
        <w:t>The Bellworth/GC chain: Simmons's underlying 8/22 email is a pre-existing business communication and cannot be shielded by later forwarding it to counsel, so produce it. The 8/28 notes: the GC was acting in both a business and a legal role. Redact only the portions whose primary purpose was legal advice. Business discussion is not privileged just because counsel was in the room.</w:t>
      </w:r>
    </w:p>
    <w:p>
      <w:pPr>
        <w:pStyle w:val="ListBullet"/>
      </w:pPr>
      <w:r>
        <w:rPr>
          <w:b/>
        </w:rPr>
        <w:t xml:space="preserve">Common-interest risk (burrell-stanton): </w:t>
      </w:r>
      <w:r>
        <w:t>No written common-interest or joint-defense agreement is referenced. Mehta has been dismissed, although re-joinder is a realistic possibility. Greer's proposal that the two sides keep 'a consistent position', and Burrell's statement that Mehta's testimony 'must be consistent,' could prompt a crime-fraud or witness-coaching challenge and in camera review. Recommendation: execute a written common-interest agreement now, effective 10/20/2023. Keep future exchanges focused on legal strategy, not on aligning testimony.</w:t>
      </w:r>
    </w:p>
    <w:p>
      <w:pPr>
        <w:pStyle w:val="ListBullet"/>
      </w:pPr>
      <w:r>
        <w:rPr>
          <w:b/>
        </w:rPr>
        <w:t xml:space="preserve">At-issue / advice-of-counsel waiver: </w:t>
      </w:r>
      <w:r>
        <w:t>If Meridian defends by relying on its good-faith process or on having consulted counsel before terminating Vasquez, it risks an at-issue waiver over the 3/3 email, the 8/28 legal notes, and the Burrell advice. Burrell and the GC are also fact witnesses to the decision timeline. Decide the defense theory before relying on counsel's involvement in any filing.</w:t>
      </w:r>
    </w:p>
    <w:p>
      <w:pPr>
        <w:pStyle w:val="ListBullet"/>
      </w:pPr>
      <w:r>
        <w:rPr>
          <w:b/>
        </w:rPr>
        <w:t xml:space="preserve">Work-product timing vs. preservation duty: </w:t>
      </w:r>
      <w:r>
        <w:t>Asserting work product over the 3/3/2023 email means Meridian anticipated litigation, including whistleblower claims, by March 2023. The litigation hold did not issue until 10/5/2023, six days after suit was filed. Plaintiff can use that gap to argue the preservation duty arose in March 2023. Audit whether anything relevant (texts, drafts, earlier versions of the Performance Summary, Alderwood work papers) was lost between March and October 2023 under routine retention (IT-POL-2019-04).</w:t>
      </w:r>
    </w:p>
    <w:p>
      <w:pPr>
        <w:pStyle w:val="ListBullet"/>
      </w:pPr>
      <w:r>
        <w:rPr>
          <w:b/>
        </w:rPr>
        <w:t xml:space="preserve">Litigation hold: </w:t>
      </w:r>
      <w:r>
        <w:t>Hold notices are generally privileged. They can become discoverable if spoliation is put at issue, and this one contains candid assessments by counsel, e.g. the PIP timing is 'our single greatest vulnerability'. Offer the date, recipients and categories instead of the document.</w:t>
      </w:r>
    </w:p>
    <w:p>
      <w:pPr>
        <w:pStyle w:val="ListBullet"/>
      </w:pPr>
      <w:r>
        <w:rPr>
          <w:b/>
        </w:rPr>
        <w:t xml:space="preserve">Alderwood audit not privileged: </w:t>
      </w:r>
      <w:r>
        <w:t>In March the GC asked Burrell whether the audit should be run under attorney direction. In the end it was engaged by Operations as a 'proactive' business review, with an express no-attorney-client disclaimer. No Kovel-type or work-product argument is viable. Expect a subpoena to Alderwood for the final report and work papers.</w:t>
      </w:r>
    </w:p>
    <w:p>
      <w:pPr>
        <w:pStyle w:val="ListBullet"/>
      </w:pPr>
      <w:r>
        <w:rPr>
          <w:b/>
        </w:rPr>
        <w:t xml:space="preserve">Mislabeled draft separation agreement: </w:t>
      </w:r>
      <w:r>
        <w:t>The 'Attorney Work Product' footer does not protect a document sent to the opposing party. Produce it. Admissibility objections under Evid.R. 408 are a separate question.</w:t>
      </w:r>
    </w:p>
    <w:p>
      <w:pPr>
        <w:pStyle w:val="Heading1"/>
      </w:pPr>
      <w:r>
        <w:t>7. Confidentiality and Special Handling</w:t>
      </w:r>
    </w:p>
    <w:p>
      <w:pPr>
        <w:pStyle w:val="ListBullet"/>
      </w:pPr>
      <w:r>
        <w:rPr>
          <w:b/>
        </w:rPr>
        <w:t>vasquez-benefits-enrollment.docx –</w:t>
      </w:r>
      <w:r>
        <w:t xml:space="preserve"> Contains plaintiff's STD claim, psychiatric diagnoses (ICD-10 F32.1, F41.1), prescriptions and physician certification from April–May 2022. By seeking $500,000 for emotional distress, plaintiff likely waived physician-patient privilege for causally or historically related records (R.C. 2317.02(B)(1)(a)(iii)). The records are relevant to causation because the condition predates the protected activity. Produce only under a protective order, designated Highly Confidential – AEO, and limit internal access (HIPAA/ADA confidentiality of medical files).</w:t>
      </w:r>
    </w:p>
    <w:p>
      <w:pPr>
        <w:pStyle w:val="ListBullet"/>
      </w:pPr>
      <w:r>
        <w:rPr>
          <w:b/>
        </w:rPr>
        <w:t>Other –</w:t>
      </w:r>
      <w:r>
        <w:t xml:space="preserve"> Designate Confidential: Alderwood materials, the unpublished continuation application, and the PIP and HR records. Before production, redact personal identifiers such as employee IDs where the protective order allows.</w:t>
      </w:r>
    </w:p>
    <w:p>
      <w:pPr>
        <w:pStyle w:val="Heading1"/>
      </w:pPr>
      <w:r>
        <w:t>8. Non-Responsive Documents</w:t>
      </w:r>
    </w:p>
    <w:p>
      <w:pPr>
        <w:pStyle w:val="ListBullet"/>
      </w:pPr>
      <w:r>
        <w:rPr>
          <w:b/>
        </w:rPr>
        <w:t>Board minutes (4/18/2023):</w:t>
      </w:r>
      <w:r>
        <w:t xml:space="preserve"> Covers the Polychem M&amp;A and financial matters, with no reference to Vasquez or the Akron environmental issues. Withhold as non-responsive. If document requests reach board materials, produce with §§5.1–5.2 redacted, which is already logged conditionally. Note that the board was not told about the 14 alleged RCRA violations three months after the report. Expect questions on this at depositions.</w:t>
      </w:r>
    </w:p>
    <w:p>
      <w:pPr>
        <w:pStyle w:val="ListBullet"/>
      </w:pPr>
      <w:r>
        <w:rPr>
          <w:b/>
        </w:rPr>
        <w:t>IT backup notice (6/15/2022):</w:t>
      </w:r>
      <w:r>
        <w:t xml:space="preserve"> A routine notice. It is useful internally only as evidence of the retention policy (IT-POL-2019-04) and monthly and quarterly backups, which may help restore data from the March–October 2023 gap.</w:t>
      </w:r>
    </w:p>
    <w:p>
      <w:pPr>
        <w:pStyle w:val="ListBullet"/>
      </w:pPr>
      <w:r>
        <w:rPr>
          <w:b/>
        </w:rPr>
        <w:t>ACS registration (marginal):</w:t>
      </w:r>
      <w:r>
        <w:t xml:space="preserve"> Produce. It supports Meridian's secrecy measures, since publications were pre-approved and MPC-7X was not disclosed.</w:t>
      </w:r>
    </w:p>
    <w:p>
      <w:pPr>
        <w:pStyle w:val="Heading1"/>
      </w:pPr>
      <w:r>
        <w:t>9. Recommended Next Steps</w:t>
      </w:r>
    </w:p>
    <w:p>
      <w:pPr>
        <w:pStyle w:val="ListNumber"/>
      </w:pPr>
      <w:r>
        <w:t>Supervising attorney to confirm the six privilege calls and the redaction scope for the 8/28 notes and the Bellworth chain.</w:t>
      </w:r>
    </w:p>
    <w:p>
      <w:pPr>
        <w:pStyle w:val="ListNumber"/>
      </w:pPr>
      <w:r>
        <w:t>Pull native files and server metadata to resolve the date anomalies (10/10 and 10/20 emails), the two versions of the 8/22 Simmons email, and the 9/18/2023 edit to the Performance Summary.</w:t>
      </w:r>
    </w:p>
    <w:p>
      <w:pPr>
        <w:pStyle w:val="ListNumber"/>
      </w:pPr>
      <w:r>
        <w:t>Execute a written common-interest agreement with Stanton &amp; Greer.</w:t>
      </w:r>
    </w:p>
    <w:p>
      <w:pPr>
        <w:pStyle w:val="ListNumber"/>
      </w:pPr>
      <w:r>
        <w:t>Choose the defense theory before any advice-of-counsel reliance, to avoid an at-issue waiver.</w:t>
      </w:r>
    </w:p>
    <w:p>
      <w:pPr>
        <w:pStyle w:val="ListNumber"/>
      </w:pPr>
      <w:r>
        <w:t>Assess preservation from March 2023 onward and restore from backups where needed.</w:t>
      </w:r>
    </w:p>
    <w:p>
      <w:pPr>
        <w:pStyle w:val="ListNumber"/>
      </w:pPr>
      <w:r>
        <w:t>Refer the continuation-application inventorship issue to patent counsel (Aldersgate) to evaluate correction under 35 U.S.C. § 256 / 37 C.F.R. § 1.48 and duty-of-candor obligations.</w:t>
      </w:r>
    </w:p>
    <w:p>
      <w:pPr>
        <w:pStyle w:val="ListNumber"/>
      </w:pPr>
      <w:r>
        <w:t>Negotiate a protective order with AEO tier and an Evid.R. 502 / clawback provision before producing the PHI.</w:t>
      </w:r>
    </w:p>
    <w:p>
      <w:pPr>
        <w:pStyle w:val="ListNumber"/>
      </w:pPr>
      <w:r>
        <w:t>Collect the missing documents referenced in the set: the final Alderwood report and work papers, Burrell's 10/8/2023 memo, Simmons's 'operational impact memo', Vasquez's lab notebooks, Aldersgate draft claims, the Ohio EPA 8/5/2023 inspection record, and the PIP policy.</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PRIVILEGED &amp; CONFIDENTIAL – ATTORNEY WORK PRODUCT – PREPARED AT THE DIRECTION OF COUNSEL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