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DISCOVERY GAP ANALYSIS</w:t>
      </w:r>
    </w:p>
    <w:p>
      <w:pPr>
        <w:spacing w:after="140"/>
      </w:pPr>
      <w:r>
        <w:rPr>
          <w:b/>
          <w:color w:val="0F6B78"/>
          <w:sz w:val="24"/>
        </w:rPr>
        <w:t>Document production • privilege log • written responses</w:t>
      </w:r>
    </w:p>
    <w:tbl>
      <w:tblPr>
        <w:tblW w:type="auto" w:w="0"/>
        <w:jc w:val="left"/>
        <w:tblLayout w:type="fixed"/>
        <w:tblLook w:firstColumn="1" w:firstRow="1" w:lastColumn="0" w:lastRow="0" w:noHBand="0" w:noVBand="1" w:val="04A0"/>
      </w:tblPr>
      <w:tblGrid>
        <w:gridCol w:w="5083"/>
        <w:gridCol w:w="5083"/>
      </w:tblGrid>
      <w:tr>
        <w:tc>
          <w:tcPr>
            <w:tcW w:type="dxa" w:w="1655"/>
            <w:tcMar>
              <w:top w:w="35" w:type="dxa"/>
              <w:start w:w="60" w:type="dxa"/>
              <w:bottom w:w="35" w:type="dxa"/>
              <w:end w:w="60" w:type="dxa"/>
            </w:tcMar>
            <w:shd w:fill="EAF1F7"/>
          </w:tcPr>
          <w:p>
            <w:pPr>
              <w:pStyle w:val="TableText"/>
            </w:pPr>
            <w:r>
              <w:rPr>
                <w:b/>
                <w:color w:val="17365D"/>
                <w:sz w:val="17"/>
              </w:rPr>
              <w:t>TO</w:t>
            </w:r>
          </w:p>
        </w:tc>
        <w:tc>
          <w:tcPr>
            <w:tcW w:type="dxa" w:w="8568"/>
            <w:tcMar>
              <w:top w:w="35" w:type="dxa"/>
              <w:start w:w="60" w:type="dxa"/>
              <w:bottom w:w="35" w:type="dxa"/>
              <w:end w:w="60" w:type="dxa"/>
            </w:tcMar>
          </w:tcPr>
          <w:p>
            <w:pPr>
              <w:pStyle w:val="TableText"/>
            </w:pPr>
            <w:r>
              <w:rPr>
                <w:sz w:val="17"/>
              </w:rPr>
              <w:t>Litigation team</w:t>
            </w:r>
          </w:p>
        </w:tc>
      </w:tr>
      <w:tr>
        <w:tc>
          <w:tcPr>
            <w:tcW w:type="dxa" w:w="1655"/>
            <w:tcMar>
              <w:top w:w="35" w:type="dxa"/>
              <w:start w:w="60" w:type="dxa"/>
              <w:bottom w:w="35" w:type="dxa"/>
              <w:end w:w="60" w:type="dxa"/>
            </w:tcMar>
            <w:shd w:fill="EAF1F7"/>
          </w:tcPr>
          <w:p>
            <w:pPr>
              <w:pStyle w:val="TableText"/>
            </w:pPr>
            <w:r>
              <w:rPr>
                <w:b/>
                <w:color w:val="17365D"/>
                <w:sz w:val="17"/>
              </w:rPr>
              <w:t>FROM</w:t>
            </w:r>
          </w:p>
        </w:tc>
        <w:tc>
          <w:tcPr>
            <w:tcW w:type="dxa" w:w="8568"/>
            <w:tcMar>
              <w:top w:w="35" w:type="dxa"/>
              <w:start w:w="60" w:type="dxa"/>
              <w:bottom w:w="35" w:type="dxa"/>
              <w:end w:w="60" w:type="dxa"/>
            </w:tcMar>
          </w:tcPr>
          <w:p>
            <w:pPr>
              <w:pStyle w:val="TableText"/>
            </w:pPr>
            <w:r>
              <w:rPr>
                <w:sz w:val="17"/>
              </w:rPr>
              <w:t>Discovery review</w:t>
            </w:r>
          </w:p>
        </w:tc>
      </w:tr>
      <w:tr>
        <w:tc>
          <w:tcPr>
            <w:tcW w:type="dxa" w:w="1655"/>
            <w:tcMar>
              <w:top w:w="35" w:type="dxa"/>
              <w:start w:w="60" w:type="dxa"/>
              <w:bottom w:w="35" w:type="dxa"/>
              <w:end w:w="60" w:type="dxa"/>
            </w:tcMar>
            <w:shd w:fill="EAF1F7"/>
          </w:tcPr>
          <w:p>
            <w:pPr>
              <w:pStyle w:val="TableText"/>
            </w:pPr>
            <w:r>
              <w:rPr>
                <w:b/>
                <w:color w:val="17365D"/>
                <w:sz w:val="17"/>
              </w:rPr>
              <w:t>DATE</w:t>
            </w:r>
          </w:p>
        </w:tc>
        <w:tc>
          <w:tcPr>
            <w:tcW w:type="dxa" w:w="8568"/>
            <w:tcMar>
              <w:top w:w="35" w:type="dxa"/>
              <w:start w:w="60" w:type="dxa"/>
              <w:bottom w:w="35" w:type="dxa"/>
              <w:end w:w="60" w:type="dxa"/>
            </w:tcMar>
          </w:tcPr>
          <w:p>
            <w:pPr>
              <w:pStyle w:val="TableText"/>
            </w:pPr>
            <w:r>
              <w:rPr>
                <w:sz w:val="17"/>
              </w:rPr>
              <w:t>September 16, 2024</w:t>
            </w:r>
          </w:p>
        </w:tc>
      </w:tr>
      <w:tr>
        <w:tc>
          <w:tcPr>
            <w:tcW w:type="dxa" w:w="1655"/>
            <w:tcMar>
              <w:top w:w="35" w:type="dxa"/>
              <w:start w:w="60" w:type="dxa"/>
              <w:bottom w:w="35" w:type="dxa"/>
              <w:end w:w="60" w:type="dxa"/>
            </w:tcMar>
            <w:shd w:fill="EAF1F7"/>
          </w:tcPr>
          <w:p>
            <w:pPr>
              <w:pStyle w:val="TableText"/>
            </w:pPr>
            <w:r>
              <w:rPr>
                <w:b/>
                <w:color w:val="17365D"/>
                <w:sz w:val="17"/>
              </w:rPr>
              <w:t>MATTER</w:t>
            </w:r>
          </w:p>
        </w:tc>
        <w:tc>
          <w:tcPr>
            <w:tcW w:type="dxa" w:w="8568"/>
            <w:tcMar>
              <w:top w:w="35" w:type="dxa"/>
              <w:start w:w="60" w:type="dxa"/>
              <w:bottom w:w="35" w:type="dxa"/>
              <w:end w:w="60" w:type="dxa"/>
            </w:tcMar>
          </w:tcPr>
          <w:p>
            <w:pPr>
              <w:pStyle w:val="TableText"/>
            </w:pPr>
            <w:r>
              <w:rPr>
                <w:sz w:val="17"/>
              </w:rPr>
              <w:t>Pacific Corridor Freight Solutions LLC v. Meridian Logistics Corp., No. 2:24-cv-01837-PO (C.D. Cal.)</w:t>
            </w:r>
          </w:p>
        </w:tc>
      </w:tr>
      <w:tr>
        <w:tc>
          <w:tcPr>
            <w:tcW w:type="dxa" w:w="1655"/>
            <w:tcMar>
              <w:top w:w="35" w:type="dxa"/>
              <w:start w:w="60" w:type="dxa"/>
              <w:bottom w:w="35" w:type="dxa"/>
              <w:end w:w="60" w:type="dxa"/>
            </w:tcMar>
            <w:shd w:fill="EAF1F7"/>
          </w:tcPr>
          <w:p>
            <w:pPr>
              <w:pStyle w:val="TableText"/>
            </w:pPr>
            <w:r>
              <w:rPr>
                <w:b/>
                <w:color w:val="17365D"/>
                <w:sz w:val="17"/>
              </w:rPr>
              <w:t>RECORD REVIEWED</w:t>
            </w:r>
          </w:p>
        </w:tc>
        <w:tc>
          <w:tcPr>
            <w:tcW w:type="dxa" w:w="8568"/>
            <w:tcMar>
              <w:top w:w="35" w:type="dxa"/>
              <w:start w:w="60" w:type="dxa"/>
              <w:bottom w:w="35" w:type="dxa"/>
              <w:end w:w="60" w:type="dxa"/>
            </w:tcMar>
          </w:tcPr>
          <w:p>
            <w:pPr>
              <w:pStyle w:val="TableText"/>
            </w:pPr>
            <w:r>
              <w:rPr>
                <w:sz w:val="17"/>
              </w:rPr>
              <w:t>Materials provided through September 15, 2024; see scope limitation below</w:t>
            </w:r>
          </w:p>
        </w:tc>
      </w:tr>
    </w:tbl>
    <w:p>
      <w:pPr>
        <w:pStyle w:val="Heading2"/>
      </w:pPr>
      <w:r>
        <w:t>Purpose and limits</w:t>
      </w:r>
    </w:p>
    <w:p>
      <w:r>
        <w:t>This memorandum assesses the completeness and adequacy of Meridian’s August 12, 2024 production, its 43-entry privilege log, its June 28, 2024 objections and responses, and the August 19–September 15 meet-and-confer emails, against the requests as actually served and the April 22, 2024 Scheduling Order. It is a document-index and response review—not a review of the underlying 4,217-page production. Bates descriptions, page counts, and document contents should be verified against the native/PDF production before a motion or factual assertion is filed.</w:t>
      </w:r>
    </w:p>
    <w:p>
      <w:pPr>
        <w:pStyle w:val="Heading1"/>
      </w:pPr>
      <w:r>
        <w:t>I. Executive assessment</w:t>
      </w:r>
    </w:p>
    <w:p>
      <w:r>
        <w:t>The record shows substantial production, but not a defensible showing that the core requests have been fully answered. The most consequential gaps concern (1) the 158-truck difference between the 347-truck Fleet Capacity Report and the 189 owned/leased vehicles alleged; (2) the alleged reduction in cargo coverage from $5 million to $2 million before the January 2021 certificate; (3) the alleged $8.7 million FY2020 EBITDA discrepancy and its maintenance/lease components; (4) daily performance data for October 2021–April 2022; and (5) Meridian’s own $3.2 million counterclaim damages proof. The log descriptions themselves identify potentially important business communications on fleet assumptions, capitalization and insurance that are withheld under facially questionable privilege/work-product labels.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7365D"/>
            <w:tcMar>
              <w:top w:w="75" w:type="dxa"/>
              <w:start w:w="75" w:type="dxa"/>
              <w:bottom w:w="75" w:type="dxa"/>
              <w:end w:w="75" w:type="dxa"/>
            </w:tcMar>
            <w:vAlign w:val="center"/>
          </w:tcPr>
          <w:p>
            <w:pPr>
              <w:pStyle w:val="TableText"/>
            </w:pPr>
            <w:r>
              <w:rPr>
                <w:b/>
                <w:color w:val="FFFFFF"/>
                <w:sz w:val="15"/>
              </w:rPr>
              <w:t>Priority</w:t>
            </w:r>
          </w:p>
        </w:tc>
        <w:tc>
          <w:tcPr>
            <w:tcW w:type="dxa" w:w="4680"/>
            <w:shd w:fill="17365D"/>
            <w:tcMar>
              <w:top w:w="75" w:type="dxa"/>
              <w:start w:w="75" w:type="dxa"/>
              <w:bottom w:w="75" w:type="dxa"/>
              <w:end w:w="75" w:type="dxa"/>
            </w:tcMar>
            <w:vAlign w:val="center"/>
          </w:tcPr>
          <w:p>
            <w:pPr>
              <w:pStyle w:val="TableText"/>
            </w:pPr>
            <w:r>
              <w:rPr>
                <w:b/>
                <w:color w:val="FFFFFF"/>
                <w:sz w:val="15"/>
              </w:rPr>
              <w:t>Finding</w:t>
            </w:r>
          </w:p>
        </w:tc>
        <w:tc>
          <w:tcPr>
            <w:tcW w:type="dxa" w:w="4320"/>
            <w:shd w:fill="17365D"/>
            <w:tcMar>
              <w:top w:w="75" w:type="dxa"/>
              <w:start w:w="75" w:type="dxa"/>
              <w:bottom w:w="75" w:type="dxa"/>
              <w:end w:w="75" w:type="dxa"/>
            </w:tcMar>
            <w:vAlign w:val="center"/>
          </w:tcPr>
          <w:p>
            <w:pPr>
              <w:pStyle w:val="TableText"/>
            </w:pPr>
            <w:r>
              <w:rPr>
                <w:b/>
                <w:color w:val="FFFFFF"/>
                <w:sz w:val="15"/>
              </w:rPr>
              <w:t>Immediate ask</w:t>
            </w:r>
          </w:p>
        </w:tc>
      </w:tr>
      <w:tr>
        <w:trPr>
          <w:cantSplit/>
        </w:trPr>
        <w:tc>
          <w:tcPr>
            <w:tcW w:type="dxa" w:w="1224"/>
            <w:vAlign w:val="top"/>
            <w:tcMar>
              <w:top w:w="60" w:type="dxa"/>
              <w:start w:w="70" w:type="dxa"/>
              <w:bottom w:w="60" w:type="dxa"/>
              <w:end w:w="70" w:type="dxa"/>
            </w:tcMar>
          </w:tcPr>
          <w:p>
            <w:pPr>
              <w:pStyle w:val="TableText"/>
            </w:pPr>
            <w:r>
              <w:rPr>
                <w:b/>
                <w:color w:val="1F4E79"/>
                <w:sz w:val="15"/>
              </w:rPr>
              <w:t>Critical</w:t>
            </w:r>
          </w:p>
        </w:tc>
        <w:tc>
          <w:tcPr>
            <w:tcW w:type="dxa" w:w="4680"/>
            <w:vAlign w:val="top"/>
            <w:tcMar>
              <w:top w:w="60" w:type="dxa"/>
              <w:start w:w="70" w:type="dxa"/>
              <w:bottom w:w="60" w:type="dxa"/>
              <w:end w:w="70" w:type="dxa"/>
            </w:tcMar>
          </w:tcPr>
          <w:p>
            <w:pPr>
              <w:pStyle w:val="TableText"/>
            </w:pPr>
            <w:r>
              <w:rPr>
                <w:sz w:val="15"/>
              </w:rPr>
              <w:t>RFP 8: no subcontractor/affiliate documents in the index; September 15 email says a limited number may be responsive and remain under review.</w:t>
            </w:r>
          </w:p>
        </w:tc>
        <w:tc>
          <w:tcPr>
            <w:tcW w:type="dxa" w:w="4320"/>
            <w:vAlign w:val="top"/>
            <w:tcMar>
              <w:top w:w="60" w:type="dxa"/>
              <w:start w:w="70" w:type="dxa"/>
              <w:bottom w:w="60" w:type="dxa"/>
              <w:end w:w="70" w:type="dxa"/>
            </w:tcMar>
          </w:tcPr>
          <w:p>
            <w:pPr>
              <w:pStyle w:val="TableText"/>
            </w:pPr>
            <w:r>
              <w:rPr>
                <w:sz w:val="15"/>
              </w:rPr>
              <w:t>Produce all documentary evidence of carrier arrangements, including informal arrangements, or provide a verified, source-specific no-records statement.</w:t>
            </w:r>
          </w:p>
        </w:tc>
      </w:tr>
      <w:tr>
        <w:trPr>
          <w:cantSplit/>
        </w:trPr>
        <w:tc>
          <w:tcPr>
            <w:tcW w:type="dxa" w:w="1224"/>
            <w:vAlign w:val="top"/>
            <w:tcMar>
              <w:top w:w="60" w:type="dxa"/>
              <w:start w:w="70" w:type="dxa"/>
              <w:bottom w:w="60" w:type="dxa"/>
              <w:end w:w="70" w:type="dxa"/>
            </w:tcMar>
            <w:shd w:fill="F4F7FA"/>
          </w:tcPr>
          <w:p>
            <w:pPr>
              <w:pStyle w:val="TableText"/>
            </w:pPr>
            <w:r>
              <w:rPr>
                <w:b/>
                <w:color w:val="1F4E79"/>
                <w:sz w:val="15"/>
              </w:rPr>
              <w:t>Critical</w:t>
            </w:r>
          </w:p>
        </w:tc>
        <w:tc>
          <w:tcPr>
            <w:tcW w:type="dxa" w:w="4680"/>
            <w:vAlign w:val="top"/>
            <w:tcMar>
              <w:top w:w="60" w:type="dxa"/>
              <w:start w:w="70" w:type="dxa"/>
              <w:bottom w:w="60" w:type="dxa"/>
              <w:end w:w="70" w:type="dxa"/>
            </w:tcMar>
            <w:shd w:fill="F4F7FA"/>
          </w:tcPr>
          <w:p>
            <w:pPr>
              <w:pStyle w:val="TableText"/>
            </w:pPr>
            <w:r>
              <w:rPr>
                <w:sz w:val="15"/>
              </w:rPr>
              <w:t>RFP 19: seven-month dispatch gap (Oct. 2021–Apr. 2022); Meridian attributes it to a RouteCast Pro/FleetBridge transition and data not migrated.</w:t>
            </w:r>
          </w:p>
        </w:tc>
        <w:tc>
          <w:tcPr>
            <w:tcW w:type="dxa" w:w="4320"/>
            <w:vAlign w:val="top"/>
            <w:tcMar>
              <w:top w:w="60" w:type="dxa"/>
              <w:start w:w="70" w:type="dxa"/>
              <w:bottom w:w="60" w:type="dxa"/>
              <w:end w:w="70" w:type="dxa"/>
            </w:tcMar>
            <w:shd w:fill="F4F7FA"/>
          </w:tcPr>
          <w:p>
            <w:pPr>
              <w:pStyle w:val="TableText"/>
            </w:pPr>
            <w:r>
              <w:rPr>
                <w:sz w:val="15"/>
              </w:rPr>
              <w:t>Produce recoverable logs; otherwise provide a verified technical/preservation account, including backups, retention, migration, hold, and recovery efforts.</w:t>
            </w:r>
          </w:p>
        </w:tc>
      </w:tr>
      <w:tr>
        <w:trPr>
          <w:cantSplit/>
        </w:trPr>
        <w:tc>
          <w:tcPr>
            <w:tcW w:type="dxa" w:w="1224"/>
            <w:vAlign w:val="top"/>
            <w:tcMar>
              <w:top w:w="60" w:type="dxa"/>
              <w:start w:w="70" w:type="dxa"/>
              <w:bottom w:w="60" w:type="dxa"/>
              <w:end w:w="70" w:type="dxa"/>
            </w:tcMar>
          </w:tcPr>
          <w:p>
            <w:pPr>
              <w:pStyle w:val="TableText"/>
            </w:pPr>
            <w:r>
              <w:rPr>
                <w:b/>
                <w:color w:val="1F4E79"/>
                <w:sz w:val="15"/>
              </w:rPr>
              <w:t>Critical</w:t>
            </w:r>
          </w:p>
        </w:tc>
        <w:tc>
          <w:tcPr>
            <w:tcW w:type="dxa" w:w="4680"/>
            <w:vAlign w:val="top"/>
            <w:tcMar>
              <w:top w:w="60" w:type="dxa"/>
              <w:start w:w="70" w:type="dxa"/>
              <w:bottom w:w="60" w:type="dxa"/>
              <w:end w:w="70" w:type="dxa"/>
            </w:tcMar>
          </w:tcPr>
          <w:p>
            <w:pPr>
              <w:pStyle w:val="TableText"/>
            </w:pPr>
            <w:r>
              <w:rPr>
                <w:sz w:val="15"/>
              </w:rPr>
              <w:t>Fraud-related fleet, insurance, accounting materials are missing or withheld: underlying capacity source data; 2020–21/2023 policies and endorsements; FY2020 unauditeds; detailed capitalization entries; ASC 842/lease files.</w:t>
            </w:r>
          </w:p>
        </w:tc>
        <w:tc>
          <w:tcPr>
            <w:tcW w:type="dxa" w:w="4320"/>
            <w:vAlign w:val="top"/>
            <w:tcMar>
              <w:top w:w="60" w:type="dxa"/>
              <w:start w:w="70" w:type="dxa"/>
              <w:bottom w:w="60" w:type="dxa"/>
              <w:end w:w="70" w:type="dxa"/>
            </w:tcMar>
          </w:tcPr>
          <w:p>
            <w:pPr>
              <w:pStyle w:val="TableText"/>
            </w:pPr>
            <w:r>
              <w:rPr>
                <w:sz w:val="15"/>
              </w:rPr>
              <w:t>Targeted supplemental production and corrected responses; challenge entries 12–18 and 33–40 on the present log descriptions.</w:t>
            </w:r>
          </w:p>
        </w:tc>
      </w:tr>
      <w:tr>
        <w:trPr>
          <w:cantSplit/>
        </w:trPr>
        <w:tc>
          <w:tcPr>
            <w:tcW w:type="dxa" w:w="1224"/>
            <w:vAlign w:val="top"/>
            <w:tcMar>
              <w:top w:w="60" w:type="dxa"/>
              <w:start w:w="70" w:type="dxa"/>
              <w:bottom w:w="60" w:type="dxa"/>
              <w:end w:w="70" w:type="dxa"/>
            </w:tcMar>
            <w:shd w:fill="F4F7FA"/>
          </w:tcPr>
          <w:p>
            <w:pPr>
              <w:pStyle w:val="TableText"/>
            </w:pPr>
            <w:r>
              <w:rPr>
                <w:b/>
                <w:color w:val="1F4E79"/>
                <w:sz w:val="15"/>
              </w:rPr>
              <w:t>High</w:t>
            </w:r>
          </w:p>
        </w:tc>
        <w:tc>
          <w:tcPr>
            <w:tcW w:type="dxa" w:w="4680"/>
            <w:vAlign w:val="top"/>
            <w:tcMar>
              <w:top w:w="60" w:type="dxa"/>
              <w:start w:w="70" w:type="dxa"/>
              <w:bottom w:w="60" w:type="dxa"/>
              <w:end w:w="70" w:type="dxa"/>
            </w:tcMar>
            <w:shd w:fill="F4F7FA"/>
          </w:tcPr>
          <w:p>
            <w:pPr>
              <w:pStyle w:val="TableText"/>
            </w:pPr>
            <w:r>
              <w:rPr>
                <w:sz w:val="15"/>
              </w:rPr>
              <w:t>RFP 5 board materials: zero documents; RFP 16 financial/account profitability analysis: categorical refusal despite counterclaim allegations relying on management/board analyses.</w:t>
            </w:r>
          </w:p>
        </w:tc>
        <w:tc>
          <w:tcPr>
            <w:tcW w:type="dxa" w:w="4320"/>
            <w:vAlign w:val="top"/>
            <w:tcMar>
              <w:top w:w="60" w:type="dxa"/>
              <w:start w:w="70" w:type="dxa"/>
              <w:bottom w:w="60" w:type="dxa"/>
              <w:end w:w="70" w:type="dxa"/>
            </w:tcMar>
            <w:shd w:fill="F4F7FA"/>
          </w:tcPr>
          <w:p>
            <w:pPr>
              <w:pStyle w:val="TableText"/>
            </w:pPr>
            <w:r>
              <w:rPr>
                <w:sz w:val="15"/>
              </w:rPr>
              <w:t>Search board/committee and finance repositories; produce account-specific materials and appropriately tailored non-confidential excerpts.</w:t>
            </w:r>
          </w:p>
        </w:tc>
      </w:tr>
      <w:tr>
        <w:trPr>
          <w:cantSplit/>
        </w:trPr>
        <w:tc>
          <w:tcPr>
            <w:tcW w:type="dxa" w:w="1224"/>
            <w:vAlign w:val="top"/>
            <w:tcMar>
              <w:top w:w="60" w:type="dxa"/>
              <w:start w:w="70" w:type="dxa"/>
              <w:bottom w:w="60" w:type="dxa"/>
              <w:end w:w="70" w:type="dxa"/>
            </w:tcMar>
          </w:tcPr>
          <w:p>
            <w:pPr>
              <w:pStyle w:val="TableText"/>
            </w:pPr>
            <w:r>
              <w:rPr>
                <w:b/>
                <w:color w:val="1F4E79"/>
                <w:sz w:val="15"/>
              </w:rPr>
              <w:t>High</w:t>
            </w:r>
          </w:p>
        </w:tc>
        <w:tc>
          <w:tcPr>
            <w:tcW w:type="dxa" w:w="4680"/>
            <w:vAlign w:val="top"/>
            <w:tcMar>
              <w:top w:w="60" w:type="dxa"/>
              <w:start w:w="70" w:type="dxa"/>
              <w:bottom w:w="60" w:type="dxa"/>
              <w:end w:w="70" w:type="dxa"/>
            </w:tcMar>
          </w:tcPr>
          <w:p>
            <w:pPr>
              <w:pStyle w:val="TableText"/>
            </w:pPr>
            <w:r>
              <w:rPr>
                <w:sz w:val="15"/>
              </w:rPr>
              <w:t>RFP 23 external communications: index maps emails chiefly to Brisk/Sato; separate Alderton correspondence shows direct PC communications, yet no RFP 23 coding for Alderton, Cho, Hale or Delaney; no texts/IMs identified.</w:t>
            </w:r>
          </w:p>
        </w:tc>
        <w:tc>
          <w:tcPr>
            <w:tcW w:type="dxa" w:w="4320"/>
            <w:vAlign w:val="top"/>
            <w:tcMar>
              <w:top w:w="60" w:type="dxa"/>
              <w:start w:w="70" w:type="dxa"/>
              <w:bottom w:w="60" w:type="dxa"/>
              <w:end w:w="70" w:type="dxa"/>
            </w:tcMar>
          </w:tcPr>
          <w:p>
            <w:pPr>
              <w:pStyle w:val="TableText"/>
            </w:pPr>
            <w:r>
              <w:rPr>
                <w:sz w:val="15"/>
              </w:rPr>
              <w:t>Provide actual search terms/parameters, custodian-by-custodian counts, supplemental productions, and a source/platform account.</w:t>
            </w:r>
          </w:p>
        </w:tc>
      </w:tr>
      <w:tr>
        <w:trPr>
          <w:cantSplit/>
        </w:trPr>
        <w:tc>
          <w:tcPr>
            <w:tcW w:type="dxa" w:w="1224"/>
            <w:vAlign w:val="top"/>
            <w:tcMar>
              <w:top w:w="60" w:type="dxa"/>
              <w:start w:w="70" w:type="dxa"/>
              <w:bottom w:w="60" w:type="dxa"/>
              <w:end w:w="70" w:type="dxa"/>
            </w:tcMar>
            <w:shd w:fill="F4F7FA"/>
          </w:tcPr>
          <w:p>
            <w:pPr>
              <w:pStyle w:val="TableText"/>
            </w:pPr>
            <w:r>
              <w:rPr>
                <w:b/>
                <w:color w:val="1F4E79"/>
                <w:sz w:val="15"/>
              </w:rPr>
              <w:t>High</w:t>
            </w:r>
          </w:p>
        </w:tc>
        <w:tc>
          <w:tcPr>
            <w:tcW w:type="dxa" w:w="4680"/>
            <w:vAlign w:val="top"/>
            <w:tcMar>
              <w:top w:w="60" w:type="dxa"/>
              <w:start w:w="70" w:type="dxa"/>
              <w:bottom w:w="60" w:type="dxa"/>
              <w:end w:w="70" w:type="dxa"/>
            </w:tcMar>
            <w:shd w:fill="F4F7FA"/>
          </w:tcPr>
          <w:p>
            <w:pPr>
              <w:pStyle w:val="TableText"/>
            </w:pPr>
            <w:r>
              <w:rPr>
                <w:sz w:val="15"/>
              </w:rPr>
              <w:t>Document integrity: 332 numbered index entries versus stated 312 documents; RFP descriptions/coding are inconsistent; nine underlying Greystone materials are described as unrelated to PC.</w:t>
            </w:r>
          </w:p>
        </w:tc>
        <w:tc>
          <w:tcPr>
            <w:tcW w:type="dxa" w:w="4320"/>
            <w:vAlign w:val="top"/>
            <w:tcMar>
              <w:top w:w="60" w:type="dxa"/>
              <w:start w:w="70" w:type="dxa"/>
              <w:bottom w:w="60" w:type="dxa"/>
              <w:end w:w="70" w:type="dxa"/>
            </w:tcMar>
            <w:shd w:fill="F4F7FA"/>
          </w:tcPr>
          <w:p>
            <w:pPr>
              <w:pStyle w:val="TableText"/>
            </w:pPr>
            <w:r>
              <w:rPr>
                <w:sz w:val="15"/>
              </w:rPr>
              <w:t>Reconcile index/counts and RFP mapping; identify nonresponsive Greystone materials and secure their handling under the protective order.</w:t>
            </w:r>
          </w:p>
        </w:tc>
      </w:tr>
    </w:tbl>
    <w:p>
      <w:pPr>
        <w:spacing w:after="20"/>
      </w:pPr>
    </w:p>
    <w:p>
      <w:pPr>
        <w:pStyle w:val="Heading1"/>
      </w:pPr>
      <w:r>
        <w:t>II. Case and deadline context</w:t>
      </w:r>
    </w:p>
    <w:p>
      <w:r>
        <w:t>Pacific Corridor alleges breach, fraud and negligent misrepresentation based on (i) pre-contract fleet, insurance and FY2020 financial representations; (ii) performance against a 120-truck daily availability commitment and alleged missed pickups; and (iii) termination. It claims at least $14.3 million plus $1.407 million liquidated damages. Meridian denies liability and counterclaims for $3.2 million based on Pacific Corridor’s monthly minimum-volume commitment, alleged shortfalls, wrongful termination, and lost profits/reliance costs. Meridian’s Answer/Counterclaim affirmatively says internal finance analyses, senior-management reports and board presentations document the alleged damages (Answer/Counterclaim ¶¶ 45–48, 52–53, 59, 63–65).</w:t>
      </w:r>
    </w:p>
    <w:p>
      <w:r>
        <w:t>Key dates. RFPs served May 15, 2024; responses served June 28; production and log served August 12; deficiency letter August 19; Meridian response September 2; follow-up September 9; latest Meridian response September 15. The Scheduling Order sets fact discovery close September 30, 2025, but fixes October 1, 2024 as the motion-to-compel deadline for productions completed on or before August 31, 2024. It also requires a direct telephone or in-person meet-and-confer, not email alone, at least 14 days before a discovery motion. No completed direct conference appears in the provided email chain; Meridian’s proposed week of September 23 would be too late to support an October 1 filing under that requirement. Arrange a direct conference by September 17 if possible, and address any extension with the Court before the October 1 cap if needed.</w:t>
      </w:r>
    </w:p>
    <w:p>
      <w:pPr>
        <w:pStyle w:val="Heading1"/>
      </w:pPr>
      <w:r>
        <w:t>III. Systemic production and response defects</w:t>
      </w:r>
    </w:p>
    <w:p>
      <w:pPr>
        <w:pStyle w:val="Heading2"/>
      </w:pPr>
      <w:r>
        <w:t>A. Index accuracy and RFP mapping</w:t>
      </w:r>
    </w:p>
    <w:p>
      <w:pPr>
        <w:pStyle w:val="ListBullet"/>
        <w:spacing w:after="40" w:line="250" w:lineRule="auto"/>
      </w:pPr>
      <w:r>
        <w:t>The production index lists numbered entries 1–332, while its summary and the meet-and-confer email state 312 documents and 4,217 pages (Bates MLC-000001–MLC-004217). Reconcile unique document count, grouped families/attachments, page count, Bates continuity, and entry-level production mapping. Several entries aggregate many communications (e.g., 42 letters in MLC-003821–MLC-003979) or use “Various,” limiting document-level author/custodian and request mapping required by the ESI Protocol.</w:t>
      </w:r>
    </w:p>
    <w:p>
      <w:pPr>
        <w:pStyle w:val="ListBullet"/>
        <w:spacing w:after="40" w:line="250" w:lineRule="auto"/>
      </w:pPr>
      <w:r>
        <w:t>RFP coding is not reliable as the sole measure of completeness. Examples: the Fleet Capacity Report is indexed under RFPs 3 and 6, not the directly applicable RFP 2/10; monthly operations/dispatch material is coded under RFP 10/20/21 despite the actual RFP 10 seeking Fleet Capacity Report source materials and RFP 21 seeking complaints; KPI reports are indexed under RFP 21 although the served KPI request is RFP 22; and counterclaim damages emails/reports at MLC-003681–MLC-003820 are coded RFP 25, while RFP 25 actually seeks insurer communications. Produce a corrected, document-level responsiveness crosswalk and identify any documents withheld or omitted because of a coding error.</w:t>
      </w:r>
    </w:p>
    <w:p>
      <w:pPr>
        <w:pStyle w:val="ListBullet"/>
        <w:spacing w:after="40" w:line="250" w:lineRule="auto"/>
      </w:pPr>
      <w:r>
        <w:t>The Production Index has eight numbered entries spanning MLC-003980–MLC-004055 described as Greystone Distribution Partners records, unrelated to the Pacific Corridor volume/damages request; its detailed content sheet characterizes nine documents in this range as Greystone-related. Explain the misproduction and count; identify whether these are a different client’s confidential records and confirm appropriate access/designation handling. Do not treat them as support for Meridian’s counterclaim.</w:t>
      </w:r>
    </w:p>
    <w:p>
      <w:pPr>
        <w:pStyle w:val="ListBullet"/>
        <w:spacing w:after="40" w:line="250" w:lineRule="auto"/>
      </w:pPr>
      <w:r>
        <w:t>The ESI Protocol calls for Bates range, date, author/custodian, document type, subject description and responsive request(s) for each document. The index supplies most fields, but grouped collections and “Various” entries require an item-level supplement. For spreadsheets, fleet databases, dispatch exports and damages models, specifically request native production with formulas/metadata and Bates placeholders under the Protocol.</w:t>
      </w:r>
    </w:p>
    <w:p>
      <w:pPr>
        <w:pStyle w:val="Heading2"/>
      </w:pPr>
      <w:r>
        <w:t>B. The written responses do not reliably describe the served requests</w:t>
      </w:r>
    </w:p>
    <w:p>
      <w:r>
        <w:t>Several specific response summaries materially change the subject of the request: RFP 2 (due-diligence materials) is answered as a term-sheet request; RFP 3 (Meridian internal decision analyses) is answered as due diligence; RFP 9 (maintenance/repair records) is answered as vehicle leases; RFP 10 (Fleet Capacity Report sources) is answered as maintenance records; RFP 12 (certificates of insurance) is answered as claim files; RFP 13 (claim files) is answered as endorsements; and RFP 18 (lease obligations/accounting) is answered as board financial presentations. The index also cross-codes material inconsistently. Require amended, request-specific responses tied to the actual May 15 requests, identifying the scope actually searched, what will be produced, what is withheld, and whether responsive material does not exist. Blanket incorporation of all 12 general objections and “subject to and without waiving” language does not resolve ambiguity or identify what is being withheld under Rule 34(b)(2)(C).</w:t>
      </w:r>
    </w:p>
    <w:p>
      <w:pPr>
        <w:pStyle w:val="Heading1"/>
      </w:pPr>
      <w:r>
        <w:t>IV. Request-by-request gap matrix</w:t>
      </w:r>
    </w:p>
    <w:p>
      <w:r>
        <w:t>The matrix compares the served requests—not the shortened request summaries in Meridian’s responses—to the production index and correspondence. “No index entry” does not alone establish nonexistence, particularly where responsive documents may be coded under another RFP; it does require a corrected crosswalk and an explicit completeness answer.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12"/>
            <w:shd w:fill="17365D"/>
            <w:tcMar>
              <w:top w:w="75" w:type="dxa"/>
              <w:start w:w="75" w:type="dxa"/>
              <w:bottom w:w="75" w:type="dxa"/>
              <w:end w:w="75" w:type="dxa"/>
            </w:tcMar>
            <w:vAlign w:val="center"/>
          </w:tcPr>
          <w:p>
            <w:pPr>
              <w:pStyle w:val="TableText"/>
            </w:pPr>
            <w:r>
              <w:rPr>
                <w:b/>
                <w:color w:val="FFFFFF"/>
                <w:sz w:val="14"/>
              </w:rPr>
              <w:t>RFP / subject</w:t>
            </w:r>
          </w:p>
        </w:tc>
        <w:tc>
          <w:tcPr>
            <w:tcW w:type="dxa" w:w="4680"/>
            <w:shd w:fill="17365D"/>
            <w:tcMar>
              <w:top w:w="75" w:type="dxa"/>
              <w:start w:w="75" w:type="dxa"/>
              <w:bottom w:w="75" w:type="dxa"/>
              <w:end w:w="75" w:type="dxa"/>
            </w:tcMar>
            <w:vAlign w:val="center"/>
          </w:tcPr>
          <w:p>
            <w:pPr>
              <w:pStyle w:val="TableText"/>
            </w:pPr>
            <w:r>
              <w:rPr>
                <w:b/>
                <w:color w:val="FFFFFF"/>
                <w:sz w:val="14"/>
              </w:rPr>
              <w:t>Record-indicated gap</w:t>
            </w:r>
          </w:p>
        </w:tc>
        <w:tc>
          <w:tcPr>
            <w:tcW w:type="dxa" w:w="3931"/>
            <w:shd w:fill="17365D"/>
            <w:tcMar>
              <w:top w:w="75" w:type="dxa"/>
              <w:start w:w="75" w:type="dxa"/>
              <w:bottom w:w="75" w:type="dxa"/>
              <w:end w:w="75" w:type="dxa"/>
            </w:tcMar>
            <w:vAlign w:val="center"/>
          </w:tcPr>
          <w:p>
            <w:pPr>
              <w:pStyle w:val="TableText"/>
            </w:pPr>
            <w:r>
              <w:rPr>
                <w:b/>
                <w:color w:val="FFFFFF"/>
                <w:sz w:val="14"/>
              </w:rPr>
              <w:t>Focused cure</w:t>
            </w:r>
          </w:p>
        </w:tc>
      </w:tr>
      <w:tr>
        <w:trPr>
          <w:cantSplit/>
        </w:trPr>
        <w:tc>
          <w:tcPr>
            <w:tcW w:type="dxa" w:w="1612"/>
            <w:vAlign w:val="top"/>
            <w:tcMar>
              <w:top w:w="60" w:type="dxa"/>
              <w:start w:w="70" w:type="dxa"/>
              <w:bottom w:w="60" w:type="dxa"/>
              <w:end w:w="70" w:type="dxa"/>
            </w:tcMar>
          </w:tcPr>
          <w:p>
            <w:pPr>
              <w:pStyle w:val="TableText"/>
            </w:pPr>
            <w:r>
              <w:rPr>
                <w:b/>
                <w:color w:val="1F4E79"/>
                <w:sz w:val="14"/>
              </w:rPr>
              <w:t>1 — Formation</w:t>
            </w:r>
          </w:p>
        </w:tc>
        <w:tc>
          <w:tcPr>
            <w:tcW w:type="dxa" w:w="4680"/>
            <w:vAlign w:val="top"/>
            <w:tcMar>
              <w:top w:w="60" w:type="dxa"/>
              <w:start w:w="70" w:type="dxa"/>
              <w:bottom w:w="60" w:type="dxa"/>
              <w:end w:w="70" w:type="dxa"/>
            </w:tcMar>
          </w:tcPr>
          <w:p>
            <w:pPr>
              <w:pStyle w:val="TableText"/>
            </w:pPr>
            <w:r>
              <w:rPr>
                <w:sz w:val="14"/>
              </w:rPr>
              <w:t>Executed FMSA, term sheets and multiple drafts appear at MLC-000001–000169. Response says only two prior drafts; index lists at least four drafts and two term sheets.</w:t>
            </w:r>
          </w:p>
        </w:tc>
        <w:tc>
          <w:tcPr>
            <w:tcW w:type="dxa" w:w="3931"/>
            <w:vAlign w:val="top"/>
            <w:tcMar>
              <w:top w:w="60" w:type="dxa"/>
              <w:start w:w="70" w:type="dxa"/>
              <w:bottom w:w="60" w:type="dxa"/>
              <w:end w:w="70" w:type="dxa"/>
            </w:tcMar>
          </w:tcPr>
          <w:p>
            <w:pPr>
              <w:pStyle w:val="TableText"/>
            </w:pPr>
            <w:r>
              <w:rPr>
                <w:sz w:val="14"/>
              </w:rPr>
              <w:t>Confirm full negotiation file, every version/redline, attachments and side letters; reconcile response to index.</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2 — Due diligence</w:t>
            </w:r>
          </w:p>
        </w:tc>
        <w:tc>
          <w:tcPr>
            <w:tcW w:type="dxa" w:w="4680"/>
            <w:vAlign w:val="top"/>
            <w:tcMar>
              <w:top w:w="60" w:type="dxa"/>
              <w:start w:w="70" w:type="dxa"/>
              <w:bottom w:w="60" w:type="dxa"/>
              <w:end w:w="70" w:type="dxa"/>
            </w:tcMar>
            <w:shd w:fill="F4F7FA"/>
          </w:tcPr>
          <w:p>
            <w:pPr>
              <w:pStyle w:val="TableText"/>
            </w:pPr>
            <w:r>
              <w:rPr>
                <w:sz w:val="14"/>
              </w:rPr>
              <w:t>No items coded RFP 2. Fleet report (MLC-000240–000258), COI (MLC-002399–002401) and other materials are coded elsewhere. No FY2020 unaudited financials identified.</w:t>
            </w:r>
          </w:p>
        </w:tc>
        <w:tc>
          <w:tcPr>
            <w:tcW w:type="dxa" w:w="3931"/>
            <w:vAlign w:val="top"/>
            <w:tcMar>
              <w:top w:w="60" w:type="dxa"/>
              <w:start w:w="70" w:type="dxa"/>
              <w:bottom w:w="60" w:type="dxa"/>
              <w:end w:w="70" w:type="dxa"/>
            </w:tcMar>
            <w:shd w:fill="F4F7FA"/>
          </w:tcPr>
          <w:p>
            <w:pPr>
              <w:pStyle w:val="TableText"/>
            </w:pPr>
            <w:r>
              <w:rPr>
                <w:sz w:val="14"/>
              </w:rPr>
              <w:t>Produce complete due-diligence package actually sent/prepared for PC, including FY2020 unauditeds, capacity/insurance materials, financial summaries and transmittal records.</w:t>
            </w:r>
          </w:p>
        </w:tc>
      </w:tr>
      <w:tr>
        <w:trPr>
          <w:cantSplit/>
        </w:trPr>
        <w:tc>
          <w:tcPr>
            <w:tcW w:type="dxa" w:w="1612"/>
            <w:vAlign w:val="top"/>
            <w:tcMar>
              <w:top w:w="60" w:type="dxa"/>
              <w:start w:w="70" w:type="dxa"/>
              <w:bottom w:w="60" w:type="dxa"/>
              <w:end w:w="70" w:type="dxa"/>
            </w:tcMar>
          </w:tcPr>
          <w:p>
            <w:pPr>
              <w:pStyle w:val="TableText"/>
            </w:pPr>
            <w:r>
              <w:rPr>
                <w:b/>
                <w:color w:val="1F4E79"/>
                <w:sz w:val="14"/>
              </w:rPr>
              <w:t>3 — Internal entry analyses</w:t>
            </w:r>
          </w:p>
        </w:tc>
        <w:tc>
          <w:tcPr>
            <w:tcW w:type="dxa" w:w="4680"/>
            <w:vAlign w:val="top"/>
            <w:tcMar>
              <w:top w:w="60" w:type="dxa"/>
              <w:start w:w="70" w:type="dxa"/>
              <w:bottom w:w="60" w:type="dxa"/>
              <w:end w:w="70" w:type="dxa"/>
            </w:tcMar>
          </w:tcPr>
          <w:p>
            <w:pPr>
              <w:pStyle w:val="TableText"/>
            </w:pPr>
            <w:r>
              <w:rPr>
                <w:sz w:val="14"/>
              </w:rPr>
              <w:t>Some internal due-diligence, projected-revenue and operational-feasibility items appear at MLC-000170–000239 and 000346–000355, but not a complete set of pricing, margin, cost-benefit and risk analyses.</w:t>
            </w:r>
          </w:p>
        </w:tc>
        <w:tc>
          <w:tcPr>
            <w:tcW w:type="dxa" w:w="3931"/>
            <w:vAlign w:val="top"/>
            <w:tcMar>
              <w:top w:w="60" w:type="dxa"/>
              <w:start w:w="70" w:type="dxa"/>
              <w:bottom w:w="60" w:type="dxa"/>
              <w:end w:w="70" w:type="dxa"/>
            </w:tcMar>
          </w:tcPr>
          <w:p>
            <w:pPr>
              <w:pStyle w:val="TableText"/>
            </w:pPr>
            <w:r>
              <w:rPr>
                <w:sz w:val="14"/>
              </w:rPr>
              <w:t>Confirm search of finance, business development, executive and operations files; produce full Pacific Corridor decision analyses.</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4 — Broker/referral</w:t>
            </w:r>
          </w:p>
        </w:tc>
        <w:tc>
          <w:tcPr>
            <w:tcW w:type="dxa" w:w="4680"/>
            <w:vAlign w:val="top"/>
            <w:tcMar>
              <w:top w:w="60" w:type="dxa"/>
              <w:start w:w="70" w:type="dxa"/>
              <w:bottom w:w="60" w:type="dxa"/>
              <w:end w:w="70" w:type="dxa"/>
            </w:tcMar>
            <w:shd w:fill="F4F7FA"/>
          </w:tcPr>
          <w:p>
            <w:pPr>
              <w:pStyle w:val="TableText"/>
            </w:pPr>
            <w:r>
              <w:rPr>
                <w:sz w:val="14"/>
              </w:rPr>
              <w:t>Response says no agreement after inquiry; no clear broker/finder/commission agreement identified in index.</w:t>
            </w:r>
          </w:p>
        </w:tc>
        <w:tc>
          <w:tcPr>
            <w:tcW w:type="dxa" w:w="3931"/>
            <w:vAlign w:val="top"/>
            <w:tcMar>
              <w:top w:w="60" w:type="dxa"/>
              <w:start w:w="70" w:type="dxa"/>
              <w:bottom w:w="60" w:type="dxa"/>
              <w:end w:w="70" w:type="dxa"/>
            </w:tcMar>
            <w:shd w:fill="F4F7FA"/>
          </w:tcPr>
          <w:p>
            <w:pPr>
              <w:pStyle w:val="TableText"/>
            </w:pPr>
            <w:r>
              <w:rPr>
                <w:sz w:val="14"/>
              </w:rPr>
              <w:t>Verify no agreement, commission, referral fee or documented intermediary arrangement; include emails/payment records and explain search.</w:t>
            </w:r>
          </w:p>
        </w:tc>
      </w:tr>
      <w:tr>
        <w:trPr>
          <w:cantSplit/>
        </w:trPr>
        <w:tc>
          <w:tcPr>
            <w:tcW w:type="dxa" w:w="1612"/>
            <w:vAlign w:val="top"/>
            <w:tcMar>
              <w:top w:w="60" w:type="dxa"/>
              <w:start w:w="70" w:type="dxa"/>
              <w:bottom w:w="60" w:type="dxa"/>
              <w:end w:w="70" w:type="dxa"/>
            </w:tcMar>
          </w:tcPr>
          <w:p>
            <w:pPr>
              <w:pStyle w:val="TableText"/>
            </w:pPr>
            <w:r>
              <w:rPr>
                <w:b/>
                <w:color w:val="1F4E79"/>
                <w:sz w:val="14"/>
              </w:rPr>
              <w:t>5 — Board</w:t>
            </w:r>
          </w:p>
        </w:tc>
        <w:tc>
          <w:tcPr>
            <w:tcW w:type="dxa" w:w="4680"/>
            <w:vAlign w:val="top"/>
            <w:tcMar>
              <w:top w:w="60" w:type="dxa"/>
              <w:start w:w="70" w:type="dxa"/>
              <w:bottom w:w="60" w:type="dxa"/>
              <w:end w:w="70" w:type="dxa"/>
            </w:tcMar>
          </w:tcPr>
          <w:p>
            <w:pPr>
              <w:pStyle w:val="TableText"/>
            </w:pPr>
            <w:r>
              <w:rPr>
                <w:sz w:val="14"/>
              </w:rPr>
              <w:t>Zero responsive entries identified in the index; response promised nonprivileged production. No board minutes, resolutions, consents or attachments shown.</w:t>
            </w:r>
          </w:p>
        </w:tc>
        <w:tc>
          <w:tcPr>
            <w:tcW w:type="dxa" w:w="3931"/>
            <w:vAlign w:val="top"/>
            <w:tcMar>
              <w:top w:w="60" w:type="dxa"/>
              <w:start w:w="70" w:type="dxa"/>
              <w:bottom w:w="60" w:type="dxa"/>
              <w:end w:w="70" w:type="dxa"/>
            </w:tcMar>
          </w:tcPr>
          <w:p>
            <w:pPr>
              <w:pStyle w:val="TableText"/>
            </w:pPr>
            <w:r>
              <w:rPr>
                <w:sz w:val="14"/>
              </w:rPr>
              <w:t>Search Board and committee minutes/books, consent repositories, board portal, and materials circulated to directors; produce or verify none.</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6 — Monthly fleet records</w:t>
            </w:r>
          </w:p>
        </w:tc>
        <w:tc>
          <w:tcPr>
            <w:tcW w:type="dxa" w:w="4680"/>
            <w:vAlign w:val="top"/>
            <w:tcMar>
              <w:top w:w="60" w:type="dxa"/>
              <w:start w:w="70" w:type="dxa"/>
              <w:bottom w:w="60" w:type="dxa"/>
              <w:end w:w="70" w:type="dxa"/>
            </w:tcMar>
            <w:shd w:fill="F4F7FA"/>
          </w:tcPr>
          <w:p>
            <w:pPr>
              <w:pStyle w:val="TableText"/>
            </w:pPr>
            <w:r>
              <w:rPr>
                <w:sz w:val="14"/>
              </w:rPr>
              <w:t>Four fleet snapshots and four deployment reports (MLC-000381–000525) are not monthly 2019–present records. Response narrows period and limits to PC-related records.</w:t>
            </w:r>
          </w:p>
        </w:tc>
        <w:tc>
          <w:tcPr>
            <w:tcW w:type="dxa" w:w="3931"/>
            <w:vAlign w:val="top"/>
            <w:tcMar>
              <w:top w:w="60" w:type="dxa"/>
              <w:start w:w="70" w:type="dxa"/>
              <w:bottom w:w="60" w:type="dxa"/>
              <w:end w:w="70" w:type="dxa"/>
            </w:tcMar>
            <w:shd w:fill="F4F7FA"/>
          </w:tcPr>
          <w:p>
            <w:pPr>
              <w:pStyle w:val="TableText"/>
            </w:pPr>
            <w:r>
              <w:rPr>
                <w:sz w:val="14"/>
              </w:rPr>
              <w:t>Produce monthly fleet rosters/status/location and source system data for the requested period; distinguish owned, leased, rented, controlled and affiliate capacity.</w:t>
            </w:r>
          </w:p>
        </w:tc>
      </w:tr>
      <w:tr>
        <w:trPr>
          <w:cantSplit/>
        </w:trPr>
        <w:tc>
          <w:tcPr>
            <w:tcW w:type="dxa" w:w="1612"/>
            <w:vAlign w:val="top"/>
            <w:tcMar>
              <w:top w:w="60" w:type="dxa"/>
              <w:start w:w="70" w:type="dxa"/>
              <w:bottom w:w="60" w:type="dxa"/>
              <w:end w:w="70" w:type="dxa"/>
            </w:tcMar>
          </w:tcPr>
          <w:p>
            <w:pPr>
              <w:pStyle w:val="TableText"/>
            </w:pPr>
            <w:r>
              <w:rPr>
                <w:b/>
                <w:color w:val="1F4E79"/>
                <w:sz w:val="14"/>
              </w:rPr>
              <w:t>7 — Vehicle rights</w:t>
            </w:r>
          </w:p>
        </w:tc>
        <w:tc>
          <w:tcPr>
            <w:tcW w:type="dxa" w:w="4680"/>
            <w:vAlign w:val="top"/>
            <w:tcMar>
              <w:top w:w="60" w:type="dxa"/>
              <w:start w:w="70" w:type="dxa"/>
              <w:bottom w:w="60" w:type="dxa"/>
              <w:end w:w="70" w:type="dxa"/>
            </w:tcMar>
          </w:tcPr>
          <w:p>
            <w:pPr>
              <w:pStyle w:val="TableText"/>
            </w:pPr>
            <w:r>
              <w:rPr>
                <w:sz w:val="14"/>
              </w:rPr>
              <w:t>Registration documents for about 189 units and limited lease materials (including a 35-tractor master lease and 15-trailer schedule) at MLC-000526–000738.</w:t>
            </w:r>
          </w:p>
        </w:tc>
        <w:tc>
          <w:tcPr>
            <w:tcW w:type="dxa" w:w="3931"/>
            <w:vAlign w:val="top"/>
            <w:tcMar>
              <w:top w:w="60" w:type="dxa"/>
              <w:start w:w="70" w:type="dxa"/>
              <w:bottom w:w="60" w:type="dxa"/>
              <w:end w:w="70" w:type="dxa"/>
            </w:tcMar>
          </w:tcPr>
          <w:p>
            <w:pPr>
              <w:pStyle w:val="TableText"/>
            </w:pPr>
            <w:r>
              <w:rPr>
                <w:sz w:val="14"/>
              </w:rPr>
              <w:t>Provide full title/registration/lease/rental/financing records for trucks and trailers used or available, full schedules and all relevant periods; reconcile with 347 figure.</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8 — Subcontractors</w:t>
            </w:r>
          </w:p>
        </w:tc>
        <w:tc>
          <w:tcPr>
            <w:tcW w:type="dxa" w:w="4680"/>
            <w:vAlign w:val="top"/>
            <w:tcMar>
              <w:top w:w="60" w:type="dxa"/>
              <w:start w:w="70" w:type="dxa"/>
              <w:bottom w:w="60" w:type="dxa"/>
              <w:end w:w="70" w:type="dxa"/>
            </w:tcMar>
            <w:shd w:fill="F4F7FA"/>
          </w:tcPr>
          <w:p>
            <w:pPr>
              <w:pStyle w:val="TableText"/>
            </w:pPr>
            <w:r>
              <w:rPr>
                <w:sz w:val="14"/>
              </w:rPr>
              <w:t>Zero index entries coded RFP 8. June response promised production; Sept. 15 email confirms a “limited number” may be responsive and are still under review.</w:t>
            </w:r>
          </w:p>
        </w:tc>
        <w:tc>
          <w:tcPr>
            <w:tcW w:type="dxa" w:w="3931"/>
            <w:vAlign w:val="top"/>
            <w:tcMar>
              <w:top w:w="60" w:type="dxa"/>
              <w:start w:w="70" w:type="dxa"/>
              <w:bottom w:w="60" w:type="dxa"/>
              <w:end w:w="70" w:type="dxa"/>
            </w:tcMar>
            <w:shd w:fill="F4F7FA"/>
          </w:tcPr>
          <w:p>
            <w:pPr>
              <w:pStyle w:val="TableText"/>
            </w:pPr>
            <w:r>
              <w:rPr>
                <w:sz w:val="14"/>
              </w:rPr>
              <w:t>Produce written and informal-arrangement evidence: carrier/affiliate agreements, rate confirmations, dispatch, invoices/payment, certificates, communications and capacity counts; otherwise verified no-records statement.</w:t>
            </w:r>
          </w:p>
        </w:tc>
      </w:tr>
      <w:tr>
        <w:trPr>
          <w:cantSplit/>
        </w:trPr>
        <w:tc>
          <w:tcPr>
            <w:tcW w:type="dxa" w:w="1612"/>
            <w:vAlign w:val="top"/>
            <w:tcMar>
              <w:top w:w="60" w:type="dxa"/>
              <w:start w:w="70" w:type="dxa"/>
              <w:bottom w:w="60" w:type="dxa"/>
              <w:end w:w="70" w:type="dxa"/>
            </w:tcMar>
          </w:tcPr>
          <w:p>
            <w:pPr>
              <w:pStyle w:val="TableText"/>
            </w:pPr>
            <w:r>
              <w:rPr>
                <w:b/>
                <w:color w:val="1F4E79"/>
                <w:sz w:val="14"/>
              </w:rPr>
              <w:t>9 — Maintenance</w:t>
            </w:r>
          </w:p>
        </w:tc>
        <w:tc>
          <w:tcPr>
            <w:tcW w:type="dxa" w:w="4680"/>
            <w:vAlign w:val="top"/>
            <w:tcMar>
              <w:top w:w="60" w:type="dxa"/>
              <w:start w:w="70" w:type="dxa"/>
              <w:bottom w:w="60" w:type="dxa"/>
              <w:end w:w="70" w:type="dxa"/>
            </w:tcMar>
          </w:tcPr>
          <w:p>
            <w:pPr>
              <w:pStyle w:val="TableText"/>
            </w:pPr>
            <w:r>
              <w:rPr>
                <w:sz w:val="14"/>
              </w:rPr>
              <w:t>Six quarterly preventive-maintenance schedules/logs (MLC-000739–000820), Q2 2021–Q3 2022 only; no comprehensive repair, inspection or out-of-service records evident. Response describes leases instead.</w:t>
            </w:r>
          </w:p>
        </w:tc>
        <w:tc>
          <w:tcPr>
            <w:tcW w:type="dxa" w:w="3931"/>
            <w:vAlign w:val="top"/>
            <w:tcMar>
              <w:top w:w="60" w:type="dxa"/>
              <w:start w:w="70" w:type="dxa"/>
              <w:bottom w:w="60" w:type="dxa"/>
              <w:end w:w="70" w:type="dxa"/>
            </w:tcMar>
          </w:tcPr>
          <w:p>
            <w:pPr>
              <w:pStyle w:val="TableText"/>
            </w:pPr>
            <w:r>
              <w:rPr>
                <w:sz w:val="14"/>
              </w:rPr>
              <w:t>Correct response and produce maintenance/repair/inspection records for Mar. 2021–Aug. 2023, including Q4 2022–Aug. 2023 and fleet-system exports.</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10 — Fleet Report support</w:t>
            </w:r>
          </w:p>
        </w:tc>
        <w:tc>
          <w:tcPr>
            <w:tcW w:type="dxa" w:w="4680"/>
            <w:vAlign w:val="top"/>
            <w:tcMar>
              <w:top w:w="60" w:type="dxa"/>
              <w:start w:w="70" w:type="dxa"/>
              <w:bottom w:w="60" w:type="dxa"/>
              <w:end w:w="70" w:type="dxa"/>
            </w:tcMar>
            <w:shd w:fill="F4F7FA"/>
          </w:tcPr>
          <w:p>
            <w:pPr>
              <w:pStyle w:val="TableText"/>
            </w:pPr>
            <w:r>
              <w:rPr>
                <w:sz w:val="14"/>
              </w:rPr>
              <w:t>Fleet Capacity Report itself at MLC-000240–000258; no identified underlying data, calculations, drafts or preparation communications. Log entries 12, 14, 16 and 18 describe relevant fleet assumptions/rosters/affiliate estimates.</w:t>
            </w:r>
          </w:p>
        </w:tc>
        <w:tc>
          <w:tcPr>
            <w:tcW w:type="dxa" w:w="3931"/>
            <w:vAlign w:val="top"/>
            <w:tcMar>
              <w:top w:w="60" w:type="dxa"/>
              <w:start w:w="70" w:type="dxa"/>
              <w:bottom w:w="60" w:type="dxa"/>
              <w:end w:w="70" w:type="dxa"/>
            </w:tcMar>
            <w:shd w:fill="F4F7FA"/>
          </w:tcPr>
          <w:p>
            <w:pPr>
              <w:pStyle w:val="TableText"/>
            </w:pPr>
            <w:r>
              <w:rPr>
                <w:sz w:val="14"/>
              </w:rPr>
              <w:t>Produce source rosters/database, calculations, all drafts and internal communications; separately address log entries 12, 14, 16, 18 and 31.</w:t>
            </w:r>
          </w:p>
        </w:tc>
      </w:tr>
      <w:tr>
        <w:trPr>
          <w:cantSplit/>
        </w:trPr>
        <w:tc>
          <w:tcPr>
            <w:tcW w:type="dxa" w:w="1612"/>
            <w:vAlign w:val="top"/>
            <w:tcMar>
              <w:top w:w="60" w:type="dxa"/>
              <w:start w:w="70" w:type="dxa"/>
              <w:bottom w:w="60" w:type="dxa"/>
              <w:end w:w="70" w:type="dxa"/>
            </w:tcMar>
          </w:tcPr>
          <w:p>
            <w:pPr>
              <w:pStyle w:val="TableText"/>
            </w:pPr>
            <w:r>
              <w:rPr>
                <w:b/>
                <w:color w:val="1F4E79"/>
                <w:sz w:val="14"/>
              </w:rPr>
              <w:t>11 — Policies</w:t>
            </w:r>
          </w:p>
        </w:tc>
        <w:tc>
          <w:tcPr>
            <w:tcW w:type="dxa" w:w="4680"/>
            <w:vAlign w:val="top"/>
            <w:tcMar>
              <w:top w:w="60" w:type="dxa"/>
              <w:start w:w="70" w:type="dxa"/>
              <w:bottom w:w="60" w:type="dxa"/>
              <w:end w:w="70" w:type="dxa"/>
            </w:tcMar>
          </w:tcPr>
          <w:p>
            <w:pPr>
              <w:pStyle w:val="TableText"/>
            </w:pPr>
            <w:r>
              <w:rPr>
                <w:sz w:val="14"/>
              </w:rPr>
              <w:t>One 2022 policy (MLC-002341–002398), Jan. 2021 COI and four 2022 endorsements appear; no base 2020–21 policy or 2023 policy is identified.</w:t>
            </w:r>
          </w:p>
        </w:tc>
        <w:tc>
          <w:tcPr>
            <w:tcW w:type="dxa" w:w="3931"/>
            <w:vAlign w:val="top"/>
            <w:tcMar>
              <w:top w:w="60" w:type="dxa"/>
              <w:start w:w="70" w:type="dxa"/>
              <w:bottom w:w="60" w:type="dxa"/>
              <w:end w:w="70" w:type="dxa"/>
            </w:tcMar>
          </w:tcPr>
          <w:p>
            <w:pPr>
              <w:pStyle w:val="TableText"/>
            </w:pPr>
            <w:r>
              <w:rPr>
                <w:sz w:val="14"/>
              </w:rPr>
              <w:t>Produce complete policy forms, dec pages, endorsements, notices and renewals for 2020–present, including policy in effect when $2M reduction became effective.</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12 — Certificates</w:t>
            </w:r>
          </w:p>
        </w:tc>
        <w:tc>
          <w:tcPr>
            <w:tcW w:type="dxa" w:w="4680"/>
            <w:vAlign w:val="top"/>
            <w:tcMar>
              <w:top w:w="60" w:type="dxa"/>
              <w:start w:w="70" w:type="dxa"/>
              <w:bottom w:w="60" w:type="dxa"/>
              <w:end w:w="70" w:type="dxa"/>
            </w:tcMar>
            <w:shd w:fill="F4F7FA"/>
          </w:tcPr>
          <w:p>
            <w:pPr>
              <w:pStyle w:val="TableText"/>
            </w:pPr>
            <w:r>
              <w:rPr>
                <w:sz w:val="14"/>
              </w:rPr>
              <w:t>Only Jan. 12, 2021 COI identified (MLC-002399–002401); response instead addresses claim files.</w:t>
            </w:r>
          </w:p>
        </w:tc>
        <w:tc>
          <w:tcPr>
            <w:tcW w:type="dxa" w:w="3931"/>
            <w:vAlign w:val="top"/>
            <w:tcMar>
              <w:top w:w="60" w:type="dxa"/>
              <w:start w:w="70" w:type="dxa"/>
              <w:bottom w:w="60" w:type="dxa"/>
              <w:end w:w="70" w:type="dxa"/>
            </w:tcMar>
            <w:shd w:fill="F4F7FA"/>
          </w:tcPr>
          <w:p>
            <w:pPr>
              <w:pStyle w:val="TableText"/>
            </w:pPr>
            <w:r>
              <w:rPr>
                <w:sz w:val="14"/>
              </w:rPr>
              <w:t>Correct response; produce all certificates provided to PC or on its behalf, renewals and later certificates, or identify each nonexistence period.</w:t>
            </w:r>
          </w:p>
        </w:tc>
      </w:tr>
      <w:tr>
        <w:trPr>
          <w:cantSplit/>
        </w:trPr>
        <w:tc>
          <w:tcPr>
            <w:tcW w:type="dxa" w:w="1612"/>
            <w:vAlign w:val="top"/>
            <w:tcMar>
              <w:top w:w="60" w:type="dxa"/>
              <w:start w:w="70" w:type="dxa"/>
              <w:bottom w:w="60" w:type="dxa"/>
              <w:end w:w="70" w:type="dxa"/>
            </w:tcMar>
          </w:tcPr>
          <w:p>
            <w:pPr>
              <w:pStyle w:val="TableText"/>
            </w:pPr>
            <w:r>
              <w:rPr>
                <w:b/>
                <w:color w:val="1F4E79"/>
                <w:sz w:val="14"/>
              </w:rPr>
              <w:t>13 — Claim files</w:t>
            </w:r>
          </w:p>
        </w:tc>
        <w:tc>
          <w:tcPr>
            <w:tcW w:type="dxa" w:w="4680"/>
            <w:vAlign w:val="top"/>
            <w:tcMar>
              <w:top w:w="60" w:type="dxa"/>
              <w:start w:w="70" w:type="dxa"/>
              <w:bottom w:w="60" w:type="dxa"/>
              <w:end w:w="70" w:type="dxa"/>
            </w:tcMar>
          </w:tcPr>
          <w:p>
            <w:pPr>
              <w:pStyle w:val="TableText"/>
            </w:pPr>
            <w:r>
              <w:rPr>
                <w:sz w:val="14"/>
              </w:rPr>
              <w:t>Five claim-file entries at MLC-002456–002535; some are coded RFP 12/13. Response instead addresses endorsements. Index descriptions do not establish completeness of reserves, adjuster reports, payments and insurer correspondence.</w:t>
            </w:r>
          </w:p>
        </w:tc>
        <w:tc>
          <w:tcPr>
            <w:tcW w:type="dxa" w:w="3931"/>
            <w:vAlign w:val="top"/>
            <w:tcMar>
              <w:top w:w="60" w:type="dxa"/>
              <w:start w:w="70" w:type="dxa"/>
              <w:bottom w:w="60" w:type="dxa"/>
              <w:end w:w="70" w:type="dxa"/>
            </w:tcMar>
          </w:tcPr>
          <w:p>
            <w:pPr>
              <w:pStyle w:val="TableText"/>
            </w:pPr>
            <w:r>
              <w:rPr>
                <w:sz w:val="14"/>
              </w:rPr>
              <w:t>Correct response and provide a claim-by-claim list; confirm all FMSA-related cargo, auto and GL files and full nonprivileged contents.</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14 — Pinnacle communications</w:t>
            </w:r>
          </w:p>
        </w:tc>
        <w:tc>
          <w:tcPr>
            <w:tcW w:type="dxa" w:w="4680"/>
            <w:vAlign w:val="top"/>
            <w:tcMar>
              <w:top w:w="60" w:type="dxa"/>
              <w:start w:w="70" w:type="dxa"/>
              <w:bottom w:w="60" w:type="dxa"/>
              <w:end w:w="70" w:type="dxa"/>
            </w:tcMar>
            <w:shd w:fill="F4F7FA"/>
          </w:tcPr>
          <w:p>
            <w:pPr>
              <w:pStyle w:val="TableText"/>
            </w:pPr>
            <w:r>
              <w:rPr>
                <w:sz w:val="14"/>
              </w:rPr>
              <w:t>Only a few 2022 insurer communications appear in production. Log entries 33–40 describe 2020–21 policy-option, $2M reduction, endorsement and $5M COI communications withheld as work product.</w:t>
            </w:r>
          </w:p>
        </w:tc>
        <w:tc>
          <w:tcPr>
            <w:tcW w:type="dxa" w:w="3931"/>
            <w:vAlign w:val="top"/>
            <w:tcMar>
              <w:top w:w="60" w:type="dxa"/>
              <w:start w:w="70" w:type="dxa"/>
              <w:bottom w:w="60" w:type="dxa"/>
              <w:end w:w="70" w:type="dxa"/>
            </w:tcMar>
            <w:shd w:fill="F4F7FA"/>
          </w:tcPr>
          <w:p>
            <w:pPr>
              <w:pStyle w:val="TableText"/>
            </w:pPr>
            <w:r>
              <w:rPr>
                <w:sz w:val="14"/>
              </w:rPr>
              <w:t>Produce ordinary-course coverage communications or provide document-specific legal basis, counsel involvement and litigation-anticipation facts; see privilege analysis below.</w:t>
            </w:r>
          </w:p>
        </w:tc>
      </w:tr>
      <w:tr>
        <w:trPr>
          <w:cantSplit/>
        </w:trPr>
        <w:tc>
          <w:tcPr>
            <w:tcW w:type="dxa" w:w="1612"/>
            <w:vAlign w:val="top"/>
            <w:tcMar>
              <w:top w:w="60" w:type="dxa"/>
              <w:start w:w="70" w:type="dxa"/>
              <w:bottom w:w="60" w:type="dxa"/>
              <w:end w:w="70" w:type="dxa"/>
            </w:tcMar>
          </w:tcPr>
          <w:p>
            <w:pPr>
              <w:pStyle w:val="TableText"/>
            </w:pPr>
            <w:r>
              <w:rPr>
                <w:b/>
                <w:color w:val="1F4E79"/>
                <w:sz w:val="14"/>
              </w:rPr>
              <w:t>15 — Financial statements</w:t>
            </w:r>
          </w:p>
        </w:tc>
        <w:tc>
          <w:tcPr>
            <w:tcW w:type="dxa" w:w="4680"/>
            <w:vAlign w:val="top"/>
            <w:tcMar>
              <w:top w:w="60" w:type="dxa"/>
              <w:start w:w="70" w:type="dxa"/>
              <w:bottom w:w="60" w:type="dxa"/>
              <w:end w:w="70" w:type="dxa"/>
            </w:tcMar>
          </w:tcPr>
          <w:p>
            <w:pPr>
              <w:pStyle w:val="TableText"/>
            </w:pPr>
            <w:r>
              <w:rPr>
                <w:sz w:val="14"/>
              </w:rPr>
              <w:t>Audited FY2019–2021; unaudited FY2022–2023; no FY2020 unaudited set provided to PC identified and no audited FY2022/23 statements shown.</w:t>
            </w:r>
          </w:p>
        </w:tc>
        <w:tc>
          <w:tcPr>
            <w:tcW w:type="dxa" w:w="3931"/>
            <w:vAlign w:val="top"/>
            <w:tcMar>
              <w:top w:w="60" w:type="dxa"/>
              <w:start w:w="70" w:type="dxa"/>
              <w:bottom w:w="60" w:type="dxa"/>
              <w:end w:w="70" w:type="dxa"/>
            </w:tcMar>
          </w:tcPr>
          <w:p>
            <w:pPr>
              <w:pStyle w:val="TableText"/>
            </w:pPr>
            <w:r>
              <w:rPr>
                <w:sz w:val="14"/>
              </w:rPr>
              <w:t>Produce all existing audited/unaudited statements, audit/management letters, adjusting entries and identified supporting schedules; state whether later audits exist.</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16 — Management/board finance</w:t>
            </w:r>
          </w:p>
        </w:tc>
        <w:tc>
          <w:tcPr>
            <w:tcW w:type="dxa" w:w="4680"/>
            <w:vAlign w:val="top"/>
            <w:tcMar>
              <w:top w:w="60" w:type="dxa"/>
              <w:start w:w="70" w:type="dxa"/>
              <w:bottom w:w="60" w:type="dxa"/>
              <w:end w:w="70" w:type="dxa"/>
            </w:tcMar>
            <w:shd w:fill="F4F7FA"/>
          </w:tcPr>
          <w:p>
            <w:pPr>
              <w:pStyle w:val="TableText"/>
            </w:pPr>
            <w:r>
              <w:rPr>
                <w:sz w:val="14"/>
              </w:rPr>
              <w:t>No board-level presentations or comprehensive management packages identified; response refuses production. Selected account-level financial items appear elsewhere, but not full board packages, budget/variance or profitability analyses. Counterclaim relies on these reports.</w:t>
            </w:r>
          </w:p>
        </w:tc>
        <w:tc>
          <w:tcPr>
            <w:tcW w:type="dxa" w:w="3931"/>
            <w:vAlign w:val="top"/>
            <w:tcMar>
              <w:top w:w="60" w:type="dxa"/>
              <w:start w:w="70" w:type="dxa"/>
              <w:bottom w:w="60" w:type="dxa"/>
              <w:end w:w="70" w:type="dxa"/>
            </w:tcMar>
            <w:shd w:fill="F4F7FA"/>
          </w:tcPr>
          <w:p>
            <w:pPr>
              <w:pStyle w:val="TableText"/>
            </w:pPr>
            <w:r>
              <w:rPr>
                <w:sz w:val="14"/>
              </w:rPr>
              <w:t>Produce targeted PC account revenue, cost, margin and profitability analyses plus relevant management/board materials; narrow enterprise-wide scope or use redactions/designations rather than blanket refusal.</w:t>
            </w:r>
          </w:p>
        </w:tc>
      </w:tr>
      <w:tr>
        <w:trPr>
          <w:cantSplit/>
        </w:trPr>
        <w:tc>
          <w:tcPr>
            <w:tcW w:type="dxa" w:w="1612"/>
            <w:vAlign w:val="top"/>
            <w:tcMar>
              <w:top w:w="60" w:type="dxa"/>
              <w:start w:w="70" w:type="dxa"/>
              <w:bottom w:w="60" w:type="dxa"/>
              <w:end w:w="70" w:type="dxa"/>
            </w:tcMar>
          </w:tcPr>
          <w:p>
            <w:pPr>
              <w:pStyle w:val="TableText"/>
            </w:pPr>
            <w:r>
              <w:rPr>
                <w:b/>
                <w:color w:val="1F4E79"/>
                <w:sz w:val="14"/>
              </w:rPr>
              <w:t>17 — Capitalized maintenance</w:t>
            </w:r>
          </w:p>
        </w:tc>
        <w:tc>
          <w:tcPr>
            <w:tcW w:type="dxa" w:w="4680"/>
            <w:vAlign w:val="top"/>
            <w:tcMar>
              <w:top w:w="60" w:type="dxa"/>
              <w:start w:w="70" w:type="dxa"/>
              <w:bottom w:w="60" w:type="dxa"/>
              <w:end w:w="70" w:type="dxa"/>
            </w:tcMar>
          </w:tcPr>
          <w:p>
            <w:pPr>
              <w:pStyle w:val="TableText"/>
            </w:pPr>
            <w:r>
              <w:rPr>
                <w:sz w:val="14"/>
              </w:rPr>
              <w:t>Only two-page annual summary at MLC-002004–002005; no GL/journal activity, invoices, approvals or supporting records.</w:t>
            </w:r>
          </w:p>
        </w:tc>
        <w:tc>
          <w:tcPr>
            <w:tcW w:type="dxa" w:w="3931"/>
            <w:vAlign w:val="top"/>
            <w:tcMar>
              <w:top w:w="60" w:type="dxa"/>
              <w:start w:w="70" w:type="dxa"/>
              <w:bottom w:w="60" w:type="dxa"/>
              <w:end w:w="70" w:type="dxa"/>
            </w:tcMar>
          </w:tcPr>
          <w:p>
            <w:pPr>
              <w:pStyle w:val="TableText"/>
            </w:pPr>
            <w:r>
              <w:rPr>
                <w:sz w:val="14"/>
              </w:rPr>
              <w:t>Produce underlying account-level GL/journal entries and source support for FY2019–2023, especially FY2020 $5.1M alleged capitalization; provide an export if system extraction is feasible.</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18 — Lease obligations</w:t>
            </w:r>
          </w:p>
        </w:tc>
        <w:tc>
          <w:tcPr>
            <w:tcW w:type="dxa" w:w="4680"/>
            <w:vAlign w:val="top"/>
            <w:tcMar>
              <w:top w:w="60" w:type="dxa"/>
              <w:start w:w="70" w:type="dxa"/>
              <w:bottom w:w="60" w:type="dxa"/>
              <w:end w:w="70" w:type="dxa"/>
            </w:tcMar>
            <w:shd w:fill="F4F7FA"/>
          </w:tcPr>
          <w:p>
            <w:pPr>
              <w:pStyle w:val="TableText"/>
            </w:pPr>
            <w:r>
              <w:rPr>
                <w:sz w:val="14"/>
              </w:rPr>
              <w:t>No lease-accounting materials identified; response addresses board presentations. Fleet equipment leases at MLC-000696–000722 do not satisfy broader ASC 842/lease-liability request.</w:t>
            </w:r>
          </w:p>
        </w:tc>
        <w:tc>
          <w:tcPr>
            <w:tcW w:type="dxa" w:w="3931"/>
            <w:vAlign w:val="top"/>
            <w:tcMar>
              <w:top w:w="60" w:type="dxa"/>
              <w:start w:w="70" w:type="dxa"/>
              <w:bottom w:w="60" w:type="dxa"/>
              <w:end w:w="70" w:type="dxa"/>
            </w:tcMar>
            <w:shd w:fill="F4F7FA"/>
          </w:tcPr>
          <w:p>
            <w:pPr>
              <w:pStyle w:val="TableText"/>
            </w:pPr>
            <w:r>
              <w:rPr>
                <w:sz w:val="14"/>
              </w:rPr>
              <w:t>Correct response and produce all lease agreements/schedules, amortization, ASC 840/842 transition, ROU asset and liability analyses and relevant financial-statement support.</w:t>
            </w:r>
          </w:p>
        </w:tc>
      </w:tr>
      <w:tr>
        <w:trPr>
          <w:cantSplit/>
        </w:trPr>
        <w:tc>
          <w:tcPr>
            <w:tcW w:type="dxa" w:w="1612"/>
            <w:vAlign w:val="top"/>
            <w:tcMar>
              <w:top w:w="60" w:type="dxa"/>
              <w:start w:w="70" w:type="dxa"/>
              <w:bottom w:w="60" w:type="dxa"/>
              <w:end w:w="70" w:type="dxa"/>
            </w:tcMar>
          </w:tcPr>
          <w:p>
            <w:pPr>
              <w:pStyle w:val="TableText"/>
            </w:pPr>
            <w:r>
              <w:rPr>
                <w:b/>
                <w:color w:val="1F4E79"/>
                <w:sz w:val="14"/>
              </w:rPr>
              <w:t>19 — Dispatch logs</w:t>
            </w:r>
          </w:p>
        </w:tc>
        <w:tc>
          <w:tcPr>
            <w:tcW w:type="dxa" w:w="4680"/>
            <w:vAlign w:val="top"/>
            <w:tcMar>
              <w:top w:w="60" w:type="dxa"/>
              <w:start w:w="70" w:type="dxa"/>
              <w:bottom w:w="60" w:type="dxa"/>
              <w:end w:w="70" w:type="dxa"/>
            </w:tcMar>
          </w:tcPr>
          <w:p>
            <w:pPr>
              <w:pStyle w:val="TableText"/>
            </w:pPr>
            <w:r>
              <w:rPr>
                <w:sz w:val="14"/>
              </w:rPr>
              <w:t>Daily logs cover Mar.–Sept. 2021 and May 2022–Aug. 2023; Oct. 2021–Apr. 2022 absent (MLC-002876–003412). Meridian identifies RouteCast Pro → FleetBridge transition and possible nonmigration.</w:t>
            </w:r>
          </w:p>
        </w:tc>
        <w:tc>
          <w:tcPr>
            <w:tcW w:type="dxa" w:w="3931"/>
            <w:vAlign w:val="top"/>
            <w:tcMar>
              <w:top w:w="60" w:type="dxa"/>
              <w:start w:w="70" w:type="dxa"/>
              <w:bottom w:w="60" w:type="dxa"/>
              <w:end w:w="70" w:type="dxa"/>
            </w:tcMar>
          </w:tcPr>
          <w:p>
            <w:pPr>
              <w:pStyle w:val="TableText"/>
            </w:pPr>
            <w:r>
              <w:rPr>
                <w:sz w:val="14"/>
              </w:rPr>
              <w:t>Produce/recover data or provide verified technical declaration detailing exact dates, migration, backups, archives, retention/deletion, hold scope and search/recovery steps.</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20 — Failures</w:t>
            </w:r>
          </w:p>
        </w:tc>
        <w:tc>
          <w:tcPr>
            <w:tcW w:type="dxa" w:w="4680"/>
            <w:vAlign w:val="top"/>
            <w:tcMar>
              <w:top w:w="60" w:type="dxa"/>
              <w:start w:w="70" w:type="dxa"/>
              <w:bottom w:w="60" w:type="dxa"/>
              <w:end w:w="70" w:type="dxa"/>
            </w:tcMar>
            <w:shd w:fill="F4F7FA"/>
          </w:tcPr>
          <w:p>
            <w:pPr>
              <w:pStyle w:val="TableText"/>
            </w:pPr>
            <w:r>
              <w:rPr>
                <w:sz w:val="14"/>
              </w:rPr>
              <w:t>Operations reports, dispatch logs and on-time reports exist, but index alone does not show all failures, penalties, root-cause analyses, corrective actions, late pickups, damage or internal discussions.</w:t>
            </w:r>
          </w:p>
        </w:tc>
        <w:tc>
          <w:tcPr>
            <w:tcW w:type="dxa" w:w="3931"/>
            <w:vAlign w:val="top"/>
            <w:tcMar>
              <w:top w:w="60" w:type="dxa"/>
              <w:start w:w="70" w:type="dxa"/>
              <w:bottom w:w="60" w:type="dxa"/>
              <w:end w:w="70" w:type="dxa"/>
            </w:tcMar>
            <w:shd w:fill="F4F7FA"/>
          </w:tcPr>
          <w:p>
            <w:pPr>
              <w:pStyle w:val="TableText"/>
            </w:pPr>
            <w:r>
              <w:rPr>
                <w:sz w:val="14"/>
              </w:rPr>
              <w:t>Confirm complete search across exception/claims/customer systems and produce incident-level records, root-cause/corrective materials and penalty records.</w:t>
            </w:r>
          </w:p>
        </w:tc>
      </w:tr>
      <w:tr>
        <w:trPr>
          <w:cantSplit/>
        </w:trPr>
        <w:tc>
          <w:tcPr>
            <w:tcW w:type="dxa" w:w="1612"/>
            <w:vAlign w:val="top"/>
            <w:tcMar>
              <w:top w:w="60" w:type="dxa"/>
              <w:start w:w="70" w:type="dxa"/>
              <w:bottom w:w="60" w:type="dxa"/>
              <w:end w:w="70" w:type="dxa"/>
            </w:tcMar>
          </w:tcPr>
          <w:p>
            <w:pPr>
              <w:pStyle w:val="TableText"/>
            </w:pPr>
            <w:r>
              <w:rPr>
                <w:b/>
                <w:color w:val="1F4E79"/>
                <w:sz w:val="14"/>
              </w:rPr>
              <w:t>21 — Complaints</w:t>
            </w:r>
          </w:p>
        </w:tc>
        <w:tc>
          <w:tcPr>
            <w:tcW w:type="dxa" w:w="4680"/>
            <w:vAlign w:val="top"/>
            <w:tcMar>
              <w:top w:w="60" w:type="dxa"/>
              <w:start w:w="70" w:type="dxa"/>
              <w:bottom w:w="60" w:type="dxa"/>
              <w:end w:w="70" w:type="dxa"/>
            </w:tcMar>
          </w:tcPr>
          <w:p>
            <w:pPr>
              <w:pStyle w:val="TableText"/>
            </w:pPr>
            <w:r>
              <w:rPr>
                <w:sz w:val="14"/>
              </w:rPr>
              <w:t>Response limits production to written complaints received directly from PC and excludes end-user complaints not directly held. Index has complaint/cure materials coded elsewhere but no clear RFP 21 set.</w:t>
            </w:r>
          </w:p>
        </w:tc>
        <w:tc>
          <w:tcPr>
            <w:tcW w:type="dxa" w:w="3931"/>
            <w:vAlign w:val="top"/>
            <w:tcMar>
              <w:top w:w="60" w:type="dxa"/>
              <w:start w:w="70" w:type="dxa"/>
              <w:bottom w:w="60" w:type="dxa"/>
              <w:end w:w="70" w:type="dxa"/>
            </w:tcMar>
          </w:tcPr>
          <w:p>
            <w:pPr>
              <w:pStyle w:val="TableText"/>
            </w:pPr>
            <w:r>
              <w:rPr>
                <w:sz w:val="14"/>
              </w:rPr>
              <w:t>Search complaints passed through PC, end-user/customer records, call logs and internal forwards; correct index and identify any genuinely unavailable categories.</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22 — KPI/performance</w:t>
            </w:r>
          </w:p>
        </w:tc>
        <w:tc>
          <w:tcPr>
            <w:tcW w:type="dxa" w:w="4680"/>
            <w:vAlign w:val="top"/>
            <w:tcMar>
              <w:top w:w="60" w:type="dxa"/>
              <w:start w:w="70" w:type="dxa"/>
              <w:bottom w:w="60" w:type="dxa"/>
              <w:end w:w="70" w:type="dxa"/>
            </w:tcMar>
            <w:shd w:fill="F4F7FA"/>
          </w:tcPr>
          <w:p>
            <w:pPr>
              <w:pStyle w:val="TableText"/>
            </w:pPr>
            <w:r>
              <w:rPr>
                <w:sz w:val="14"/>
              </w:rPr>
              <w:t>Ten KPI dashboard snapshots appear at MLC-003491–003580, plus monthly ops reports, but the index codes dashboards RFP 21. Reports do not appear to be a complete monthly set.</w:t>
            </w:r>
          </w:p>
        </w:tc>
        <w:tc>
          <w:tcPr>
            <w:tcW w:type="dxa" w:w="3931"/>
            <w:vAlign w:val="top"/>
            <w:tcMar>
              <w:top w:w="60" w:type="dxa"/>
              <w:start w:w="70" w:type="dxa"/>
              <w:bottom w:w="60" w:type="dxa"/>
              <w:end w:w="70" w:type="dxa"/>
            </w:tcMar>
            <w:shd w:fill="F4F7FA"/>
          </w:tcPr>
          <w:p>
            <w:pPr>
              <w:pStyle w:val="TableText"/>
            </w:pPr>
            <w:r>
              <w:rPr>
                <w:sz w:val="14"/>
              </w:rPr>
              <w:t>Produce all account scorecards, service-level reports, account reviews and KPI data for Mar. 2021–present; correct request coding and explain sampling/gaps.</w:t>
            </w:r>
          </w:p>
        </w:tc>
      </w:tr>
      <w:tr>
        <w:trPr>
          <w:cantSplit/>
        </w:trPr>
        <w:tc>
          <w:tcPr>
            <w:tcW w:type="dxa" w:w="1612"/>
            <w:vAlign w:val="top"/>
            <w:tcMar>
              <w:top w:w="60" w:type="dxa"/>
              <w:start w:w="70" w:type="dxa"/>
              <w:bottom w:w="60" w:type="dxa"/>
              <w:end w:w="70" w:type="dxa"/>
            </w:tcMar>
          </w:tcPr>
          <w:p>
            <w:pPr>
              <w:pStyle w:val="TableText"/>
            </w:pPr>
            <w:r>
              <w:rPr>
                <w:b/>
                <w:color w:val="1F4E79"/>
                <w:sz w:val="14"/>
              </w:rPr>
              <w:t>23 — External communications</w:t>
            </w:r>
          </w:p>
        </w:tc>
        <w:tc>
          <w:tcPr>
            <w:tcW w:type="dxa" w:w="4680"/>
            <w:vAlign w:val="top"/>
            <w:tcMar>
              <w:top w:w="60" w:type="dxa"/>
              <w:start w:w="70" w:type="dxa"/>
              <w:bottom w:w="60" w:type="dxa"/>
              <w:end w:w="70" w:type="dxa"/>
            </w:tcMar>
          </w:tcPr>
          <w:p>
            <w:pPr>
              <w:pStyle w:val="TableText"/>
            </w:pPr>
            <w:r>
              <w:rPr>
                <w:sz w:val="14"/>
              </w:rPr>
              <w:t>About 36 indexed email entries are chiefly Brisk/Sato. MLC-003821–003979 and MLC-004103–004127 describe many Alderton–PC communications, but coded RFP 26. No text/IM production identified.</w:t>
            </w:r>
          </w:p>
        </w:tc>
        <w:tc>
          <w:tcPr>
            <w:tcW w:type="dxa" w:w="3931"/>
            <w:vAlign w:val="top"/>
            <w:tcMar>
              <w:top w:w="60" w:type="dxa"/>
              <w:start w:w="70" w:type="dxa"/>
              <w:bottom w:w="60" w:type="dxa"/>
              <w:end w:w="70" w:type="dxa"/>
            </w:tcMar>
          </w:tcPr>
          <w:p>
            <w:pPr>
              <w:pStyle w:val="TableText"/>
            </w:pPr>
            <w:r>
              <w:rPr>
                <w:sz w:val="14"/>
              </w:rPr>
              <w:t>Do not re-produce duplicates; map all responsive items to RFP 23, search six custodians and relevant platforms, provide terms/date ranges/counts, and produce missing email/text/IM.</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24 — Internal communications</w:t>
            </w:r>
          </w:p>
        </w:tc>
        <w:tc>
          <w:tcPr>
            <w:tcW w:type="dxa" w:w="4680"/>
            <w:vAlign w:val="top"/>
            <w:tcMar>
              <w:top w:w="60" w:type="dxa"/>
              <w:start w:w="70" w:type="dxa"/>
              <w:bottom w:w="60" w:type="dxa"/>
              <w:end w:w="70" w:type="dxa"/>
            </w:tcMar>
            <w:shd w:fill="F4F7FA"/>
          </w:tcPr>
          <w:p>
            <w:pPr>
              <w:pStyle w:val="TableText"/>
            </w:pPr>
            <w:r>
              <w:rPr>
                <w:sz w:val="14"/>
              </w:rPr>
              <w:t>Index shows limited Brisk/Sato communications and some complaint materials; no complete source/custodian picture. Log has communications withheld against RFP 24/26.</w:t>
            </w:r>
          </w:p>
        </w:tc>
        <w:tc>
          <w:tcPr>
            <w:tcW w:type="dxa" w:w="3931"/>
            <w:vAlign w:val="top"/>
            <w:tcMar>
              <w:top w:w="60" w:type="dxa"/>
              <w:start w:w="70" w:type="dxa"/>
              <w:bottom w:w="60" w:type="dxa"/>
              <w:end w:w="70" w:type="dxa"/>
            </w:tcMar>
            <w:shd w:fill="F4F7FA"/>
          </w:tcPr>
          <w:p>
            <w:pPr>
              <w:pStyle w:val="TableText"/>
            </w:pPr>
            <w:r>
              <w:rPr>
                <w:sz w:val="14"/>
              </w:rPr>
              <w:t>Search internal communications of relevant business, finance and operations personnel, including Hale/Cho/Alderton; provide supplemental privilege log and responsive index mapping.</w:t>
            </w:r>
          </w:p>
        </w:tc>
      </w:tr>
      <w:tr>
        <w:trPr>
          <w:cantSplit/>
        </w:trPr>
        <w:tc>
          <w:tcPr>
            <w:tcW w:type="dxa" w:w="1612"/>
            <w:vAlign w:val="top"/>
            <w:tcMar>
              <w:top w:w="60" w:type="dxa"/>
              <w:start w:w="70" w:type="dxa"/>
              <w:bottom w:w="60" w:type="dxa"/>
              <w:end w:w="70" w:type="dxa"/>
            </w:tcMar>
          </w:tcPr>
          <w:p>
            <w:pPr>
              <w:pStyle w:val="TableText"/>
            </w:pPr>
            <w:r>
              <w:rPr>
                <w:b/>
                <w:color w:val="1F4E79"/>
                <w:sz w:val="14"/>
              </w:rPr>
              <w:t>25 — Insurer communications</w:t>
            </w:r>
          </w:p>
        </w:tc>
        <w:tc>
          <w:tcPr>
            <w:tcW w:type="dxa" w:w="4680"/>
            <w:vAlign w:val="top"/>
            <w:tcMar>
              <w:top w:w="60" w:type="dxa"/>
              <w:start w:w="70" w:type="dxa"/>
              <w:bottom w:w="60" w:type="dxa"/>
              <w:end w:w="70" w:type="dxa"/>
            </w:tcMar>
          </w:tcPr>
          <w:p>
            <w:pPr>
              <w:pStyle w:val="TableText"/>
            </w:pPr>
            <w:r>
              <w:rPr>
                <w:sz w:val="14"/>
              </w:rPr>
              <w:t>Response promises nonprivileged production; limited 2022 items appear, while log entries 33–40 describe core 2020–21 insurer exchanges under RFP 14.</w:t>
            </w:r>
          </w:p>
        </w:tc>
        <w:tc>
          <w:tcPr>
            <w:tcW w:type="dxa" w:w="3931"/>
            <w:vAlign w:val="top"/>
            <w:tcMar>
              <w:top w:w="60" w:type="dxa"/>
              <w:start w:w="70" w:type="dxa"/>
              <w:bottom w:w="60" w:type="dxa"/>
              <w:end w:w="70" w:type="dxa"/>
            </w:tcMar>
          </w:tcPr>
          <w:p>
            <w:pPr>
              <w:pStyle w:val="TableText"/>
            </w:pPr>
            <w:r>
              <w:rPr>
                <w:sz w:val="14"/>
              </w:rPr>
              <w:t>Produce or justify withholding of all insurer/broker communications and map entries to actual RFP 25 as well as any overlapping request.</w:t>
            </w:r>
          </w:p>
        </w:tc>
      </w:tr>
      <w:tr>
        <w:trPr>
          <w:cantSplit/>
        </w:trPr>
        <w:tc>
          <w:tcPr>
            <w:tcW w:type="dxa" w:w="1612"/>
            <w:vAlign w:val="top"/>
            <w:tcMar>
              <w:top w:w="60" w:type="dxa"/>
              <w:start w:w="70" w:type="dxa"/>
              <w:bottom w:w="60" w:type="dxa"/>
              <w:end w:w="70" w:type="dxa"/>
            </w:tcMar>
            <w:shd w:fill="F4F7FA"/>
          </w:tcPr>
          <w:p>
            <w:pPr>
              <w:pStyle w:val="TableText"/>
            </w:pPr>
            <w:r>
              <w:rPr>
                <w:b/>
                <w:color w:val="1F4E79"/>
                <w:sz w:val="14"/>
              </w:rPr>
              <w:t>26 — Termination</w:t>
            </w:r>
          </w:p>
        </w:tc>
        <w:tc>
          <w:tcPr>
            <w:tcW w:type="dxa" w:w="4680"/>
            <w:vAlign w:val="top"/>
            <w:tcMar>
              <w:top w:w="60" w:type="dxa"/>
              <w:start w:w="70" w:type="dxa"/>
              <w:bottom w:w="60" w:type="dxa"/>
              <w:end w:w="70" w:type="dxa"/>
            </w:tcMar>
            <w:shd w:fill="F4F7FA"/>
          </w:tcPr>
          <w:p>
            <w:pPr>
              <w:pStyle w:val="TableText"/>
            </w:pPr>
            <w:r>
              <w:rPr>
                <w:sz w:val="14"/>
              </w:rPr>
              <w:t>Index describes a July 1, 2023 termination notice (effective Aug. 31) and July 15 response (MLC-002821–002840), while Complaint and Answer identify Aug. 22 notice and Sept. 5 dispute letter. Several of 11 breach notices also not clearly accounted for.</w:t>
            </w:r>
          </w:p>
        </w:tc>
        <w:tc>
          <w:tcPr>
            <w:tcW w:type="dxa" w:w="3931"/>
            <w:vAlign w:val="top"/>
            <w:tcMar>
              <w:top w:w="60" w:type="dxa"/>
              <w:start w:w="70" w:type="dxa"/>
              <w:bottom w:w="60" w:type="dxa"/>
              <w:end w:w="70" w:type="dxa"/>
            </w:tcMar>
            <w:shd w:fill="F4F7FA"/>
          </w:tcPr>
          <w:p>
            <w:pPr>
              <w:pStyle w:val="TableText"/>
            </w:pPr>
            <w:r>
              <w:rPr>
                <w:sz w:val="14"/>
              </w:rPr>
              <w:t>Produce complete notices/attachments and responses; reconcile chronology, identify all 11 breach notices and cure periods, and search internal decision/termination files.</w:t>
            </w:r>
          </w:p>
        </w:tc>
      </w:tr>
      <w:tr>
        <w:trPr>
          <w:cantSplit/>
        </w:trPr>
        <w:tc>
          <w:tcPr>
            <w:tcW w:type="dxa" w:w="1612"/>
            <w:vAlign w:val="top"/>
            <w:tcMar>
              <w:top w:w="60" w:type="dxa"/>
              <w:start w:w="70" w:type="dxa"/>
              <w:bottom w:w="60" w:type="dxa"/>
              <w:end w:w="70" w:type="dxa"/>
            </w:tcMar>
          </w:tcPr>
          <w:p>
            <w:pPr>
              <w:pStyle w:val="TableText"/>
            </w:pPr>
            <w:r>
              <w:rPr>
                <w:b/>
                <w:color w:val="1F4E79"/>
                <w:sz w:val="14"/>
              </w:rPr>
              <w:t>27 — Counterclaim damages</w:t>
            </w:r>
          </w:p>
        </w:tc>
        <w:tc>
          <w:tcPr>
            <w:tcW w:type="dxa" w:w="4680"/>
            <w:vAlign w:val="top"/>
            <w:tcMar>
              <w:top w:w="60" w:type="dxa"/>
              <w:start w:w="70" w:type="dxa"/>
              <w:bottom w:w="60" w:type="dxa"/>
              <w:end w:w="70" w:type="dxa"/>
            </w:tcMar>
          </w:tcPr>
          <w:p>
            <w:pPr>
              <w:pStyle w:val="TableText"/>
            </w:pPr>
            <w:r>
              <w:rPr>
                <w:sz w:val="14"/>
              </w:rPr>
              <w:t>Only five entries expressly described as PC volume/damages support are identified in MLC-004056–004102; damages items MLC-003681–003820 are coded RFP 25. Eight index entries MLC-003980–004055 relate to Greystone, not PC.</w:t>
            </w:r>
          </w:p>
        </w:tc>
        <w:tc>
          <w:tcPr>
            <w:tcW w:type="dxa" w:w="3931"/>
            <w:vAlign w:val="top"/>
            <w:tcMar>
              <w:top w:w="60" w:type="dxa"/>
              <w:start w:w="70" w:type="dxa"/>
              <w:bottom w:w="60" w:type="dxa"/>
              <w:end w:w="70" w:type="dxa"/>
            </w:tcMar>
          </w:tcPr>
          <w:p>
            <w:pPr>
              <w:pStyle w:val="TableText"/>
            </w:pPr>
            <w:r>
              <w:rPr>
                <w:sz w:val="14"/>
              </w:rPr>
              <w:t>Produce source data and complete calculations for each damage component, assumptions, monthly actual/committed volumes, mitigation/offsets, and advisor materials; correct coding and explain Greystone misproduction.</w:t>
            </w:r>
          </w:p>
        </w:tc>
      </w:tr>
    </w:tbl>
    <w:p>
      <w:pPr>
        <w:spacing w:after="20"/>
      </w:pPr>
    </w:p>
    <w:p>
      <w:pPr>
        <w:pStyle w:val="Heading1"/>
      </w:pPr>
      <w:r>
        <w:t>V. Privilege-log analysis</w:t>
      </w:r>
    </w:p>
    <w:p>
      <w:r>
        <w:t>The log was served with the production on August 12 and includes the Scheduling Order’s basic columns: unique placeholder, date, author, recipients/CC, type, subject description, privilege asserted and RFP. The concerns are the facial basis of certain claims and whether descriptions are sufficiently document-specific under the Court’s express order.</w:t>
      </w:r>
    </w:p>
    <w:p>
      <w:pPr>
        <w:pStyle w:val="Heading2"/>
      </w:pPr>
      <w:r>
        <w:t>A. Strongest log challenges</w:t>
      </w:r>
    </w:p>
    <w:p>
      <w:pPr>
        <w:pStyle w:val="ListBullet"/>
        <w:spacing w:after="40" w:line="250" w:lineRule="auto"/>
      </w:pPr>
      <w:r>
        <w:t>**Entries 12–18 (PRIV-000012–PRIV-000018):** described as internal pre-contract business emails between Nolan Brisk and Rebecca Cho concerning fleet assumptions, owned-versus-total capacity, fleet roster, subcontractor estimates, draft EBITDA and capitalization, and an insurance coverage summary. The listed senders/recipients are business personnel, not counsel; the descriptions sound operational/financial rather than requests for or delivery of legal advice. On this record, attorney-client privilege is not adequately supported. These documents are highly material to intent, knowledge and the fraud/negligent-misrepresentation defenses. Seek production, or an itemized explanation of counsel’s role and the specific confidential legal advice at issue; request in-camera review if unresolved.</w:t>
      </w:r>
    </w:p>
    <w:p>
      <w:pPr>
        <w:pStyle w:val="ListBullet"/>
        <w:spacing w:after="40" w:line="250" w:lineRule="auto"/>
      </w:pPr>
      <w:r>
        <w:t>**Entries 33–40 (PRIV-000033–PRIV-000040):** described as ordinary insurance placement/renewal communications between Rebecca Cho and Pinnacle representative James Whitfield, with no lawyer listed. They include the $2M option and December 1, 2020 reduction endorsement, followed by a January 11 request for a certificate showing $5M and January 12 transmittal. Work product requires preparation because of anticipated litigation, not routine coverage procurement; no such basis is apparent from the descriptions or dates. Ask for production and the contemporaneous facts supporting anticipation of litigation or any recognized common-interest theory. These entries are central to the insurance representation issue.</w:t>
      </w:r>
    </w:p>
    <w:p>
      <w:pPr>
        <w:pStyle w:val="ListBullet"/>
        <w:spacing w:after="40" w:line="250" w:lineRule="auto"/>
      </w:pPr>
      <w:r>
        <w:t>**Entry 31 (PRIV-000031):** described as General Counsel’s January 10, 2021 advice to the CEO and Brisk about fleet-capacity representations and exposure if the actual count were disclosed. This may be a genuine confidential legal-advice communication, but the description raises a focused crime-fraud issue. Do not assume the exception applies solely from the log. Request a non-privileged factual basis and, if necessary, in-camera review under the governing prima-facie standard as to whether advice was sought or used to further prospective fraud, rather than merely to assess exposure.</w:t>
      </w:r>
    </w:p>
    <w:p>
      <w:pPr>
        <w:pStyle w:val="Heading2"/>
      </w:pPr>
      <w:r>
        <w:t>B. Log-detail and scope requests</w:t>
      </w:r>
    </w:p>
    <w:p>
      <w:pPr>
        <w:pStyle w:val="ListBullet"/>
        <w:spacing w:after="40" w:line="250" w:lineRule="auto"/>
      </w:pPr>
      <w:r>
        <w:t>Several descriptions for entries 1–11, 19–30 and 41–43 use generic formulations (“legal advice regarding…,” “litigation strategy,” “document review”) that may not meet the Scheduling Order’s demand for detailed, document-specific descriptions. Request supplemental descriptions identifying the business/legal issue, context and purpose with enough detail to assess each claim without disclosing substance.</w:t>
      </w:r>
    </w:p>
    <w:p>
      <w:pPr>
        <w:pStyle w:val="ListBullet"/>
        <w:spacing w:after="40" w:line="250" w:lineRule="auto"/>
      </w:pPr>
      <w:r>
        <w:t>For entries with attachments or compilations (e.g., 5, 6, 9, 13, 16, 17, 21, 25, 28, 38, 40, 42), require attachment-level identification and privilege analysis, including whether nonprivileged underlying business records are being withheld as a compilation. Do not demand disclosure of protected attorney mental impressions; request production of separable source documents and nonprivileged portions.</w:t>
      </w:r>
    </w:p>
    <w:p>
      <w:pPr>
        <w:pStyle w:val="ListBullet"/>
        <w:spacing w:after="40" w:line="250" w:lineRule="auto"/>
      </w:pPr>
      <w:r>
        <w:t>The log’s work-product labels do not distinguish ordinary from opinion work product, although the RFP instruction requests that distinction; the Scheduling Order requires the specific privilege(s), and conclusory labels are expressly insufficient. Ask Meridian to identify the protection and basis document by document, and state whether any responsive portions were redacted rather than withheld in full.</w:t>
      </w:r>
    </w:p>
    <w:p>
      <w:pPr>
        <w:pStyle w:val="Heading2"/>
      </w:pPr>
      <w:r>
        <w:t>C. Likely legitimate claims</w:t>
      </w:r>
    </w:p>
    <w:p>
      <w:r>
        <w:t>Entries describing counsel’s litigation advice, draft pleadings, legal analyses of breach/cure/termination and outside-counsel strategy (including many entries 1–11 and 19–30, 32, 41–43) may support privilege or work product if confidentiality, legal purpose and litigation nexus are established. The appropriate request is a more informative log and segregability—not blanket disclosure. Ordinary business material does not become protected merely because counsel later collected, reviewed or transmitted it.</w:t>
      </w:r>
    </w:p>
    <w:p>
      <w:pPr>
        <w:pStyle w:val="Heading1"/>
      </w:pPr>
      <w:r>
        <w:t>VI. Recommended meet-and-confer and motion posture</w:t>
      </w:r>
    </w:p>
    <w:p>
      <w:pPr>
        <w:pStyle w:val="Heading2"/>
      </w:pPr>
      <w:r>
        <w:t>A. Seek a prompt direct conference</w:t>
      </w:r>
    </w:p>
    <w:p>
      <w:r>
        <w:t>The email chain reflects meaningful identification of disputed topics, but the Scheduling Order expressly says email alone is insufficient. Request an authorized telephone conference immediately—ideally by September 17—to address the discrete priority issues. Exchange an agenda and document-level exhibits beforehand; memorialize agreements and unresolved issues in writing afterward. The latest offer to meet during the week of September 23 does not fit the October 1 special deadline if that date is needed for a motion.</w:t>
      </w:r>
    </w:p>
    <w:p>
      <w:pPr>
        <w:pStyle w:val="Heading2"/>
      </w:pPr>
      <w:r>
        <w:t>B. Proposed staged cure (highest value first)</w:t>
      </w:r>
    </w:p>
    <w:p>
      <w:pPr>
        <w:pStyle w:val="ListNumber"/>
        <w:spacing w:after="40"/>
      </w:pPr>
      <w:r>
        <w:t>Within 24–48 hours, Meridian should confirm a custodian/ESI declaration for dispatch data: systems, transition dates, migration, backup locations, retention/deletion, litigation-hold scope/date, and specific recovery steps. Seek logs or export in native format; reserve Rule 37(e) issues without alleging loss or prejudice before facts are established.</w:t>
      </w:r>
    </w:p>
    <w:p>
      <w:pPr>
        <w:pStyle w:val="ListNumber"/>
        <w:spacing w:after="40"/>
      </w:pPr>
      <w:r>
        <w:t>Require immediate production or a verified no-records response on RFP 8, with a focused list of potential custodians, affiliates, carrier systems, payment and dispatch sources. Meridian’s Sept. 15 statement that responsive documents are under review makes a blanket “none” response untenable without further facts.</w:t>
      </w:r>
    </w:p>
    <w:p>
      <w:pPr>
        <w:pStyle w:val="ListNumber"/>
        <w:spacing w:after="40"/>
      </w:pPr>
      <w:r>
        <w:t>Demand a corrected, complete privilege log and immediate production of entries 12–18 and 33–40 absent a substantiated basis; seek targeted in-camera review for entry 31 and any separable attachments/source documents.</w:t>
      </w:r>
    </w:p>
    <w:p>
      <w:pPr>
        <w:pStyle w:val="ListNumber"/>
        <w:spacing w:after="40"/>
      </w:pPr>
      <w:r>
        <w:t>Seek focused supplemental financial and insurance production: FY2020 unaudited financial statements; FY2022–23 audit status; complete 2020–23 policies; all coverage-change endorsements and Pinnacle exchanges; detailed maintenance capitalization GL/support; and ASC 842/lease-liability materials.</w:t>
      </w:r>
    </w:p>
    <w:p>
      <w:pPr>
        <w:pStyle w:val="ListNumber"/>
        <w:spacing w:after="40"/>
      </w:pPr>
      <w:r>
        <w:t>Request full Board/committee searches and PC-account profitability materials, narrowly tailored to counterclaim allegations and alleged misrepresentations. Ask for the $3.2M counterclaim model in native format with source data, formulas, monthly-volume assumptions, avoided costs, mitigation and allocation between shortfall and termination theories.</w:t>
      </w:r>
    </w:p>
    <w:p>
      <w:pPr>
        <w:pStyle w:val="ListNumber"/>
        <w:spacing w:after="40"/>
      </w:pPr>
      <w:r>
        <w:t>Require a corrected production index, file count, RFP crosswalk, and explanation for Greystone documents. Confirm which identified Alderton/Cho correspondence was produced and map it to RFP 23; ask for actual search terms/date parameters and mobile/IM platform coverage.</w:t>
      </w:r>
    </w:p>
    <w:p>
      <w:pPr>
        <w:pStyle w:val="Heading2"/>
      </w:pPr>
      <w:r>
        <w:t>C. Motion and record preservation</w:t>
      </w:r>
    </w:p>
    <w:p>
      <w:r>
        <w:t>If material disputes remain, prepare a narrow motion to compel organized by actual RFP text and the Court’s Protocol/Order. Attach the requests, exact response language, index excerpts, log rows, and meet-and-confer letters; separate discovery sufficiency from privilege disputes. Do not frame every gap as spoliation or assert the crime-fraud exception as established. The October 1, 2024 deadline applies to this August 12 production; the Order caps motions concerning these materials on that date. The motion also requires a detailed meet-and-confer certification describing dates, manner (including the required call/in-person conference), issues and remaining impasse. If a direct conference cannot be completed by September 17 or the motion cannot be completed on time, seek any necessary relief from the Court before the deadline; email exchanges alone do not satisfy the Order.</w:t>
      </w:r>
    </w:p>
    <w:p>
      <w:pPr>
        <w:pStyle w:val="Heading1"/>
      </w:pPr>
      <w:r>
        <w:t>VII. Bottom line</w:t>
      </w:r>
    </w:p>
    <w:p>
      <w:r>
        <w:t>The production contains meaningful materials—including contract drafts, fleet records, operations reports, selected policies, claims files and counterclaim summaries—but the record presented leaves important claims and defenses materially underdeveloped. The strongest, most supportable near-term issues are (1) RFP 8’s acknowledged but unproduced carrier materials; (2) the RFP 19 seven-month dispatch gap and preservation/accounting explanation; (3) the log’s apparent overclaim over business and insurer communications directly bearing on the alleged fraud; (4) absent board, accounting and lease support despite Meridian’s pleaded reliance on financial analyses; and (5) the incomplete/contradictory production index, termination chronology and counterclaim-damages source records. A fast, focused direct conference and verified supplemental responses are necessary to preserve the October 1 motion deadline.</w:t>
      </w:r>
    </w:p>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CONFIDENTIAL DRAFT  •  </w:t>
    </w:r>
    <w:r>
      <w:rPr>
        <w:color w:val="5B6573"/>
        <w:sz w:val="16"/>
      </w:rPr>
      <w:t xml:space="preserve">Page </w:t>
    </w:r>
    <w:fldSimple w:instr="PAGE"/>
    <w:r>
      <w:rPr>
        <w:color w:val="5B6573"/>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B7C9D6"/>
      </w:pBdr>
    </w:pPr>
    <w:r>
      <w:rPr>
        <w:rFonts w:ascii="Aptos" w:hAnsi="Aptos"/>
        <w:b/>
        <w:color w:val="5B6573"/>
        <w:sz w:val="16"/>
      </w:rPr>
      <w:t>PACIFIC CORRIDOR v. MERIDIAN  |  DISCOVERY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40" w:lineRule="auto"/>
    </w:pPr>
    <w:rPr>
      <w:rFonts w:ascii="Aptos" w:hAnsi="Aptos"/>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Gap Analysis Memorandum</dc:title>
  <dc:subject>Document production, privilege log, and discovery response review</dc:subject>
  <dc:creator>Discovery Review</dc:creator>
  <cp:keywords>discovery, gap analysis, privilege log, Rule 34, meet and confer</cp:keywords>
  <dc:description>generated by python-docx</dc:description>
  <cp:lastModifiedBy/>
  <cp:revision>1</cp:revision>
  <dcterms:created xsi:type="dcterms:W3CDTF">2013-12-23T23:15:00Z</dcterms:created>
  <dcterms:modified xsi:type="dcterms:W3CDTF">2013-12-23T23:15:00Z</dcterms:modified>
  <cp:category/>
</cp:coreProperties>
</file>