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jc w:val="center"/>
      </w:pPr>
      <w:r>
        <w:rPr>
          <w:rFonts w:ascii="Times New Roman" w:hAnsi="Times New Roman" w:eastAsia="Times New Roman"/>
          <w:b/>
          <w:i w:val="0"/>
          <w:sz w:val="24"/>
        </w:rPr>
        <w:t>IN THE UNITED STATES DISTRICT COURT</w:t>
      </w:r>
    </w:p>
    <w:p>
      <w:pPr>
        <w:spacing w:after="0" w:line="240" w:lineRule="auto"/>
        <w:jc w:val="center"/>
      </w:pPr>
      <w:r>
        <w:rPr>
          <w:rFonts w:ascii="Times New Roman" w:hAnsi="Times New Roman" w:eastAsia="Times New Roman"/>
          <w:b/>
          <w:i w:val="0"/>
          <w:sz w:val="24"/>
        </w:rPr>
        <w:t>FOR THE NORTHERN DISTRICT OF GEORGIA</w:t>
      </w:r>
    </w:p>
    <w:p>
      <w:pPr>
        <w:spacing w:after="200" w:line="240" w:lineRule="auto"/>
        <w:jc w:val="center"/>
      </w:pPr>
      <w:r>
        <w:rPr>
          <w:rFonts w:ascii="Times New Roman" w:hAnsi="Times New Roman" w:eastAsia="Times New Roman"/>
          <w:b/>
          <w:i w:val="0"/>
          <w:sz w:val="24"/>
        </w:rPr>
        <w:t>ATLANTA DIVISION</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480"/>
        <w:gridCol w:w="2880"/>
      </w:tblGrid>
      <w:tr>
        <w:tc>
          <w:tcPr>
            <w:tcW w:type="dxa" w:w="6480"/>
            <w:vAlign w:val="center"/>
            <w:tcMar>
              <w:top w:w="0" w:type="dxa"/>
              <w:start w:w="40" w:type="dxa"/>
              <w:bottom w:w="0" w:type="dxa"/>
              <w:end w:w="40" w:type="dxa"/>
            </w:tcMar>
          </w:tcPr>
          <w:p>
            <w:pPr>
              <w:spacing w:line="240" w:lineRule="auto" w:after="0"/>
            </w:pPr>
            <w:r/>
            <w:r>
              <w:rPr>
                <w:rFonts w:ascii="Times New Roman" w:hAnsi="Times New Roman" w:eastAsia="Times New Roman"/>
                <w:b/>
                <w:i w:val="0"/>
                <w:sz w:val="24"/>
              </w:rPr>
              <w:t>MERIDIAN SUPPLY CHAIN SOLUTIONS, INC.,</w:t>
            </w:r>
          </w:p>
          <w:p>
            <w:pPr>
              <w:spacing w:line="240" w:lineRule="auto" w:after="0"/>
            </w:pPr>
            <w:r>
              <w:rPr>
                <w:rFonts w:ascii="Times New Roman" w:hAnsi="Times New Roman" w:eastAsia="Times New Roman"/>
                <w:b w:val="0"/>
                <w:i w:val="0"/>
                <w:sz w:val="24"/>
              </w:rPr>
              <w:t>Plaintiff,</w:t>
            </w:r>
          </w:p>
          <w:p>
            <w:pPr>
              <w:spacing w:line="240" w:lineRule="auto" w:after="0"/>
            </w:pPr>
            <w:r>
              <w:rPr>
                <w:rFonts w:ascii="Times New Roman" w:hAnsi="Times New Roman" w:eastAsia="Times New Roman"/>
                <w:b w:val="0"/>
                <w:i w:val="0"/>
                <w:sz w:val="24"/>
              </w:rPr>
            </w:r>
          </w:p>
          <w:p>
            <w:pPr>
              <w:spacing w:line="240" w:lineRule="auto" w:after="0"/>
            </w:pPr>
            <w:r>
              <w:rPr>
                <w:rFonts w:ascii="Times New Roman" w:hAnsi="Times New Roman" w:eastAsia="Times New Roman"/>
                <w:b w:val="0"/>
                <w:i w:val="0"/>
                <w:sz w:val="24"/>
              </w:rPr>
              <w:t>v.</w:t>
            </w:r>
          </w:p>
          <w:p>
            <w:pPr>
              <w:spacing w:line="240" w:lineRule="auto" w:after="0"/>
            </w:pPr>
            <w:r>
              <w:rPr>
                <w:rFonts w:ascii="Times New Roman" w:hAnsi="Times New Roman" w:eastAsia="Times New Roman"/>
                <w:b/>
                <w:i w:val="0"/>
                <w:sz w:val="24"/>
              </w:rPr>
              <w:t>CALDWELL INDUSTRIAL TECHNOLOGIES, LLC,</w:t>
            </w:r>
          </w:p>
          <w:p>
            <w:pPr>
              <w:spacing w:line="240" w:lineRule="auto" w:after="0"/>
            </w:pPr>
            <w:r>
              <w:rPr>
                <w:rFonts w:ascii="Times New Roman" w:hAnsi="Times New Roman" w:eastAsia="Times New Roman"/>
                <w:b w:val="0"/>
                <w:i w:val="0"/>
                <w:sz w:val="24"/>
              </w:rPr>
              <w:t>Defendant.</w:t>
            </w:r>
          </w:p>
        </w:tc>
        <w:tc>
          <w:tcPr>
            <w:tcW w:type="dxa" w:w="2880"/>
            <w:vAlign w:val="center"/>
            <w:tcMar>
              <w:top w:w="0" w:type="dxa"/>
              <w:start w:w="40" w:type="dxa"/>
              <w:bottom w:w="0" w:type="dxa"/>
              <w:end w:w="40" w:type="dxa"/>
            </w:tcMar>
          </w:tcPr>
          <w:p>
            <w:pPr>
              <w:spacing w:line="240" w:lineRule="auto"/>
            </w:pPr>
            <w:r/>
            <w:r>
              <w:rPr>
                <w:rFonts w:ascii="Times New Roman" w:hAnsi="Times New Roman" w:eastAsia="Times New Roman"/>
                <w:b w:val="0"/>
                <w:i w:val="0"/>
                <w:sz w:val="24"/>
              </w:rPr>
              <w:t>Civil Action No. 1:25-cv-01043-RWS</w:t>
            </w:r>
          </w:p>
        </w:tc>
      </w:tr>
    </w:tbl>
    <w:p>
      <w:pPr>
        <w:spacing w:after="0" w:line="240" w:lineRule="auto"/>
        <w:jc w:val="center"/>
      </w:pPr>
      <w:r>
        <w:rPr>
          <w:rFonts w:ascii="Times New Roman" w:hAnsi="Times New Roman" w:eastAsia="Times New Roman"/>
          <w:b/>
          <w:i w:val="0"/>
          <w:sz w:val="24"/>
        </w:rPr>
        <w:t>DEFENDANT CALDWELL INDUSTRIAL TECHNOLOGIES, LLC’S</w:t>
      </w:r>
    </w:p>
    <w:p>
      <w:pPr>
        <w:spacing w:after="200" w:line="240" w:lineRule="auto"/>
        <w:jc w:val="center"/>
      </w:pPr>
      <w:r>
        <w:rPr>
          <w:rFonts w:ascii="Times New Roman" w:hAnsi="Times New Roman" w:eastAsia="Times New Roman"/>
          <w:b/>
          <w:i w:val="0"/>
          <w:sz w:val="24"/>
        </w:rPr>
        <w:t>ANSWER AND AFFIRMATIVE DEFENSES</w:t>
      </w:r>
    </w:p>
    <w:p>
      <w:pPr>
        <w:spacing w:after="120" w:line="360" w:lineRule="auto"/>
        <w:ind w:left="0"/>
      </w:pPr>
      <w:r>
        <w:rPr>
          <w:rFonts w:ascii="Times New Roman" w:hAnsi="Times New Roman" w:eastAsia="Times New Roman"/>
          <w:b w:val="0"/>
          <w:i w:val="0"/>
          <w:sz w:val="24"/>
        </w:rPr>
        <w:t>Defendant Caldwell Industrial Technologies, LLC (“Caldwell”), by and through undersigned counsel, answers the Complaint of Plaintiff Meridian Supply Chain Solutions, Inc. (“Meridian”) as follows. Except as expressly admitted, Caldwell denies each allegation and each characterization of fact or law in the Complaint. Any allegation not specifically admitted is denied.</w:t>
      </w:r>
    </w:p>
    <w:p>
      <w:pPr>
        <w:spacing w:before="160" w:after="120" w:line="240" w:lineRule="auto"/>
        <w:jc w:val="center"/>
      </w:pPr>
      <w:r>
        <w:rPr>
          <w:rFonts w:ascii="Times New Roman" w:hAnsi="Times New Roman" w:eastAsia="Times New Roman"/>
          <w:b/>
          <w:i w:val="0"/>
          <w:sz w:val="24"/>
        </w:rPr>
        <w:t>RESPONSES TO NUMBERED ALLEGATIONS</w:t>
      </w:r>
    </w:p>
    <w:p>
      <w:pPr>
        <w:spacing w:after="120" w:line="360" w:lineRule="auto"/>
        <w:ind w:left="0"/>
      </w:pPr>
      <w:r>
        <w:rPr>
          <w:rFonts w:ascii="Times New Roman" w:hAnsi="Times New Roman" w:eastAsia="Times New Roman"/>
          <w:b w:val="0"/>
          <w:i w:val="0"/>
          <w:sz w:val="24"/>
        </w:rPr>
        <w:t>1. In response to paragraph 1, Caldwell admits that Meridian is a Delaware corporation with its principal place of business in Savannah, Georgia, and admits the general nature of Meridian’s business. Caldwell lacks knowledge or information sufficient to form a belief as to the remaining allegations, including Meridian’s founding date, workforce, revenues, facility size, and reputation, and therefore denies them.</w:t>
      </w:r>
    </w:p>
    <w:p>
      <w:pPr>
        <w:spacing w:after="120" w:line="360" w:lineRule="auto"/>
        <w:ind w:left="0"/>
      </w:pPr>
      <w:r>
        <w:rPr>
          <w:rFonts w:ascii="Times New Roman" w:hAnsi="Times New Roman" w:eastAsia="Times New Roman"/>
          <w:b w:val="0"/>
          <w:i w:val="0"/>
          <w:sz w:val="24"/>
        </w:rPr>
        <w:t>2. In response to paragraph 2, Caldwell lacks knowledge or information sufficient to form a belief as to Meridian’s founding date, employee count, revenues, facility certification, and other internal business information, and therefore denies those allegations.</w:t>
      </w:r>
    </w:p>
    <w:p>
      <w:pPr>
        <w:spacing w:after="120" w:line="360" w:lineRule="auto"/>
        <w:ind w:left="0"/>
      </w:pPr>
      <w:r>
        <w:rPr>
          <w:rFonts w:ascii="Times New Roman" w:hAnsi="Times New Roman" w:eastAsia="Times New Roman"/>
          <w:b w:val="0"/>
          <w:i w:val="0"/>
          <w:sz w:val="24"/>
        </w:rPr>
        <w:t>3. In response to paragraph 3, Caldwell admits that it is a Georgia limited liability company with its principal place of business in Atlanta, Georgia, and admits the general description of its business.</w:t>
      </w:r>
    </w:p>
    <w:p>
      <w:pPr>
        <w:spacing w:after="120" w:line="360" w:lineRule="auto"/>
        <w:ind w:left="0"/>
      </w:pPr>
      <w:r>
        <w:rPr>
          <w:rFonts w:ascii="Times New Roman" w:hAnsi="Times New Roman" w:eastAsia="Times New Roman"/>
          <w:b w:val="0"/>
          <w:i w:val="0"/>
          <w:sz w:val="24"/>
        </w:rPr>
        <w:t>4. In response to paragraph 4, Caldwell admits that Theodore R. Caldwell III is its managing member and exercises authority over its contractual affairs. Caldwell lacks knowledge or information sufficient to form a belief as to the alleged employee count and revenues and therefore denies those allegations.</w:t>
      </w:r>
    </w:p>
    <w:p>
      <w:pPr>
        <w:spacing w:after="120" w:line="360" w:lineRule="auto"/>
        <w:ind w:left="0"/>
      </w:pPr>
      <w:r>
        <w:rPr>
          <w:rFonts w:ascii="Times New Roman" w:hAnsi="Times New Roman" w:eastAsia="Times New Roman"/>
          <w:b w:val="0"/>
          <w:i w:val="0"/>
          <w:sz w:val="24"/>
        </w:rPr>
        <w:t>5. In response to paragraph 5, Caldwell admits that Tidewater Process Engineering, Inc. was the general contractor on the Savannah River Water Reclamation Project, that the Project is located in Chatham County, Georgia, and that Caldwell performed subcontract work for Tidewater. Caldwell admits the approximate subcontract value as alleged; it denies any remaining characterization inconsistent with the foregoing.</w:t>
      </w:r>
    </w:p>
    <w:p>
      <w:pPr>
        <w:spacing w:after="120" w:line="360" w:lineRule="auto"/>
        <w:ind w:left="0"/>
      </w:pPr>
      <w:r>
        <w:rPr>
          <w:rFonts w:ascii="Times New Roman" w:hAnsi="Times New Roman" w:eastAsia="Times New Roman"/>
          <w:b w:val="0"/>
          <w:i w:val="0"/>
          <w:sz w:val="24"/>
        </w:rPr>
        <w:t>6. In response to paragraph 6, Caldwell denies that any dealings with Irongate Fabrication Co. establish an ability or willingness to pay Meridian or a deliberate refusal to perform. Caldwell lacks knowledge or information sufficient to admit the allegations concerning Irongate’s transactions and denies the inferences Plaintiff draws from them.</w:t>
      </w:r>
    </w:p>
    <w:p>
      <w:pPr>
        <w:spacing w:after="120" w:line="360" w:lineRule="auto"/>
        <w:ind w:left="0"/>
      </w:pPr>
      <w:r>
        <w:rPr>
          <w:rFonts w:ascii="Times New Roman" w:hAnsi="Times New Roman" w:eastAsia="Times New Roman"/>
          <w:b w:val="0"/>
          <w:i w:val="0"/>
          <w:sz w:val="24"/>
        </w:rPr>
        <w:t>7. In response to paragraph 7, Caldwell admits that Meridian is incorporated in Delaware and has its principal place of business in Georgia; that Caldwell is a Georgia LLC; and that the amount Meridian claims exceeds $75,000. Caldwell admits that its members are citizens of Georgia. Caldwell denies that complete diversity exists because Meridian is also a citizen of Georgia by virtue of its principal place of business. Caldwell denies that the amount alleged is owed.</w:t>
      </w:r>
    </w:p>
    <w:p>
      <w:pPr>
        <w:spacing w:after="120" w:line="360" w:lineRule="auto"/>
        <w:ind w:left="0"/>
      </w:pPr>
      <w:r>
        <w:rPr>
          <w:rFonts w:ascii="Times New Roman" w:hAnsi="Times New Roman" w:eastAsia="Times New Roman"/>
          <w:b w:val="0"/>
          <w:i w:val="0"/>
          <w:sz w:val="24"/>
        </w:rPr>
        <w:t>8. In response to paragraph 8, Caldwell repeats its response to paragraph 7. Meridian is a citizen of both Delaware and Georgia, and Caldwell is a Georgia citizen; therefore, the Complaint does not establish complete diversity. Caldwell denies that the claimed balance is due.</w:t>
      </w:r>
    </w:p>
    <w:p>
      <w:pPr>
        <w:spacing w:after="120" w:line="360" w:lineRule="auto"/>
        <w:ind w:left="0"/>
      </w:pPr>
      <w:r>
        <w:rPr>
          <w:rFonts w:ascii="Times New Roman" w:hAnsi="Times New Roman" w:eastAsia="Times New Roman"/>
          <w:b w:val="0"/>
          <w:i w:val="0"/>
          <w:sz w:val="24"/>
        </w:rPr>
        <w:t>9. In response to paragraph 9, Caldwell admits that it is located in this District, that the MSA and Purchase Orders were issued or executed from its Atlanta offices, and that Section 15.2 selects state or federal courts located in Fulton County, Georgia. Caldwell admits venue is proper in this Division under the forum-selection clause and applicable law. The written instruments speak for themselves; the Project jobsite and substantial performance were in Chatham County.</w:t>
      </w:r>
    </w:p>
    <w:p>
      <w:pPr>
        <w:spacing w:after="120" w:line="360" w:lineRule="auto"/>
        <w:ind w:left="0"/>
      </w:pPr>
      <w:r>
        <w:rPr>
          <w:rFonts w:ascii="Times New Roman" w:hAnsi="Times New Roman" w:eastAsia="Times New Roman"/>
          <w:b w:val="0"/>
          <w:i w:val="0"/>
          <w:sz w:val="24"/>
        </w:rPr>
        <w:t>10. In response to paragraph 10, Caldwell admits that it is subject to personal jurisdiction in this District and consented to the forum-selection provision in Section 15.2 of the MSA.</w:t>
      </w:r>
    </w:p>
    <w:p>
      <w:pPr>
        <w:spacing w:after="120" w:line="360" w:lineRule="auto"/>
        <w:ind w:left="0"/>
      </w:pPr>
      <w:r>
        <w:rPr>
          <w:rFonts w:ascii="Times New Roman" w:hAnsi="Times New Roman" w:eastAsia="Times New Roman"/>
          <w:b w:val="0"/>
          <w:i w:val="0"/>
          <w:sz w:val="24"/>
        </w:rPr>
        <w:t>11. In response to paragraph 11, Caldwell admits that it entered into the MSA with Meridian on March 15, 2023. The MSA speaks for itself; any inconsistent characterization is denied.</w:t>
      </w:r>
    </w:p>
    <w:p>
      <w:pPr>
        <w:spacing w:after="120" w:line="360" w:lineRule="auto"/>
        <w:ind w:left="0"/>
      </w:pPr>
      <w:r>
        <w:rPr>
          <w:rFonts w:ascii="Times New Roman" w:hAnsi="Times New Roman" w:eastAsia="Times New Roman"/>
          <w:b w:val="0"/>
          <w:i w:val="0"/>
          <w:sz w:val="24"/>
        </w:rPr>
        <w:t>12. In response to paragraph 12, Caldwell admits the allegations concerning the initial term and renewal terms of the MSA.</w:t>
      </w:r>
    </w:p>
    <w:p>
      <w:pPr>
        <w:spacing w:after="120" w:line="360" w:lineRule="auto"/>
        <w:ind w:left="0"/>
      </w:pPr>
      <w:r>
        <w:rPr>
          <w:rFonts w:ascii="Times New Roman" w:hAnsi="Times New Roman" w:eastAsia="Times New Roman"/>
          <w:b w:val="0"/>
          <w:i w:val="0"/>
          <w:sz w:val="24"/>
        </w:rPr>
        <w:t>13. In response to paragraph 13, Caldwell admits the allegations concerning Sections 3.1 and 3.2 of the MSA. The MSA speaks for itself.</w:t>
      </w:r>
    </w:p>
    <w:p>
      <w:pPr>
        <w:spacing w:after="120" w:line="360" w:lineRule="auto"/>
        <w:ind w:left="0"/>
      </w:pPr>
      <w:r>
        <w:rPr>
          <w:rFonts w:ascii="Times New Roman" w:hAnsi="Times New Roman" w:eastAsia="Times New Roman"/>
          <w:b w:val="0"/>
          <w:i w:val="0"/>
          <w:sz w:val="24"/>
        </w:rPr>
        <w:t>14. In response to paragraph 14, Caldwell admits that Sections 4.2 and 4.3 contain the quoted specifications and warranty obligations. Caldwell denies that the goods at issue conformed to those requirements.</w:t>
      </w:r>
    </w:p>
    <w:p>
      <w:pPr>
        <w:spacing w:after="120" w:line="360" w:lineRule="auto"/>
        <w:ind w:left="0"/>
      </w:pPr>
      <w:r>
        <w:rPr>
          <w:rFonts w:ascii="Times New Roman" w:hAnsi="Times New Roman" w:eastAsia="Times New Roman"/>
          <w:b w:val="0"/>
          <w:i w:val="0"/>
          <w:sz w:val="24"/>
        </w:rPr>
        <w:t>15. In response to paragraph 15, Caldwell admits the general terms of Sections 5.1 and 5.4. Caldwell denies that it was obligated to accept nonconforming goods or goods tendered at a destination expressly prohibited by the applicable Purchase Order.</w:t>
      </w:r>
    </w:p>
    <w:p>
      <w:pPr>
        <w:spacing w:after="120" w:line="360" w:lineRule="auto"/>
        <w:ind w:left="0"/>
      </w:pPr>
      <w:r>
        <w:rPr>
          <w:rFonts w:ascii="Times New Roman" w:hAnsi="Times New Roman" w:eastAsia="Times New Roman"/>
          <w:b w:val="0"/>
          <w:i w:val="0"/>
          <w:sz w:val="24"/>
        </w:rPr>
        <w:t>16. In response to paragraph 16, Caldwell admits the terms of Section 6.1 and the quoted portion of Section 6.2. Caldwell denies that it failed to give timely written notice of rejection or that the Tranche 1 shipment was accepted.</w:t>
      </w:r>
    </w:p>
    <w:p>
      <w:pPr>
        <w:spacing w:after="120" w:line="360" w:lineRule="auto"/>
        <w:ind w:left="0"/>
      </w:pPr>
      <w:r>
        <w:rPr>
          <w:rFonts w:ascii="Times New Roman" w:hAnsi="Times New Roman" w:eastAsia="Times New Roman"/>
          <w:b w:val="0"/>
          <w:i w:val="0"/>
          <w:sz w:val="24"/>
        </w:rPr>
        <w:t>17. In response to paragraph 17, Caldwell admits that Sections 7.1 and 7.3 provide for payment within 45 days after acceptance or deemed acceptance and interest of 1.5% per month (18% per annum) or the maximum rate permitted by law, whichever is less. Caldwell denies that Section 7.3 provides for monthly compounding and denies that the sums claimed were accepted, properly invoiced, due, or subject to the interest claimed, except as may be established as to specific conforming goods and a compliant invoice.</w:t>
      </w:r>
    </w:p>
    <w:p>
      <w:pPr>
        <w:spacing w:after="120" w:line="360" w:lineRule="auto"/>
        <w:ind w:left="0"/>
      </w:pPr>
      <w:r>
        <w:rPr>
          <w:rFonts w:ascii="Times New Roman" w:hAnsi="Times New Roman" w:eastAsia="Times New Roman"/>
          <w:b w:val="0"/>
          <w:i w:val="0"/>
          <w:sz w:val="24"/>
        </w:rPr>
        <w:t>18. In response to paragraph 18, Caldwell admits that Section 12.1 enumerates the stated events and requires notice, and that Section 12.3 addresses an event continuing more than 90 days. Caldwell denies Plaintiff’s interpretation that the force majeure provision cannot apply to the project suspension and its resulting inability to receive goods at the closed jobsite.</w:t>
      </w:r>
    </w:p>
    <w:p>
      <w:pPr>
        <w:spacing w:after="120" w:line="360" w:lineRule="auto"/>
        <w:ind w:left="0"/>
      </w:pPr>
      <w:r>
        <w:rPr>
          <w:rFonts w:ascii="Times New Roman" w:hAnsi="Times New Roman" w:eastAsia="Times New Roman"/>
          <w:b w:val="0"/>
          <w:i w:val="0"/>
          <w:sz w:val="24"/>
        </w:rPr>
        <w:t>19. In response to paragraph 19, Caldwell admits that Section 13.2 provides for termination of an individual Purchase Order on 30 days’ written notice and addresses payment for conforming goods manufactured or in process and qualifying non-cancellable raw-material costs. The provision speaks for itself; any contrary characterization is denied.</w:t>
      </w:r>
    </w:p>
    <w:p>
      <w:pPr>
        <w:spacing w:after="120" w:line="360" w:lineRule="auto"/>
        <w:ind w:left="0"/>
      </w:pPr>
      <w:r>
        <w:rPr>
          <w:rFonts w:ascii="Times New Roman" w:hAnsi="Times New Roman" w:eastAsia="Times New Roman"/>
          <w:b w:val="0"/>
          <w:i w:val="0"/>
          <w:sz w:val="24"/>
        </w:rPr>
        <w:t>20. In response to paragraph 20, Caldwell admits the general terms of Sections 15.1, 15.2, 16.1, 18.3, and 19.1. Caldwell denies that Meridian satisfied the contractual negotiation procedure or that the provisions otherwise entitle Meridian to the relief requested.</w:t>
      </w:r>
    </w:p>
    <w:p>
      <w:pPr>
        <w:spacing w:after="120" w:line="360" w:lineRule="auto"/>
        <w:ind w:left="0"/>
      </w:pPr>
      <w:r>
        <w:rPr>
          <w:rFonts w:ascii="Times New Roman" w:hAnsi="Times New Roman" w:eastAsia="Times New Roman"/>
          <w:b w:val="0"/>
          <w:i w:val="0"/>
          <w:sz w:val="24"/>
        </w:rPr>
        <w:t>21. In response to paragraph 21, Caldwell admits that it served as a subcontractor on the Savannah River Project, Tidewater was general contractor, and the subcontract was valued at approximately $18.4 million.</w:t>
      </w:r>
    </w:p>
    <w:p>
      <w:pPr>
        <w:spacing w:after="120" w:line="360" w:lineRule="auto"/>
        <w:ind w:left="0"/>
      </w:pPr>
      <w:r>
        <w:rPr>
          <w:rFonts w:ascii="Times New Roman" w:hAnsi="Times New Roman" w:eastAsia="Times New Roman"/>
          <w:b w:val="0"/>
          <w:i w:val="0"/>
          <w:sz w:val="24"/>
        </w:rPr>
        <w:t>22. In response to paragraph 22, Caldwell admits that it submitted PO-147 on June 5, 2024, for 2,400 MV-8800 series butterfly valves at $1,600 per unit, with an aggregate value of $3,840,000, for delivery to the Project jobsite. The Purchase Order speaks for itself.</w:t>
      </w:r>
    </w:p>
    <w:p>
      <w:pPr>
        <w:spacing w:after="120" w:line="360" w:lineRule="auto"/>
        <w:ind w:left="0"/>
      </w:pPr>
      <w:r>
        <w:rPr>
          <w:rFonts w:ascii="Times New Roman" w:hAnsi="Times New Roman" w:eastAsia="Times New Roman"/>
          <w:b w:val="0"/>
          <w:i w:val="0"/>
          <w:sz w:val="24"/>
        </w:rPr>
        <w:t>23. In response to paragraph 23, Caldwell admits the quantities, values, and delivery dates for the three tranches of PO-147.</w:t>
      </w:r>
    </w:p>
    <w:p>
      <w:pPr>
        <w:spacing w:after="120" w:line="360" w:lineRule="auto"/>
        <w:ind w:left="0"/>
      </w:pPr>
      <w:r>
        <w:rPr>
          <w:rFonts w:ascii="Times New Roman" w:hAnsi="Times New Roman" w:eastAsia="Times New Roman"/>
          <w:b w:val="0"/>
          <w:i w:val="0"/>
          <w:sz w:val="24"/>
        </w:rPr>
        <w:t>24. In response to paragraph 24, Caldwell admits that Meridian accepted PO-147 in writing on June 12, 2024. The Purchase Order and acceptance speak for themselves.</w:t>
      </w:r>
    </w:p>
    <w:p>
      <w:pPr>
        <w:spacing w:after="120" w:line="360" w:lineRule="auto"/>
        <w:ind w:left="0"/>
      </w:pPr>
      <w:r>
        <w:rPr>
          <w:rFonts w:ascii="Times New Roman" w:hAnsi="Times New Roman" w:eastAsia="Times New Roman"/>
          <w:b w:val="0"/>
          <w:i w:val="0"/>
          <w:sz w:val="24"/>
        </w:rPr>
        <w:t>25. In response to paragraph 25, Caldwell admits that it submitted PO-163 on July 22, 2024, for 560 MV-9200 gate valves at $1,590 per unit, with a total value of $890,400, and a required delivery date of December 1, 2024. The Purchase Order speaks for itself.</w:t>
      </w:r>
    </w:p>
    <w:p>
      <w:pPr>
        <w:spacing w:after="120" w:line="360" w:lineRule="auto"/>
        <w:ind w:left="0"/>
      </w:pPr>
      <w:r>
        <w:rPr>
          <w:rFonts w:ascii="Times New Roman" w:hAnsi="Times New Roman" w:eastAsia="Times New Roman"/>
          <w:b w:val="0"/>
          <w:i w:val="0"/>
          <w:sz w:val="24"/>
        </w:rPr>
        <w:t>26. In response to paragraph 26, Caldwell admits that Meridian accepted PO-163 in writing on July 30, 2024. The Purchase Order and acceptance speak for themselves.</w:t>
      </w:r>
    </w:p>
    <w:p>
      <w:pPr>
        <w:spacing w:after="120" w:line="360" w:lineRule="auto"/>
        <w:ind w:left="0"/>
      </w:pPr>
      <w:r>
        <w:rPr>
          <w:rFonts w:ascii="Times New Roman" w:hAnsi="Times New Roman" w:eastAsia="Times New Roman"/>
          <w:b w:val="0"/>
          <w:i w:val="0"/>
          <w:sz w:val="24"/>
        </w:rPr>
        <w:t>27. In response to paragraph 27, Caldwell admits the combined stated value of the Purchase Orders and that both were issued and accepted under the MSA. The written instruments speak for themselves.</w:t>
      </w:r>
    </w:p>
    <w:p>
      <w:pPr>
        <w:spacing w:after="120" w:line="360" w:lineRule="auto"/>
        <w:ind w:left="0"/>
      </w:pPr>
      <w:r>
        <w:rPr>
          <w:rFonts w:ascii="Times New Roman" w:hAnsi="Times New Roman" w:eastAsia="Times New Roman"/>
          <w:b w:val="0"/>
          <w:i w:val="0"/>
          <w:sz w:val="24"/>
        </w:rPr>
        <w:t>28. In response to paragraph 28, Caldwell admits that Meridian delivered 800 Tranche 1 valves to the Project jobsite on September 12, 2024, and that Caldwell received them.</w:t>
      </w:r>
    </w:p>
    <w:p>
      <w:pPr>
        <w:spacing w:after="120" w:line="360" w:lineRule="auto"/>
        <w:ind w:left="0"/>
      </w:pPr>
      <w:r>
        <w:rPr>
          <w:rFonts w:ascii="Times New Roman" w:hAnsi="Times New Roman" w:eastAsia="Times New Roman"/>
          <w:b w:val="0"/>
          <w:i w:val="0"/>
          <w:sz w:val="24"/>
        </w:rPr>
        <w:t>29. In response to paragraph 29, Caldwell lacks knowledge or information sufficient to admit the contents, methodology, or accuracy of Meridian’s internal pre-shipment inspection and therefore denies the allegations. Caldwell’s post-delivery inspection identified 170 nonconforming units, as set out in its September 27, 2024 rejection notice.</w:t>
      </w:r>
    </w:p>
    <w:p>
      <w:pPr>
        <w:spacing w:after="120" w:line="360" w:lineRule="auto"/>
        <w:ind w:left="0"/>
      </w:pPr>
      <w:r>
        <w:rPr>
          <w:rFonts w:ascii="Times New Roman" w:hAnsi="Times New Roman" w:eastAsia="Times New Roman"/>
          <w:b w:val="0"/>
          <w:i w:val="0"/>
          <w:sz w:val="24"/>
        </w:rPr>
        <w:t>30. In response to paragraph 30, Caldwell admits that its Senior QC Engineer, Priya Ramaswamy, sent Meridian a detailed written rejection notice by email on September 27, 2024, the eleventh business day after delivery. Caldwell admits that the inspection identified 127 units with micro-cracking and 43 units with out-of-tolerance bore dimensions. The email expressly rejected the entire 800-unit shipment, not merely the 170 units identified as defective.</w:t>
      </w:r>
    </w:p>
    <w:p>
      <w:pPr>
        <w:spacing w:after="120" w:line="360" w:lineRule="auto"/>
        <w:ind w:left="0"/>
      </w:pPr>
      <w:r>
        <w:rPr>
          <w:rFonts w:ascii="Times New Roman" w:hAnsi="Times New Roman" w:eastAsia="Times New Roman"/>
          <w:b w:val="0"/>
          <w:i w:val="0"/>
          <w:sz w:val="24"/>
        </w:rPr>
        <w:t>31. In response to paragraph 31, Caldwell denies that its defect allegations are unfounded or that any alleged damage was caused by Caldwell’s storage or handling. Caldwell’s inspection identified defects in the delivered goods, and Caldwell preserved the units in their original shipping crates pending Meridian’s response.</w:t>
      </w:r>
    </w:p>
    <w:p>
      <w:pPr>
        <w:spacing w:after="120" w:line="360" w:lineRule="auto"/>
        <w:ind w:left="0"/>
      </w:pPr>
      <w:r>
        <w:rPr>
          <w:rFonts w:ascii="Times New Roman" w:hAnsi="Times New Roman" w:eastAsia="Times New Roman"/>
          <w:b w:val="0"/>
          <w:i w:val="0"/>
          <w:sz w:val="24"/>
        </w:rPr>
        <w:t>32. In response to paragraph 32, Caldwell admits that Kyle Densmore replied to the rejection email on September 27, 2024, and stated that he would investigate, proposed a joint inspection, requested that the goods be held in their existing condition, and promised to compile Meridian’s inspection records. Caldwell denies that the response was merely a courtesy without significance to the parties’ notice and inspection process.</w:t>
      </w:r>
    </w:p>
    <w:p>
      <w:pPr>
        <w:spacing w:after="120" w:line="360" w:lineRule="auto"/>
        <w:ind w:left="0"/>
      </w:pPr>
      <w:r>
        <w:rPr>
          <w:rFonts w:ascii="Times New Roman" w:hAnsi="Times New Roman" w:eastAsia="Times New Roman"/>
          <w:b w:val="0"/>
          <w:i w:val="0"/>
          <w:sz w:val="24"/>
        </w:rPr>
        <w:t>33. In response to paragraph 33, Caldwell admits that Section 19.1 specifies certified mail or overnight courier for notices and admits that its rejection notice was transmitted by email. Caldwell denies that the email was ineffective: it was timely, detailed, sent to the designated quality contact, actually received, and substantively answered by Meridian without objection to the method. Caldwell further pleads waiver, substantial compliance, and estoppel in the alternative.</w:t>
      </w:r>
    </w:p>
    <w:p>
      <w:pPr>
        <w:spacing w:after="120" w:line="360" w:lineRule="auto"/>
        <w:ind w:left="0"/>
      </w:pPr>
      <w:r>
        <w:rPr>
          <w:rFonts w:ascii="Times New Roman" w:hAnsi="Times New Roman" w:eastAsia="Times New Roman"/>
          <w:b w:val="0"/>
          <w:i w:val="0"/>
          <w:sz w:val="24"/>
        </w:rPr>
        <w:t>34. In response to paragraph 34, Caldwell denies that the entire Tranche 1 shipment was deemed accepted or that $1,280,000 became due. Caldwell timely identified the defects and rejected the entire shipment under the MSA’s AQL provision.</w:t>
      </w:r>
    </w:p>
    <w:p>
      <w:pPr>
        <w:spacing w:after="120" w:line="360" w:lineRule="auto"/>
        <w:ind w:left="0"/>
      </w:pPr>
      <w:r>
        <w:rPr>
          <w:rFonts w:ascii="Times New Roman" w:hAnsi="Times New Roman" w:eastAsia="Times New Roman"/>
          <w:b w:val="0"/>
          <w:i w:val="0"/>
          <w:sz w:val="24"/>
        </w:rPr>
        <w:t>35. In response to paragraph 35, Caldwell denies Plaintiff’s allegations. Caldwell’s inspection found 170 distinct defective units out of 800 (21.25%), exceeding the MSA’s 2% AQL. Section 4.4 permits rejection of the entire shipment when the AQL is exceeded. The parties’ conflicting inspection results are disputed issues of fact.</w:t>
      </w:r>
    </w:p>
    <w:p>
      <w:pPr>
        <w:spacing w:after="120" w:line="360" w:lineRule="auto"/>
        <w:ind w:left="0"/>
      </w:pPr>
      <w:r>
        <w:rPr>
          <w:rFonts w:ascii="Times New Roman" w:hAnsi="Times New Roman" w:eastAsia="Times New Roman"/>
          <w:b w:val="0"/>
          <w:i w:val="0"/>
          <w:sz w:val="24"/>
        </w:rPr>
        <w:t>36. In response to paragraph 36, Caldwell admits that Mr. Caldwell’s January 15, 2025 email acknowledged 630 units as conforming and stated Caldwell was prepared to pay $960,000 for those units. Caldwell denies that this statement admits conformity or acceptance of the remaining 170 units, or that it establishes Plaintiff’s broader characterization of Caldwell’s use or benefit of all 800 units.</w:t>
      </w:r>
    </w:p>
    <w:p>
      <w:pPr>
        <w:spacing w:after="120" w:line="360" w:lineRule="auto"/>
        <w:ind w:left="0"/>
      </w:pPr>
      <w:r>
        <w:rPr>
          <w:rFonts w:ascii="Times New Roman" w:hAnsi="Times New Roman" w:eastAsia="Times New Roman"/>
          <w:b w:val="0"/>
          <w:i w:val="0"/>
          <w:sz w:val="24"/>
        </w:rPr>
        <w:t>37. In response to paragraph 37, Caldwell admits it has not paid Meridian for Tranche 1. Caldwell denies that the full $1,280,000 is due and states that the 170 defective units were rejected. Caldwell acknowledges that it offered to pay the $960,000 allocable to the 630 conforming units, subject to resolution of the dispute.</w:t>
      </w:r>
    </w:p>
    <w:p>
      <w:pPr>
        <w:spacing w:after="120" w:line="360" w:lineRule="auto"/>
        <w:ind w:left="0"/>
      </w:pPr>
      <w:r>
        <w:rPr>
          <w:rFonts w:ascii="Times New Roman" w:hAnsi="Times New Roman" w:eastAsia="Times New Roman"/>
          <w:b w:val="0"/>
          <w:i w:val="0"/>
          <w:sz w:val="24"/>
        </w:rPr>
        <w:t>38. In response to paragraph 38, Caldwell admits that Tidewater issued an indefinite suspension notice on October 2, 2024, citing the dispute over approximately $11.2 million in change orders with Chatham County. Caldwell admits Tidewater directed that work cease and no further material deliveries be made to the jobsite. Caldwell denies that Chatham County itself issued a sovereign or regulatory order suspending the Project.</w:t>
      </w:r>
    </w:p>
    <w:p>
      <w:pPr>
        <w:spacing w:after="120" w:line="360" w:lineRule="auto"/>
        <w:ind w:left="0"/>
      </w:pPr>
      <w:r>
        <w:rPr>
          <w:rFonts w:ascii="Times New Roman" w:hAnsi="Times New Roman" w:eastAsia="Times New Roman"/>
          <w:b w:val="0"/>
          <w:i w:val="0"/>
          <w:sz w:val="24"/>
        </w:rPr>
        <w:t>39. In response to paragraph 39, Caldwell admits that it sent the October 9, 2024 force majeure notice by FedEx overnight, within seven days of Tidewater’s notice, and that the letter invoked Section 12.1. Caldwell denies that the notice was an unequivocal repudiation of its Purchase Order obligations.</w:t>
      </w:r>
    </w:p>
    <w:p>
      <w:pPr>
        <w:spacing w:after="120" w:line="360" w:lineRule="auto"/>
        <w:ind w:left="0"/>
      </w:pPr>
      <w:r>
        <w:rPr>
          <w:rFonts w:ascii="Times New Roman" w:hAnsi="Times New Roman" w:eastAsia="Times New Roman"/>
          <w:b w:val="0"/>
          <w:i w:val="0"/>
          <w:sz w:val="24"/>
        </w:rPr>
        <w:t>40. In response to paragraph 40, Caldwell denies Plaintiff’s legal conclusions. The suspension made the Project jobsite inaccessible and prohibited additional material deliveries, circumstances beyond Caldwell’s reasonable control within the broad language of Section 12.1. Caldwell admits that the suspension arose from a commercial dispute between Tidewater and Chatham County concerning change orders.</w:t>
      </w:r>
    </w:p>
    <w:p>
      <w:pPr>
        <w:spacing w:after="120" w:line="360" w:lineRule="auto"/>
        <w:ind w:left="0"/>
      </w:pPr>
      <w:r>
        <w:rPr>
          <w:rFonts w:ascii="Times New Roman" w:hAnsi="Times New Roman" w:eastAsia="Times New Roman"/>
          <w:b w:val="0"/>
          <w:i w:val="0"/>
          <w:sz w:val="24"/>
        </w:rPr>
        <w:t>41. In response to paragraph 41, Caldwell admits that Meridian sent a letter dated October 15, 2024, rejecting Caldwell’s force majeure notice and demanding performance. Caldwell denies that Meridian’s rejection was correct or that it restored access to the suspended jobsite.</w:t>
      </w:r>
    </w:p>
    <w:p>
      <w:pPr>
        <w:spacing w:after="120" w:line="360" w:lineRule="auto"/>
        <w:ind w:left="0"/>
      </w:pPr>
      <w:r>
        <w:rPr>
          <w:rFonts w:ascii="Times New Roman" w:hAnsi="Times New Roman" w:eastAsia="Times New Roman"/>
          <w:b w:val="0"/>
          <w:i w:val="0"/>
          <w:sz w:val="24"/>
        </w:rPr>
        <w:t>42. In response to paragraph 42, Caldwell admits that Meridian had begun manufacturing some of the remaining goods. Caldwell denies that its request that Meridian suspend further manufacturing was unreasonable or that continued production, despite the request and indefinite project closure, was undertaken in reasonable reliance or mitigated losses.</w:t>
      </w:r>
    </w:p>
    <w:p>
      <w:pPr>
        <w:spacing w:after="120" w:line="360" w:lineRule="auto"/>
        <w:ind w:left="0"/>
      </w:pPr>
      <w:r>
        <w:rPr>
          <w:rFonts w:ascii="Times New Roman" w:hAnsi="Times New Roman" w:eastAsia="Times New Roman"/>
          <w:b w:val="0"/>
          <w:i w:val="0"/>
          <w:sz w:val="24"/>
        </w:rPr>
        <w:t>43. In response to paragraph 43, Caldwell denies that its October 9 notice constituted anticipatory repudiation. The notice described a temporary inability to receive goods during an indefinite suspension, invoked the contractual force majeure clause, requested that Meridian pause production, and expressly reserved Caldwell’s rights; it did not declare a final, unconditional refusal to perform.</w:t>
      </w:r>
    </w:p>
    <w:p>
      <w:pPr>
        <w:spacing w:after="120" w:line="360" w:lineRule="auto"/>
        <w:ind w:left="0"/>
      </w:pPr>
      <w:r>
        <w:rPr>
          <w:rFonts w:ascii="Times New Roman" w:hAnsi="Times New Roman" w:eastAsia="Times New Roman"/>
          <w:b w:val="0"/>
          <w:i w:val="0"/>
          <w:sz w:val="24"/>
        </w:rPr>
        <w:t>44. In response to paragraph 44, Caldwell admits that it sent a written termination-for-convenience notice on November 12, 2024, by certified mail and overnight courier, providing 30 days’ notice and identifying the affected undelivered portions of PO-147 and PO-163.</w:t>
      </w:r>
    </w:p>
    <w:p>
      <w:pPr>
        <w:spacing w:after="120" w:line="360" w:lineRule="auto"/>
        <w:ind w:left="0"/>
      </w:pPr>
      <w:r>
        <w:rPr>
          <w:rFonts w:ascii="Times New Roman" w:hAnsi="Times New Roman" w:eastAsia="Times New Roman"/>
          <w:b w:val="0"/>
          <w:i w:val="0"/>
          <w:sz w:val="24"/>
        </w:rPr>
        <w:t>45. In response to paragraph 45, Caldwell denies that the termination notice was invalid or that any earlier force majeure notice forfeited Caldwell’s independent right under Section 13.2. The MSA contains no “good standing” prerequisite to termination for convenience.</w:t>
      </w:r>
    </w:p>
    <w:p>
      <w:pPr>
        <w:spacing w:after="120" w:line="360" w:lineRule="auto"/>
        <w:ind w:left="0"/>
      </w:pPr>
      <w:r>
        <w:rPr>
          <w:rFonts w:ascii="Times New Roman" w:hAnsi="Times New Roman" w:eastAsia="Times New Roman"/>
          <w:b w:val="0"/>
          <w:i w:val="0"/>
          <w:sz w:val="24"/>
        </w:rPr>
        <w:t>46. In response to paragraph 46, Caldwell admits that Meridian sent a November 18, 2024 letter rejecting the termination notice. Caldwell denies Meridian’s legal conclusions.</w:t>
      </w:r>
    </w:p>
    <w:p>
      <w:pPr>
        <w:spacing w:after="120" w:line="360" w:lineRule="auto"/>
        <w:ind w:left="0"/>
      </w:pPr>
      <w:r>
        <w:rPr>
          <w:rFonts w:ascii="Times New Roman" w:hAnsi="Times New Roman" w:eastAsia="Times New Roman"/>
          <w:b w:val="0"/>
          <w:i w:val="0"/>
          <w:sz w:val="24"/>
        </w:rPr>
        <w:t>47. In response to paragraph 47, Caldwell lacks knowledge or information sufficient to admit the precise manufacturing status, quantity, conformity, or cost of the goods as of November 12, 2024, and therefore denies those allegations. Caldwell requested the detailed accounting and supporting quality documentation contemplated by Section 13.2; Plaintiff must prove the amount and conformity of any goods claimed to have been manufactured or in process.</w:t>
      </w:r>
    </w:p>
    <w:p>
      <w:pPr>
        <w:spacing w:after="120" w:line="360" w:lineRule="auto"/>
        <w:ind w:left="0"/>
      </w:pPr>
      <w:r>
        <w:rPr>
          <w:rFonts w:ascii="Times New Roman" w:hAnsi="Times New Roman" w:eastAsia="Times New Roman"/>
          <w:b w:val="0"/>
          <w:i w:val="0"/>
          <w:sz w:val="24"/>
        </w:rPr>
        <w:t>48. In response to paragraph 48, Caldwell denies that the stated figures are established or that the full contract price for all goods is automatically due. Section 13.2 governs the consequences of the effective termination and requires payment only for conforming goods actually manufactured or in process at the time of notice and qualifying documented, non-cancellable raw-material costs, subject to mitigation and the Purchase Order cap. Caldwell requested supporting inventory and conformity records.</w:t>
      </w:r>
    </w:p>
    <w:p>
      <w:pPr>
        <w:spacing w:after="120" w:line="360" w:lineRule="auto"/>
        <w:ind w:left="0"/>
      </w:pPr>
      <w:r>
        <w:rPr>
          <w:rFonts w:ascii="Times New Roman" w:hAnsi="Times New Roman" w:eastAsia="Times New Roman"/>
          <w:b w:val="0"/>
          <w:i w:val="0"/>
          <w:sz w:val="24"/>
        </w:rPr>
        <w:t>49. In response to paragraph 49, Caldwell admits that on November 15, 2024, Meridian attempted delivery of 800 Tranche 2 valves to Caldwell’s Atlanta warehouse rather than the Project jobsite designated in PO-147.</w:t>
      </w:r>
    </w:p>
    <w:p>
      <w:pPr>
        <w:spacing w:after="120" w:line="360" w:lineRule="auto"/>
        <w:ind w:left="0"/>
      </w:pPr>
      <w:r>
        <w:rPr>
          <w:rFonts w:ascii="Times New Roman" w:hAnsi="Times New Roman" w:eastAsia="Times New Roman"/>
          <w:b w:val="0"/>
          <w:i w:val="0"/>
          <w:sz w:val="24"/>
        </w:rPr>
        <w:t>50. In response to paragraph 50, Caldwell denies that the Atlanta warehouse was an authorized alternative delivery destination. PO-147 expressly required delivery to the specified Project jobsite and stated that no alternate delivery could be made without Caldwell’s prior written authorization. Caldwell gave no such authorization.</w:t>
      </w:r>
    </w:p>
    <w:p>
      <w:pPr>
        <w:spacing w:after="120" w:line="360" w:lineRule="auto"/>
        <w:ind w:left="0"/>
      </w:pPr>
      <w:r>
        <w:rPr>
          <w:rFonts w:ascii="Times New Roman" w:hAnsi="Times New Roman" w:eastAsia="Times New Roman"/>
          <w:b w:val="0"/>
          <w:i w:val="0"/>
          <w:sz w:val="24"/>
        </w:rPr>
        <w:t>51. In response to paragraph 51, Caldwell admits that the bill of lading states “Delivery refused — no authorization to receive,” that no Caldwell representative signed for the shipment, and that the shipment was returned. The bill of lading speaks for itself.</w:t>
      </w:r>
    </w:p>
    <w:p>
      <w:pPr>
        <w:spacing w:after="120" w:line="360" w:lineRule="auto"/>
        <w:ind w:left="0"/>
      </w:pPr>
      <w:r>
        <w:rPr>
          <w:rFonts w:ascii="Times New Roman" w:hAnsi="Times New Roman" w:eastAsia="Times New Roman"/>
          <w:b w:val="0"/>
          <w:i w:val="0"/>
          <w:sz w:val="24"/>
        </w:rPr>
        <w:t>52. In response to paragraph 52, Caldwell denies that its refusal constituted a breach. The shipment was tendered at a destination not permitted by PO-147 and was not accepted at the contractually designated location.</w:t>
      </w:r>
    </w:p>
    <w:p>
      <w:pPr>
        <w:spacing w:after="120" w:line="360" w:lineRule="auto"/>
        <w:ind w:left="0"/>
      </w:pPr>
      <w:r>
        <w:rPr>
          <w:rFonts w:ascii="Times New Roman" w:hAnsi="Times New Roman" w:eastAsia="Times New Roman"/>
          <w:b w:val="0"/>
          <w:i w:val="0"/>
          <w:sz w:val="24"/>
        </w:rPr>
        <w:t>53. In response to paragraph 53, Caldwell admits that Meridian’s counsel sent a demand letter dated January 8, 2025. Caldwell denies that the demanded principal or interest was due in the amounts claimed.</w:t>
      </w:r>
    </w:p>
    <w:p>
      <w:pPr>
        <w:spacing w:after="120" w:line="360" w:lineRule="auto"/>
        <w:ind w:left="0"/>
      </w:pPr>
      <w:r>
        <w:rPr>
          <w:rFonts w:ascii="Times New Roman" w:hAnsi="Times New Roman" w:eastAsia="Times New Roman"/>
          <w:b w:val="0"/>
          <w:i w:val="0"/>
          <w:sz w:val="24"/>
        </w:rPr>
        <w:t>54. In response to paragraph 54, Caldwell admits that Meridian’s letter purported to invoke Section 15.1 and request negotiations. Caldwell denies that Meridian complied with the section’s requirement to designate senior representatives and meet at least once during the Negotiation Period.</w:t>
      </w:r>
    </w:p>
    <w:p>
      <w:pPr>
        <w:spacing w:after="120" w:line="360" w:lineRule="auto"/>
        <w:ind w:left="0"/>
      </w:pPr>
      <w:r>
        <w:rPr>
          <w:rFonts w:ascii="Times New Roman" w:hAnsi="Times New Roman" w:eastAsia="Times New Roman"/>
          <w:b w:val="0"/>
          <w:i w:val="0"/>
          <w:sz w:val="24"/>
        </w:rPr>
        <w:t>55. In response to paragraph 55, Caldwell admits that Mr. Caldwell sent the January 15, 2025 email and made the statements described in subparagraphs (a) through (d), including his willingness to pay $960,000 for 630 conforming Tranche 1 units, request for remediation of the 170 defective units, rejection of liability for future deliveries in light of the suspension and termination, and offer to discuss resolution. Caldwell denies any legal effect beyond the statements’ actual terms.</w:t>
      </w:r>
    </w:p>
    <w:p>
      <w:pPr>
        <w:spacing w:after="120" w:line="360" w:lineRule="auto"/>
        <w:ind w:left="0"/>
      </w:pPr>
      <w:r>
        <w:rPr>
          <w:rFonts w:ascii="Times New Roman" w:hAnsi="Times New Roman" w:eastAsia="Times New Roman"/>
          <w:b w:val="0"/>
          <w:i w:val="0"/>
          <w:sz w:val="24"/>
        </w:rPr>
        <w:t>56. In response to paragraph 56, Caldwell admits that Mr. Caldwell acknowledged 630 conforming units and offered to pay $960,000. Caldwell denies that this establishes acceptance, use, or benefit as to all 800 units; the 170 units were rejected and preserved pending resolution.</w:t>
      </w:r>
    </w:p>
    <w:p>
      <w:pPr>
        <w:spacing w:after="120" w:line="360" w:lineRule="auto"/>
        <w:ind w:left="0"/>
      </w:pPr>
      <w:r>
        <w:rPr>
          <w:rFonts w:ascii="Times New Roman" w:hAnsi="Times New Roman" w:eastAsia="Times New Roman"/>
          <w:b w:val="0"/>
          <w:i w:val="0"/>
          <w:sz w:val="24"/>
        </w:rPr>
        <w:t>57. In response to paragraph 57, Caldwell denies that it failed to engage in good-faith negotiations. Its January 15 email set out a substantive settlement position, offered payment for conforming goods, requested a manufacturing accounting, and stated that Mr. Caldwell was available to discuss resolution. Meridian did not arrange the meeting or designate senior representatives required by Section 15.1.</w:t>
      </w:r>
    </w:p>
    <w:p>
      <w:pPr>
        <w:spacing w:after="120" w:line="360" w:lineRule="auto"/>
        <w:ind w:left="0"/>
      </w:pPr>
      <w:r>
        <w:rPr>
          <w:rFonts w:ascii="Times New Roman" w:hAnsi="Times New Roman" w:eastAsia="Times New Roman"/>
          <w:b w:val="0"/>
          <w:i w:val="0"/>
          <w:sz w:val="24"/>
        </w:rPr>
        <w:t>58. In response to paragraph 58, Caldwell admits that the 30-day period following Meridian’s January 8 notice elapsed without settlement. Caldwell denies that Meridian satisfied the separate requirement for designated representatives to meet and therefore denies that the contractual condition precedent was fulfilled.</w:t>
      </w:r>
    </w:p>
    <w:p>
      <w:pPr>
        <w:spacing w:after="120" w:line="360" w:lineRule="auto"/>
        <w:ind w:left="0"/>
      </w:pPr>
      <w:r>
        <w:rPr>
          <w:rFonts w:ascii="Times New Roman" w:hAnsi="Times New Roman" w:eastAsia="Times New Roman"/>
          <w:b w:val="0"/>
          <w:i w:val="0"/>
          <w:sz w:val="24"/>
        </w:rPr>
        <w:t>59. In response to paragraph 59, Caldwell denies that its conduct caused $4,730,400 in recoverable damages. The full contract price is not automatically recoverable for goods never delivered or accepted, goods rejected for nonconformity, or goods subject to a valid convenience termination. Any recovery is subject to the MSA, applicable UCC remedies, proof, mitigation, offsets, and the prohibition against double recovery.</w:t>
      </w:r>
    </w:p>
    <w:p>
      <w:pPr>
        <w:spacing w:after="120" w:line="360" w:lineRule="auto"/>
        <w:ind w:left="0"/>
      </w:pPr>
      <w:r>
        <w:rPr>
          <w:rFonts w:ascii="Times New Roman" w:hAnsi="Times New Roman" w:eastAsia="Times New Roman"/>
          <w:b w:val="0"/>
          <w:i w:val="0"/>
          <w:sz w:val="24"/>
        </w:rPr>
        <w:t>60. In response to paragraph 60, Caldwell denies that it owes $148,927.80 or continuing interest on the claimed balance. Interest is available, if at all, only on amounts properly invoiced, accepted or otherwise due, and unpaid after their contractual due dates, subject to Sections 7.3 and 7.4 and applicable law.</w:t>
      </w:r>
    </w:p>
    <w:p>
      <w:pPr>
        <w:spacing w:after="120" w:line="360" w:lineRule="auto"/>
        <w:ind w:left="0"/>
      </w:pPr>
      <w:r>
        <w:rPr>
          <w:rFonts w:ascii="Times New Roman" w:hAnsi="Times New Roman" w:eastAsia="Times New Roman"/>
          <w:b w:val="0"/>
          <w:i w:val="0"/>
          <w:sz w:val="24"/>
        </w:rPr>
        <w:t>61. In response to paragraph 61, Caldwell denies that Meridian is entitled to attorneys’ fees or costs. Under Section 15.4, fees are available to the prevailing party, not automatically to Plaintiff; Caldwell reserves its own rights under that provision.</w:t>
      </w:r>
    </w:p>
    <w:p>
      <w:pPr>
        <w:spacing w:after="120" w:line="360" w:lineRule="auto"/>
        <w:ind w:left="0"/>
      </w:pPr>
      <w:r>
        <w:rPr>
          <w:rFonts w:ascii="Times New Roman" w:hAnsi="Times New Roman" w:eastAsia="Times New Roman"/>
          <w:b w:val="0"/>
          <w:i w:val="0"/>
          <w:sz w:val="24"/>
        </w:rPr>
        <w:t>62. In response to paragraph 62, Caldwell denies that Meridian’s claimed total of $4,879,327.80 is due or recoverable.</w:t>
      </w:r>
    </w:p>
    <w:p>
      <w:pPr>
        <w:spacing w:after="120" w:line="360" w:lineRule="auto"/>
        <w:ind w:left="0"/>
      </w:pPr>
      <w:r>
        <w:rPr>
          <w:rFonts w:ascii="Times New Roman" w:hAnsi="Times New Roman" w:eastAsia="Times New Roman"/>
          <w:b w:val="0"/>
          <w:i w:val="0"/>
          <w:sz w:val="24"/>
        </w:rPr>
        <w:t>63. In response to paragraph 63, Caldwell incorporates its responses to paragraphs 1 through 62. Caldwell denies the allegations of Count I except to the extent expressly admitted below.</w:t>
      </w:r>
    </w:p>
    <w:p>
      <w:pPr>
        <w:spacing w:after="120" w:line="360" w:lineRule="auto"/>
        <w:ind w:left="0"/>
      </w:pPr>
      <w:r>
        <w:rPr>
          <w:rFonts w:ascii="Times New Roman" w:hAnsi="Times New Roman" w:eastAsia="Times New Roman"/>
          <w:b w:val="0"/>
          <w:i w:val="0"/>
          <w:sz w:val="24"/>
        </w:rPr>
        <w:t>64. In response to paragraph 64, Caldwell admits that the MSA and PO-147 were formed and governed the parties’ original transaction. The written instruments speak for themselves. Caldwell denies that this admission establishes Plaintiff’s asserted performance, damages, or entitlement to relief.</w:t>
      </w:r>
    </w:p>
    <w:p>
      <w:pPr>
        <w:spacing w:after="120" w:line="360" w:lineRule="auto"/>
        <w:ind w:left="0"/>
      </w:pPr>
      <w:r>
        <w:rPr>
          <w:rFonts w:ascii="Times New Roman" w:hAnsi="Times New Roman" w:eastAsia="Times New Roman"/>
          <w:b w:val="0"/>
          <w:i w:val="0"/>
          <w:sz w:val="24"/>
        </w:rPr>
        <w:t>65. In response to paragraph 65, Caldwell denies that Meridian performed all material obligations or was ready, willing, and able to perform in conformity with the contracts. Tranche 1 was rejected for nonconformity, Tranche 2 was tendered at an unauthorized destination, and the remaining goods were not delivered.</w:t>
      </w:r>
    </w:p>
    <w:p>
      <w:pPr>
        <w:spacing w:after="120" w:line="360" w:lineRule="auto"/>
        <w:ind w:left="0"/>
      </w:pPr>
      <w:r>
        <w:rPr>
          <w:rFonts w:ascii="Times New Roman" w:hAnsi="Times New Roman" w:eastAsia="Times New Roman"/>
          <w:b w:val="0"/>
          <w:i w:val="0"/>
          <w:sz w:val="24"/>
        </w:rPr>
        <w:t>66. In response to paragraph 66, Caldwell denies each allegation of breach. It timely invoked Section 12.1; its notice was not a repudiation; it validly invoked Section 13.2; the Tranche 2 tender was not at the specified destination; and payment is limited to amounts actually due under the MSA and POs.</w:t>
      </w:r>
    </w:p>
    <w:p>
      <w:pPr>
        <w:spacing w:after="120" w:line="360" w:lineRule="auto"/>
        <w:ind w:left="0"/>
      </w:pPr>
      <w:r>
        <w:rPr>
          <w:rFonts w:ascii="Times New Roman" w:hAnsi="Times New Roman" w:eastAsia="Times New Roman"/>
          <w:b w:val="0"/>
          <w:i w:val="0"/>
          <w:sz w:val="24"/>
        </w:rPr>
        <w:t>67. In response to paragraph 67, Caldwell denies Plaintiff’s allegations. The Project suspension and its consequences are within the broad force majeure language, and the termination for convenience was validly exercised on notice.</w:t>
      </w:r>
    </w:p>
    <w:p>
      <w:pPr>
        <w:spacing w:after="120" w:line="360" w:lineRule="auto"/>
        <w:ind w:left="0"/>
      </w:pPr>
      <w:r>
        <w:rPr>
          <w:rFonts w:ascii="Times New Roman" w:hAnsi="Times New Roman" w:eastAsia="Times New Roman"/>
          <w:b w:val="0"/>
          <w:i w:val="0"/>
          <w:sz w:val="24"/>
        </w:rPr>
        <w:t>68. In response to paragraph 68, Caldwell denies that Meridian suffered $2,560,000 in damages or that the full price of Tranches 2 and 3 is recoverable.</w:t>
      </w:r>
    </w:p>
    <w:p>
      <w:pPr>
        <w:spacing w:after="120" w:line="360" w:lineRule="auto"/>
        <w:ind w:left="0"/>
      </w:pPr>
      <w:r>
        <w:rPr>
          <w:rFonts w:ascii="Times New Roman" w:hAnsi="Times New Roman" w:eastAsia="Times New Roman"/>
          <w:b w:val="0"/>
          <w:i w:val="0"/>
          <w:sz w:val="24"/>
        </w:rPr>
        <w:t>69. In response to paragraph 69, Caldwell denies Plaintiff’s entitlement to contractual interest, fees, or costs as alleged.</w:t>
      </w:r>
    </w:p>
    <w:p>
      <w:pPr>
        <w:spacing w:after="120" w:line="360" w:lineRule="auto"/>
        <w:ind w:left="0"/>
      </w:pPr>
      <w:r>
        <w:rPr>
          <w:rFonts w:ascii="Times New Roman" w:hAnsi="Times New Roman" w:eastAsia="Times New Roman"/>
          <w:b w:val="0"/>
          <w:i w:val="0"/>
          <w:sz w:val="24"/>
        </w:rPr>
        <w:t>70. In response to paragraph 70, Caldwell incorporates its responses to paragraphs 1 through 62 and denies the allegations of Count II except to the extent expressly admitted below.</w:t>
      </w:r>
    </w:p>
    <w:p>
      <w:pPr>
        <w:spacing w:after="120" w:line="360" w:lineRule="auto"/>
        <w:ind w:left="0"/>
      </w:pPr>
      <w:r>
        <w:rPr>
          <w:rFonts w:ascii="Times New Roman" w:hAnsi="Times New Roman" w:eastAsia="Times New Roman"/>
          <w:b w:val="0"/>
          <w:i w:val="0"/>
          <w:sz w:val="24"/>
        </w:rPr>
        <w:t>71. In response to paragraph 71, Caldwell admits that the MSA and PO-163 were formed and governed the original transaction. The written instruments speak for themselves.</w:t>
      </w:r>
    </w:p>
    <w:p>
      <w:pPr>
        <w:spacing w:after="120" w:line="360" w:lineRule="auto"/>
        <w:ind w:left="0"/>
      </w:pPr>
      <w:r>
        <w:rPr>
          <w:rFonts w:ascii="Times New Roman" w:hAnsi="Times New Roman" w:eastAsia="Times New Roman"/>
          <w:b w:val="0"/>
          <w:i w:val="0"/>
          <w:sz w:val="24"/>
        </w:rPr>
        <w:t>72. In response to paragraph 72, Caldwell denies that Meridian performed all material obligations or was ready, willing, and able to tender conforming goods at the required destination and time.</w:t>
      </w:r>
    </w:p>
    <w:p>
      <w:pPr>
        <w:spacing w:after="120" w:line="360" w:lineRule="auto"/>
        <w:ind w:left="0"/>
      </w:pPr>
      <w:r>
        <w:rPr>
          <w:rFonts w:ascii="Times New Roman" w:hAnsi="Times New Roman" w:eastAsia="Times New Roman"/>
          <w:b w:val="0"/>
          <w:i w:val="0"/>
          <w:sz w:val="24"/>
        </w:rPr>
        <w:t>73. In response to paragraph 73, Caldwell denies each allegation of breach for the reasons stated above, including the force majeure notice, valid termination, and absence of a conforming tender or acceptance.</w:t>
      </w:r>
    </w:p>
    <w:p>
      <w:pPr>
        <w:spacing w:after="120" w:line="360" w:lineRule="auto"/>
        <w:ind w:left="0"/>
      </w:pPr>
      <w:r>
        <w:rPr>
          <w:rFonts w:ascii="Times New Roman" w:hAnsi="Times New Roman" w:eastAsia="Times New Roman"/>
          <w:b w:val="0"/>
          <w:i w:val="0"/>
          <w:sz w:val="24"/>
        </w:rPr>
        <w:t>74. In response to paragraph 74, Caldwell denies Plaintiff’s allegations and refers to its responses concerning force majeure and termination for convenience.</w:t>
      </w:r>
    </w:p>
    <w:p>
      <w:pPr>
        <w:spacing w:after="120" w:line="360" w:lineRule="auto"/>
        <w:ind w:left="0"/>
      </w:pPr>
      <w:r>
        <w:rPr>
          <w:rFonts w:ascii="Times New Roman" w:hAnsi="Times New Roman" w:eastAsia="Times New Roman"/>
          <w:b w:val="0"/>
          <w:i w:val="0"/>
          <w:sz w:val="24"/>
        </w:rPr>
        <w:t>75. In response to paragraph 75, Caldwell denies that Plaintiff is entitled to $890,400 or the full contract price for PO-163. Any amount is limited by Section 13.2, proof of conforming manufacture, mitigation, and applicable law.</w:t>
      </w:r>
    </w:p>
    <w:p>
      <w:pPr>
        <w:spacing w:after="120" w:line="360" w:lineRule="auto"/>
        <w:ind w:left="0"/>
      </w:pPr>
      <w:r>
        <w:rPr>
          <w:rFonts w:ascii="Times New Roman" w:hAnsi="Times New Roman" w:eastAsia="Times New Roman"/>
          <w:b w:val="0"/>
          <w:i w:val="0"/>
          <w:sz w:val="24"/>
        </w:rPr>
        <w:t>76. In response to paragraph 76, Caldwell denies Plaintiff’s entitlement to interest, attorneys’ fees, or costs as alleged.</w:t>
      </w:r>
    </w:p>
    <w:p>
      <w:pPr>
        <w:spacing w:after="120" w:line="360" w:lineRule="auto"/>
        <w:ind w:left="0"/>
      </w:pPr>
      <w:r>
        <w:rPr>
          <w:rFonts w:ascii="Times New Roman" w:hAnsi="Times New Roman" w:eastAsia="Times New Roman"/>
          <w:b w:val="0"/>
          <w:i w:val="0"/>
          <w:sz w:val="24"/>
        </w:rPr>
        <w:t>77. In response to paragraph 77, Caldwell incorporates its responses to paragraphs 1 through 62 and denies Count III except to the extent expressly admitted below.</w:t>
      </w:r>
    </w:p>
    <w:p>
      <w:pPr>
        <w:spacing w:after="120" w:line="360" w:lineRule="auto"/>
        <w:ind w:left="0"/>
      </w:pPr>
      <w:r>
        <w:rPr>
          <w:rFonts w:ascii="Times New Roman" w:hAnsi="Times New Roman" w:eastAsia="Times New Roman"/>
          <w:b w:val="0"/>
          <w:i w:val="0"/>
          <w:sz w:val="24"/>
        </w:rPr>
        <w:t>78. In response to paragraph 78, Caldwell admits that Meridian delivered 800 Tranche 1 valves to the Project jobsite on September 12, 2024, before the stated delivery deadline.</w:t>
      </w:r>
    </w:p>
    <w:p>
      <w:pPr>
        <w:spacing w:after="120" w:line="360" w:lineRule="auto"/>
        <w:ind w:left="0"/>
      </w:pPr>
      <w:r>
        <w:rPr>
          <w:rFonts w:ascii="Times New Roman" w:hAnsi="Times New Roman" w:eastAsia="Times New Roman"/>
          <w:b w:val="0"/>
          <w:i w:val="0"/>
          <w:sz w:val="24"/>
        </w:rPr>
        <w:t>79. In response to paragraph 79, Caldwell denies that its September 27 rejection was invalid. It was a timely, detailed written notice actually received and answered by Meridian within the 15-business-day inspection period. Caldwell’s alternative defenses concerning waiver, substantial compliance, and estoppel are preserved.</w:t>
      </w:r>
    </w:p>
    <w:p>
      <w:pPr>
        <w:spacing w:after="120" w:line="360" w:lineRule="auto"/>
        <w:ind w:left="0"/>
      </w:pPr>
      <w:r>
        <w:rPr>
          <w:rFonts w:ascii="Times New Roman" w:hAnsi="Times New Roman" w:eastAsia="Times New Roman"/>
          <w:b w:val="0"/>
          <w:i w:val="0"/>
          <w:sz w:val="24"/>
        </w:rPr>
        <w:t>80. In response to paragraph 80, Caldwell denies that all 800 units were deemed accepted or that $1,280,000 became due. Caldwell rejected the shipment after inspection found 170 defective units, a defect rate exceeding the MSA’s AQL.</w:t>
      </w:r>
    </w:p>
    <w:p>
      <w:pPr>
        <w:spacing w:after="120" w:line="360" w:lineRule="auto"/>
        <w:ind w:left="0"/>
      </w:pPr>
      <w:r>
        <w:rPr>
          <w:rFonts w:ascii="Times New Roman" w:hAnsi="Times New Roman" w:eastAsia="Times New Roman"/>
          <w:b w:val="0"/>
          <w:i w:val="0"/>
          <w:sz w:val="24"/>
        </w:rPr>
        <w:t>81. In response to paragraph 81, Caldwell admits that Mr. Caldwell acknowledged 630 conforming units and that the units were not returned. Caldwell denies that it accepted or retained the 170 rejected units as conforming; those units were preserved in their original crates pending Meridian’s response and disposition instructions.</w:t>
      </w:r>
    </w:p>
    <w:p>
      <w:pPr>
        <w:spacing w:after="120" w:line="360" w:lineRule="auto"/>
        <w:ind w:left="0"/>
      </w:pPr>
      <w:r>
        <w:rPr>
          <w:rFonts w:ascii="Times New Roman" w:hAnsi="Times New Roman" w:eastAsia="Times New Roman"/>
          <w:b w:val="0"/>
          <w:i w:val="0"/>
          <w:sz w:val="24"/>
        </w:rPr>
        <w:t>82. In response to paragraph 82, Caldwell denies that all units conformed or that any defects were caused by Caldwell. Its inspection identified micro-cracking and bore dimensions outside PO tolerances. Caldwell’s rejection notice stated its inspection methodology and offered the supporting records and measurements.</w:t>
      </w:r>
    </w:p>
    <w:p>
      <w:pPr>
        <w:spacing w:after="120" w:line="360" w:lineRule="auto"/>
        <w:ind w:left="0"/>
      </w:pPr>
      <w:r>
        <w:rPr>
          <w:rFonts w:ascii="Times New Roman" w:hAnsi="Times New Roman" w:eastAsia="Times New Roman"/>
          <w:b w:val="0"/>
          <w:i w:val="0"/>
          <w:sz w:val="24"/>
        </w:rPr>
        <w:t>83. In response to paragraph 83, Caldwell denies that Meridian suffered $1,280,000 in recoverable damages for Tranche 1. Caldwell acknowledges only that it identified 630 units as conforming and offered to pay $960,000 for those units; it disputes liability for the rejected units and all interest and other relief.</w:t>
      </w:r>
    </w:p>
    <w:p>
      <w:pPr>
        <w:spacing w:after="120" w:line="360" w:lineRule="auto"/>
        <w:ind w:left="0"/>
      </w:pPr>
      <w:r>
        <w:rPr>
          <w:rFonts w:ascii="Times New Roman" w:hAnsi="Times New Roman" w:eastAsia="Times New Roman"/>
          <w:b w:val="0"/>
          <w:i w:val="0"/>
          <w:sz w:val="24"/>
        </w:rPr>
        <w:t>84. In response to paragraph 84, Caldwell denies Plaintiff’s entitlement to interest, attorneys’ fees, or costs as alleged.</w:t>
      </w:r>
    </w:p>
    <w:p>
      <w:pPr>
        <w:spacing w:after="120" w:line="360" w:lineRule="auto"/>
        <w:ind w:left="0"/>
      </w:pPr>
      <w:r>
        <w:rPr>
          <w:rFonts w:ascii="Times New Roman" w:hAnsi="Times New Roman" w:eastAsia="Times New Roman"/>
          <w:b w:val="0"/>
          <w:i w:val="0"/>
          <w:sz w:val="24"/>
        </w:rPr>
        <w:t>85. In response to paragraph 85, Caldwell incorporates its responses to paragraphs 1 through 62 and denies Count IV except to the extent expressly admitted below.</w:t>
      </w:r>
    </w:p>
    <w:p>
      <w:pPr>
        <w:spacing w:after="120" w:line="360" w:lineRule="auto"/>
        <w:ind w:left="0"/>
      </w:pPr>
      <w:r>
        <w:rPr>
          <w:rFonts w:ascii="Times New Roman" w:hAnsi="Times New Roman" w:eastAsia="Times New Roman"/>
          <w:b w:val="0"/>
          <w:i w:val="0"/>
          <w:sz w:val="24"/>
        </w:rPr>
        <w:t>86. In response to paragraph 86, Caldwell denies that Plaintiff may recover in unjust enrichment. The MSA and POs govern the transactions and provide express remedies. Caldwell denies that those contracts are unenforceable or inapplicable.</w:t>
      </w:r>
    </w:p>
    <w:p>
      <w:pPr>
        <w:spacing w:after="120" w:line="360" w:lineRule="auto"/>
        <w:ind w:left="0"/>
      </w:pPr>
      <w:r>
        <w:rPr>
          <w:rFonts w:ascii="Times New Roman" w:hAnsi="Times New Roman" w:eastAsia="Times New Roman"/>
          <w:b w:val="0"/>
          <w:i w:val="0"/>
          <w:sz w:val="24"/>
        </w:rPr>
        <w:t>87. In response to paragraph 87, Caldwell admits that Meridian delivered 800 custom butterfly valves to the Project jobsite. Caldwell denies that all 800 were conforming or that it received an unjust benefit; it rejected the shipment based on identified defects and held it pending resolution.</w:t>
      </w:r>
    </w:p>
    <w:p>
      <w:pPr>
        <w:spacing w:after="120" w:line="360" w:lineRule="auto"/>
        <w:ind w:left="0"/>
      </w:pPr>
      <w:r>
        <w:rPr>
          <w:rFonts w:ascii="Times New Roman" w:hAnsi="Times New Roman" w:eastAsia="Times New Roman"/>
          <w:b w:val="0"/>
          <w:i w:val="0"/>
          <w:sz w:val="24"/>
        </w:rPr>
        <w:t>88. In response to paragraph 88, Caldwell admits that its personnel inspected the units and that Mr. Caldwell acknowledged 630 conforming units. Caldwell denies that this establishes knowledge or acceptance of a benefit from the 170 rejected units.</w:t>
      </w:r>
    </w:p>
    <w:p>
      <w:pPr>
        <w:spacing w:after="120" w:line="360" w:lineRule="auto"/>
        <w:ind w:left="0"/>
      </w:pPr>
      <w:r>
        <w:rPr>
          <w:rFonts w:ascii="Times New Roman" w:hAnsi="Times New Roman" w:eastAsia="Times New Roman"/>
          <w:b w:val="0"/>
          <w:i w:val="0"/>
          <w:sz w:val="24"/>
        </w:rPr>
        <w:t>89. In response to paragraph 89, Caldwell denies that it retained an unjust benefit without compensation. It offered to pay $960,000 for the 630 conforming units and sought remediation of the rejected units.</w:t>
      </w:r>
    </w:p>
    <w:p>
      <w:pPr>
        <w:spacing w:after="120" w:line="360" w:lineRule="auto"/>
        <w:ind w:left="0"/>
      </w:pPr>
      <w:r>
        <w:rPr>
          <w:rFonts w:ascii="Times New Roman" w:hAnsi="Times New Roman" w:eastAsia="Times New Roman"/>
          <w:b w:val="0"/>
          <w:i w:val="0"/>
          <w:sz w:val="24"/>
        </w:rPr>
        <w:t>90. In response to paragraph 90, Caldwell denies that retention of the rejected units under the parties’ contract is unjust or that Plaintiff is entitled to $1,280,000 in restitution.</w:t>
      </w:r>
    </w:p>
    <w:p>
      <w:pPr>
        <w:spacing w:after="120" w:line="360" w:lineRule="auto"/>
        <w:ind w:left="0"/>
      </w:pPr>
      <w:r>
        <w:rPr>
          <w:rFonts w:ascii="Times New Roman" w:hAnsi="Times New Roman" w:eastAsia="Times New Roman"/>
          <w:b w:val="0"/>
          <w:i w:val="0"/>
          <w:sz w:val="24"/>
        </w:rPr>
        <w:t>91. In response to paragraph 91, Caldwell denies that Plaintiff is entitled to restitution, interest, attorneys’ fees, or costs as alleged.</w:t>
      </w:r>
    </w:p>
    <w:p>
      <w:pPr>
        <w:spacing w:before="160" w:after="120" w:line="240" w:lineRule="auto"/>
        <w:jc w:val="center"/>
      </w:pPr>
      <w:r>
        <w:rPr>
          <w:rFonts w:ascii="Times New Roman" w:hAnsi="Times New Roman" w:eastAsia="Times New Roman"/>
          <w:b/>
          <w:i w:val="0"/>
          <w:sz w:val="24"/>
        </w:rPr>
        <w:t>AFFIRMATIVE AND OTHER DEFENSES</w:t>
      </w:r>
    </w:p>
    <w:p>
      <w:pPr>
        <w:spacing w:after="120" w:line="360" w:lineRule="auto"/>
        <w:ind w:left="0"/>
      </w:pPr>
      <w:r>
        <w:rPr>
          <w:rFonts w:ascii="Times New Roman" w:hAnsi="Times New Roman" w:eastAsia="Times New Roman"/>
          <w:b w:val="0"/>
          <w:i w:val="0"/>
          <w:sz w:val="24"/>
        </w:rPr>
        <w:t>Without assuming any burden of proof that would otherwise rest on Plaintiff, and reserving the right to amend as permitted by the Federal Rules of Civil Procedure and the evidence developed in discovery, Caldwell asserts the following defenses:</w:t>
      </w:r>
    </w:p>
    <w:p>
      <w:pPr>
        <w:spacing w:before="80" w:after="60" w:line="360" w:lineRule="auto"/>
      </w:pPr>
      <w:r>
        <w:rPr>
          <w:rFonts w:ascii="Times New Roman" w:hAnsi="Times New Roman" w:eastAsia="Times New Roman"/>
          <w:b/>
          <w:i w:val="0"/>
          <w:sz w:val="24"/>
        </w:rPr>
        <w:t>First Defense — Lack of Subject-Matter Jurisdiction (No Complete Diversity).</w:t>
      </w:r>
    </w:p>
    <w:p>
      <w:pPr>
        <w:spacing w:after="140" w:line="360" w:lineRule="auto"/>
        <w:ind w:left="360"/>
      </w:pPr>
      <w:r>
        <w:rPr>
          <w:rFonts w:ascii="Times New Roman" w:hAnsi="Times New Roman" w:eastAsia="Times New Roman"/>
          <w:b w:val="0"/>
          <w:i w:val="0"/>
          <w:sz w:val="24"/>
        </w:rPr>
        <w:t>The Complaint fails to establish diversity jurisdiction under 28 U.S.C. § 1332. Plaintiff alleges that it is incorporated in Delaware and has its principal place of business in Savannah, Georgia. A corporation is a citizen of both its state of incorporation and the state of its principal place of business. Caldwell is a Georgia citizen, including because its members are citizens of Georgia. The parties therefore share Georgia citizenship, and complete diversity is absent. The amount in controversy cannot cure that jurisdictional defect. The Court should dismiss the action without prejudice under Rule 12(h)(3).</w:t>
      </w:r>
    </w:p>
    <w:p>
      <w:pPr>
        <w:spacing w:before="80" w:after="60" w:line="360" w:lineRule="auto"/>
      </w:pPr>
      <w:r>
        <w:rPr>
          <w:rFonts w:ascii="Times New Roman" w:hAnsi="Times New Roman" w:eastAsia="Times New Roman"/>
          <w:b/>
          <w:i w:val="0"/>
          <w:sz w:val="24"/>
        </w:rPr>
        <w:t>Second Defense — Failure of a Contractual Condition Precedent.</w:t>
      </w:r>
    </w:p>
    <w:p>
      <w:pPr>
        <w:spacing w:after="140" w:line="360" w:lineRule="auto"/>
        <w:ind w:left="360"/>
      </w:pPr>
      <w:r>
        <w:rPr>
          <w:rFonts w:ascii="Times New Roman" w:hAnsi="Times New Roman" w:eastAsia="Times New Roman"/>
          <w:b w:val="0"/>
          <w:i w:val="0"/>
          <w:sz w:val="24"/>
        </w:rPr>
        <w:t>Section 15.1 of the MSA requires the parties, before suit, to engage in good-faith negotiations for at least 30 days; each party must designate a senior representative within five business days, and the representatives must meet at least once. Meridian alleges that the only response was Mr. Caldwell’s January 15 email and that no meeting occurred. Caldwell offered to discuss resolution; Meridian did not designate a representative or arrange the required meeting. Meridian therefore did not satisfy the contractual pre-suit procedure, and its claims are premature. Caldwell gives notice under Rule 9(c) that the condition precedent did not occur.</w:t>
      </w:r>
    </w:p>
    <w:p>
      <w:pPr>
        <w:spacing w:before="80" w:after="60" w:line="360" w:lineRule="auto"/>
      </w:pPr>
      <w:r>
        <w:rPr>
          <w:rFonts w:ascii="Times New Roman" w:hAnsi="Times New Roman" w:eastAsia="Times New Roman"/>
          <w:b/>
          <w:i w:val="0"/>
          <w:sz w:val="24"/>
        </w:rPr>
        <w:t>Third Defense — Force Majeure.</w:t>
      </w:r>
    </w:p>
    <w:p>
      <w:pPr>
        <w:spacing w:after="140" w:line="360" w:lineRule="auto"/>
        <w:ind w:left="360"/>
      </w:pPr>
      <w:r>
        <w:rPr>
          <w:rFonts w:ascii="Times New Roman" w:hAnsi="Times New Roman" w:eastAsia="Times New Roman"/>
          <w:b w:val="0"/>
          <w:i w:val="0"/>
          <w:sz w:val="24"/>
        </w:rPr>
        <w:t>The October 2, 2024 Tidewater suspension halted all Project work, required demobilization, and prohibited further material deliveries to the jobsite indefinitely. Caldwell gave written notice to Meridian by overnight courier on October 9, within the MSA’s 10-business-day period, described the affected obligations and event, and requested a pause in further production. The suspension and resulting inability to receive materials at the only authorized jobsite were beyond Caldwell’s reasonable control within the broad terms of Section 12.1. To the extent applicable, the provision excuses or suspends affected non-monetary performance obligations during the event. This defense does not seek to excuse a payment obligation for goods accepted or otherwise properly due.</w:t>
      </w:r>
    </w:p>
    <w:p>
      <w:pPr>
        <w:spacing w:before="80" w:after="60" w:line="360" w:lineRule="auto"/>
      </w:pPr>
      <w:r>
        <w:rPr>
          <w:rFonts w:ascii="Times New Roman" w:hAnsi="Times New Roman" w:eastAsia="Times New Roman"/>
          <w:b/>
          <w:i w:val="0"/>
          <w:sz w:val="24"/>
        </w:rPr>
        <w:t>Fourth Defense — Valid Termination for Convenience; Contractual Limit on Termination Damages.</w:t>
      </w:r>
    </w:p>
    <w:p>
      <w:pPr>
        <w:spacing w:after="140" w:line="360" w:lineRule="auto"/>
        <w:ind w:left="360"/>
      </w:pPr>
      <w:r>
        <w:rPr>
          <w:rFonts w:ascii="Times New Roman" w:hAnsi="Times New Roman" w:eastAsia="Times New Roman"/>
          <w:b w:val="0"/>
          <w:i w:val="0"/>
          <w:sz w:val="24"/>
        </w:rPr>
        <w:t>Caldwell gave written notice on November 12, 2024, terminating the remaining portions of PO-147 and PO-163 under Section 13.2, with an effective date of December 12, 2024. The MSA grants either party the right to terminate an individual Purchase Order on 30 days’ notice and does not condition that right on the terminating party being “in good standing.” The notice expressly preserved Caldwell’s force majeure position and exercised termination alternatively. Following termination, any payment is limited to conforming goods actually manufactured or in process as of the notice date and reasonable, documented, non-cancellable raw-material costs, subject to mitigation and the applicable Purchase Order value cap. Caldwell requested the supporting inventory, conformity records, and accounting.</w:t>
      </w:r>
    </w:p>
    <w:p>
      <w:pPr>
        <w:spacing w:before="80" w:after="60" w:line="360" w:lineRule="auto"/>
      </w:pPr>
      <w:r>
        <w:rPr>
          <w:rFonts w:ascii="Times New Roman" w:hAnsi="Times New Roman" w:eastAsia="Times New Roman"/>
          <w:b/>
          <w:i w:val="0"/>
          <w:sz w:val="24"/>
        </w:rPr>
        <w:t>Fifth Defense — No Anticipatory Repudiation.</w:t>
      </w:r>
    </w:p>
    <w:p>
      <w:pPr>
        <w:spacing w:after="140" w:line="360" w:lineRule="auto"/>
        <w:ind w:left="360"/>
      </w:pPr>
      <w:r>
        <w:rPr>
          <w:rFonts w:ascii="Times New Roman" w:hAnsi="Times New Roman" w:eastAsia="Times New Roman"/>
          <w:b w:val="0"/>
          <w:i w:val="0"/>
          <w:sz w:val="24"/>
        </w:rPr>
        <w:t>The October 9 notice did not unequivocally and unconditionally renounce Caldwell’s contractual obligations. It invoked the MSA’s force majeure clause based on an indefinite jobsite suspension, described the resulting temporary inability to receive deliveries, requested that Meridian suspend further production, and reserved rights. A conditional request for suspension during a force majeure event is not an absolute refusal to perform. The Complaint therefore cannot treat the October notice as a repudiation that extinguished Caldwell’s subsequent Section 13.2 termination right.</w:t>
      </w:r>
    </w:p>
    <w:p>
      <w:pPr>
        <w:spacing w:before="80" w:after="60" w:line="360" w:lineRule="auto"/>
      </w:pPr>
      <w:r>
        <w:rPr>
          <w:rFonts w:ascii="Times New Roman" w:hAnsi="Times New Roman" w:eastAsia="Times New Roman"/>
          <w:b/>
          <w:i w:val="0"/>
          <w:sz w:val="24"/>
        </w:rPr>
        <w:t>Sixth Defense — Failure to Tender at Contractually Required Destination.</w:t>
      </w:r>
    </w:p>
    <w:p>
      <w:pPr>
        <w:spacing w:after="140" w:line="360" w:lineRule="auto"/>
        <w:ind w:left="360"/>
      </w:pPr>
      <w:r>
        <w:rPr>
          <w:rFonts w:ascii="Times New Roman" w:hAnsi="Times New Roman" w:eastAsia="Times New Roman"/>
          <w:b w:val="0"/>
          <w:i w:val="0"/>
          <w:sz w:val="24"/>
        </w:rPr>
        <w:t>PO-147 specifies delivery to the Savannah River Project jobsite and expressly provides that no delivery may be made to an alternative location without Caldwell’s prior written authorization. Caldwell did not authorize delivery to its Atlanta warehouse. Meridian’s November 15, 2024 attempt to deliver Tranche 2 to that warehouse was not a conforming tender under PO-147 and did not pass title or risk of loss, constitute acceptance, or trigger payment. PO-163 likewise required delivery to the Project jobsite, and no conforming tender of those goods is alleged.</w:t>
      </w:r>
    </w:p>
    <w:p>
      <w:pPr>
        <w:spacing w:before="80" w:after="60" w:line="360" w:lineRule="auto"/>
      </w:pPr>
      <w:r>
        <w:rPr>
          <w:rFonts w:ascii="Times New Roman" w:hAnsi="Times New Roman" w:eastAsia="Times New Roman"/>
          <w:b/>
          <w:i w:val="0"/>
          <w:sz w:val="24"/>
        </w:rPr>
        <w:t>Seventh Defense — Nonconforming Tranche 1 Goods; Valid Rejection and Warranty Breach.</w:t>
      </w:r>
    </w:p>
    <w:p>
      <w:pPr>
        <w:spacing w:after="140" w:line="360" w:lineRule="auto"/>
        <w:ind w:left="360"/>
      </w:pPr>
      <w:r>
        <w:rPr>
          <w:rFonts w:ascii="Times New Roman" w:hAnsi="Times New Roman" w:eastAsia="Times New Roman"/>
          <w:b w:val="0"/>
          <w:i w:val="0"/>
          <w:sz w:val="24"/>
        </w:rPr>
        <w:t>Caldwell’s inspection identified micro-cracking at the disc-to-stem weld joints in 127 units and bore dimensions outside the express PO tolerance in 43 different units, for 170 defective units out of 800 (21.25%). That rate exceeds the 2% AQL. MSA Section 4.4 allows Caldwell, in its discretion, to reject the entire shipment when a shipment’s defect rate exceeds the AQL. Caldwell provided a detailed written rejection within the 15-business-day inspection period and expressly rejected the entire shipment. Meridian’s actual receipt and substantive response, the PO’s designated quality contact, and the parties’ conduct support substantial compliance, waiver, and/or estoppel as to the notice method, to the extent that issue is disputed. Plaintiff is not entitled to the price of the rejected goods.</w:t>
      </w:r>
    </w:p>
    <w:p>
      <w:pPr>
        <w:spacing w:before="80" w:after="60" w:line="360" w:lineRule="auto"/>
      </w:pPr>
      <w:r>
        <w:rPr>
          <w:rFonts w:ascii="Times New Roman" w:hAnsi="Times New Roman" w:eastAsia="Times New Roman"/>
          <w:b/>
          <w:i w:val="0"/>
          <w:sz w:val="24"/>
        </w:rPr>
        <w:t>Eighth Defense — Breach by Plaintiff / Failure of Performance.</w:t>
      </w:r>
    </w:p>
    <w:p>
      <w:pPr>
        <w:spacing w:after="140" w:line="360" w:lineRule="auto"/>
        <w:ind w:left="360"/>
      </w:pPr>
      <w:r>
        <w:rPr>
          <w:rFonts w:ascii="Times New Roman" w:hAnsi="Times New Roman" w:eastAsia="Times New Roman"/>
          <w:b w:val="0"/>
          <w:i w:val="0"/>
          <w:sz w:val="24"/>
        </w:rPr>
        <w:t>Plaintiff’s alleged failure to supply conforming goods under PO-147, including the weld and dimensional defects identified in Caldwell’s timely rejection notice, and its failure to tender Tranche 2 at the specified destination, constitute breaches or failures of performance that bar or reduce the relief Plaintiff seeks. Caldwell reserves all rights to rely on the MSA’s warranty, inspection, replacement, repair, and rejection provisions.</w:t>
      </w:r>
    </w:p>
    <w:p>
      <w:pPr>
        <w:spacing w:before="80" w:after="60" w:line="360" w:lineRule="auto"/>
      </w:pPr>
      <w:r>
        <w:rPr>
          <w:rFonts w:ascii="Times New Roman" w:hAnsi="Times New Roman" w:eastAsia="Times New Roman"/>
          <w:b/>
          <w:i w:val="0"/>
          <w:sz w:val="24"/>
        </w:rPr>
        <w:t>Ninth Defense — No Mature Payment Obligation; Disputed Amounts and Invoicing.</w:t>
      </w:r>
    </w:p>
    <w:p>
      <w:pPr>
        <w:spacing w:after="140" w:line="360" w:lineRule="auto"/>
        <w:ind w:left="360"/>
      </w:pPr>
      <w:r>
        <w:rPr>
          <w:rFonts w:ascii="Times New Roman" w:hAnsi="Times New Roman" w:eastAsia="Times New Roman"/>
          <w:b w:val="0"/>
          <w:i w:val="0"/>
          <w:sz w:val="24"/>
        </w:rPr>
        <w:t>Under Sections 6 and 7 of the MSA, payment is due only for accepted goods (or goods deemed accepted) following the contractually applicable payment period and proper invoicing. PO-147 further requires invoices to identify the PO and tranche and provides that the payment period does not begin until a corrected invoice containing required references is received. Plaintiff must prove valid invoices, acceptance or deemed acceptance, and the due date for each amount. Amounts for rejected goods and undelivered goods are not accepted invoice balances. Any bona fide disputed amount is subject to Section 7.4, including its interest and payment terms.</w:t>
      </w:r>
    </w:p>
    <w:p>
      <w:pPr>
        <w:spacing w:before="80" w:after="60" w:line="360" w:lineRule="auto"/>
      </w:pPr>
      <w:r>
        <w:rPr>
          <w:rFonts w:ascii="Times New Roman" w:hAnsi="Times New Roman" w:eastAsia="Times New Roman"/>
          <w:b/>
          <w:i w:val="0"/>
          <w:sz w:val="24"/>
        </w:rPr>
        <w:t>Tenth Defense — Failure to Mitigate; Avoidable Loss; UCC Remedies.</w:t>
      </w:r>
    </w:p>
    <w:p>
      <w:pPr>
        <w:spacing w:after="140" w:line="360" w:lineRule="auto"/>
        <w:ind w:left="360"/>
      </w:pPr>
      <w:r>
        <w:rPr>
          <w:rFonts w:ascii="Times New Roman" w:hAnsi="Times New Roman" w:eastAsia="Times New Roman"/>
          <w:b w:val="0"/>
          <w:i w:val="0"/>
          <w:sz w:val="24"/>
        </w:rPr>
        <w:t>Plaintiff seeks the full contract prices for custom goods that it says remain in its possession or were never delivered, without adequately accounting for resale, reuse, salvage, costs saved, raw materials recoverable or usable for other orders, or other mitigation. Under the MSA and Georgia’s Uniform Commercial Code, including O.C.G.A. §§ 11-2-703, 11-2-706, 11-2-708, and 11-2-709, any recovery must be based on the applicable remedy and proved loss, reduced by amounts avoided or reasonably avoidable. Recovery of the price is available only under the statutory conditions; Plaintiff may not recover the full contract price where an alternative remedy applies or obtain a double recovery while retaining goods with value.</w:t>
      </w:r>
    </w:p>
    <w:p>
      <w:pPr>
        <w:spacing w:before="80" w:after="60" w:line="360" w:lineRule="auto"/>
      </w:pPr>
      <w:r>
        <w:rPr>
          <w:rFonts w:ascii="Times New Roman" w:hAnsi="Times New Roman" w:eastAsia="Times New Roman"/>
          <w:b/>
          <w:i w:val="0"/>
          <w:sz w:val="24"/>
        </w:rPr>
        <w:t>Eleventh Defense — Contractual Exclusions and Liability Cap.</w:t>
      </w:r>
    </w:p>
    <w:p>
      <w:pPr>
        <w:spacing w:after="140" w:line="360" w:lineRule="auto"/>
        <w:ind w:left="360"/>
      </w:pPr>
      <w:r>
        <w:rPr>
          <w:rFonts w:ascii="Times New Roman" w:hAnsi="Times New Roman" w:eastAsia="Times New Roman"/>
          <w:b w:val="0"/>
          <w:i w:val="0"/>
          <w:sz w:val="24"/>
        </w:rPr>
        <w:t>Any recovery is subject to MSA Section 16.1, which excludes indirect, incidental, special, and consequential damages, and Section 16.2, which limits aggregate liability to the stated contractual cap. Plaintiff may not recover excluded damages or amounts beyond the applicable limitation, and must establish any asserted exception to those provisions.</w:t>
      </w:r>
    </w:p>
    <w:p>
      <w:pPr>
        <w:spacing w:before="80" w:after="60" w:line="360" w:lineRule="auto"/>
      </w:pPr>
      <w:r>
        <w:rPr>
          <w:rFonts w:ascii="Times New Roman" w:hAnsi="Times New Roman" w:eastAsia="Times New Roman"/>
          <w:b/>
          <w:i w:val="0"/>
          <w:sz w:val="24"/>
        </w:rPr>
        <w:t>Twelfth Defense — Interest Not Due as Claimed.</w:t>
      </w:r>
    </w:p>
    <w:p>
      <w:pPr>
        <w:spacing w:after="140" w:line="360" w:lineRule="auto"/>
        <w:ind w:left="360"/>
      </w:pPr>
      <w:r>
        <w:rPr>
          <w:rFonts w:ascii="Times New Roman" w:hAnsi="Times New Roman" w:eastAsia="Times New Roman"/>
          <w:b w:val="0"/>
          <w:i w:val="0"/>
          <w:sz w:val="24"/>
        </w:rPr>
        <w:t>Section 7.3 permits interest only on amounts not paid when due, from the date payment was due, at 1.5% per month or the maximum rate permitted by law, whichever is less; it does not authorize monthly compounding. The MSA does not provide for automatic acceleration of the entire price of undelivered goods or interest on amounts not accepted, not properly invoiced, or not yet due. Section 7.4 also addresses good-faith disputed invoice amounts. Plaintiff has not established the claimed $148,927.80, the applicable due dates, any contractual basis for acceleration or compounding, or a basis for continuing interest on the entire alleged principal.</w:t>
      </w:r>
    </w:p>
    <w:p>
      <w:pPr>
        <w:spacing w:before="80" w:after="60" w:line="360" w:lineRule="auto"/>
      </w:pPr>
      <w:r>
        <w:rPr>
          <w:rFonts w:ascii="Times New Roman" w:hAnsi="Times New Roman" w:eastAsia="Times New Roman"/>
          <w:b/>
          <w:i w:val="0"/>
          <w:sz w:val="24"/>
        </w:rPr>
        <w:t>Thirteenth Defense — Unjust Enrichment Barred by Express Contract; No Double Recovery.</w:t>
      </w:r>
    </w:p>
    <w:p>
      <w:pPr>
        <w:spacing w:after="140" w:line="360" w:lineRule="auto"/>
        <w:ind w:left="360"/>
      </w:pPr>
      <w:r>
        <w:rPr>
          <w:rFonts w:ascii="Times New Roman" w:hAnsi="Times New Roman" w:eastAsia="Times New Roman"/>
          <w:b w:val="0"/>
          <w:i w:val="0"/>
          <w:sz w:val="24"/>
        </w:rPr>
        <w:t>The MSA and accepted Purchase Orders govern the parties’ dealings and provide express rights and remedies, precluding an unjust-enrichment recovery where the contracts are enforceable and applicable. In all events, Count IV is expressly pleaded in the alternative and cannot yield a duplicative recovery of the same Tranche 1 value sought under Count III or a recovery exceeding the value, if any, of a benefit actually retained.</w:t>
      </w:r>
    </w:p>
    <w:p>
      <w:pPr>
        <w:spacing w:before="80" w:after="60" w:line="360" w:lineRule="auto"/>
      </w:pPr>
      <w:r>
        <w:rPr>
          <w:rFonts w:ascii="Times New Roman" w:hAnsi="Times New Roman" w:eastAsia="Times New Roman"/>
          <w:b/>
          <w:i w:val="0"/>
          <w:sz w:val="24"/>
        </w:rPr>
        <w:t>Fourteenth Defense — Offset and Recoupment.</w:t>
      </w:r>
    </w:p>
    <w:p>
      <w:pPr>
        <w:spacing w:after="140" w:line="360" w:lineRule="auto"/>
        <w:ind w:left="360"/>
      </w:pPr>
      <w:r>
        <w:rPr>
          <w:rFonts w:ascii="Times New Roman" w:hAnsi="Times New Roman" w:eastAsia="Times New Roman"/>
          <w:b w:val="0"/>
          <w:i w:val="0"/>
          <w:sz w:val="24"/>
        </w:rPr>
        <w:t>To the extent Plaintiff proves any amount due, Caldwell is entitled to all applicable credits, offsets, and recoupment for amounts attributable to nonconforming goods, the cost of inspection, repair or replacement, amounts avoided or recovered through resale or reuse, and any other direct contractual or statutory credits established in discovery, subject to the MSA’s limitations and applicable law.</w:t>
      </w:r>
    </w:p>
    <w:p>
      <w:pPr>
        <w:spacing w:before="160" w:after="120" w:line="240" w:lineRule="auto"/>
        <w:jc w:val="center"/>
      </w:pPr>
      <w:r>
        <w:rPr>
          <w:rFonts w:ascii="Times New Roman" w:hAnsi="Times New Roman" w:eastAsia="Times New Roman"/>
          <w:b/>
          <w:i w:val="0"/>
          <w:sz w:val="24"/>
        </w:rPr>
        <w:t>PRAYER FOR RELIEF</w:t>
      </w:r>
    </w:p>
    <w:p>
      <w:pPr>
        <w:spacing w:after="120" w:line="360" w:lineRule="auto"/>
        <w:ind w:left="0"/>
      </w:pPr>
      <w:r>
        <w:rPr>
          <w:rFonts w:ascii="Times New Roman" w:hAnsi="Times New Roman" w:eastAsia="Times New Roman"/>
          <w:b w:val="0"/>
          <w:i w:val="0"/>
          <w:sz w:val="24"/>
        </w:rPr>
        <w:t>WHEREFORE, Defendant Caldwell Industrial Technologies, LLC respectfully requests that the Court: (a) dismiss the Complaint without prejudice for lack of subject-matter jurisdiction; (b) alternatively, enter judgment for Caldwell on the claims asserted; (c) deny Plaintiff’s requests for damages, interest, attorneys’ fees, and costs except to the extent, if any, supported by the contracts and proof; (d) limit any recovery to amounts recoverable under the MSA, the Purchase Orders, and applicable law, after all required offsets, mitigation, and credits and without double recovery; (e) award Caldwell its reasonable attorneys’ fees and costs as the prevailing party under MSA Section 15.4 and applicable law; and (f) grant such other relief as the Court deems just and proper.</w:t>
      </w:r>
    </w:p>
    <w:p>
      <w:pPr>
        <w:spacing w:before="160" w:after="120" w:line="240" w:lineRule="auto"/>
        <w:jc w:val="center"/>
      </w:pPr>
      <w:r>
        <w:rPr>
          <w:rFonts w:ascii="Times New Roman" w:hAnsi="Times New Roman" w:eastAsia="Times New Roman"/>
          <w:b/>
          <w:i w:val="0"/>
          <w:sz w:val="24"/>
        </w:rPr>
        <w:t>JURY DEMAND</w:t>
      </w:r>
    </w:p>
    <w:p>
      <w:pPr>
        <w:spacing w:after="120" w:line="360" w:lineRule="auto"/>
        <w:ind w:left="0"/>
      </w:pPr>
      <w:r>
        <w:rPr>
          <w:rFonts w:ascii="Times New Roman" w:hAnsi="Times New Roman" w:eastAsia="Times New Roman"/>
          <w:b w:val="0"/>
          <w:i w:val="0"/>
          <w:sz w:val="24"/>
        </w:rPr>
        <w:t>Caldwell demands a trial by jury on all issues so triable.</w:t>
      </w:r>
    </w:p>
    <w:p>
      <w:pPr>
        <w:spacing w:before="160" w:after="120" w:line="240" w:lineRule="auto"/>
        <w:jc w:val="center"/>
      </w:pPr>
      <w:r>
        <w:rPr>
          <w:rFonts w:ascii="Times New Roman" w:hAnsi="Times New Roman" w:eastAsia="Times New Roman"/>
          <w:b/>
          <w:i w:val="0"/>
          <w:sz w:val="24"/>
        </w:rPr>
        <w:t>Respectfully submitted,</w:t>
      </w:r>
    </w:p>
    <w:p>
      <w:pPr>
        <w:spacing w:before="60" w:line="240" w:lineRule="auto"/>
      </w:pPr>
      <w:r>
        <w:rPr>
          <w:rFonts w:ascii="Times New Roman" w:hAnsi="Times New Roman" w:eastAsia="Times New Roman"/>
          <w:b w:val="0"/>
          <w:i w:val="0"/>
          <w:sz w:val="24"/>
        </w:rPr>
        <w:t>this ____ day of __________________, 2025.</w:t>
      </w:r>
    </w:p>
    <w:p>
      <w:pPr>
        <w:spacing w:after="120" w:line="360" w:lineRule="auto"/>
        <w:ind w:left="0"/>
      </w:pPr>
      <w:r>
        <w:rPr>
          <w:rFonts w:ascii="Times New Roman" w:hAnsi="Times New Roman" w:eastAsia="Times New Roman"/>
          <w:b w:val="0"/>
          <w:i w:val="0"/>
          <w:sz w:val="24"/>
        </w:rPr>
      </w:r>
    </w:p>
    <w:p>
      <w:pPr>
        <w:spacing w:line="240" w:lineRule="auto" w:after="0"/>
        <w:jc w:val="right"/>
      </w:pPr>
      <w:r>
        <w:rPr>
          <w:rFonts w:ascii="Times New Roman" w:hAnsi="Times New Roman" w:eastAsia="Times New Roman"/>
          <w:b/>
          <w:i w:val="0"/>
          <w:sz w:val="24"/>
        </w:rPr>
        <w:t>[LAW FIRM NAME]</w:t>
      </w:r>
    </w:p>
    <w:p>
      <w:pPr>
        <w:spacing w:line="240" w:lineRule="auto" w:after="0"/>
        <w:jc w:val="right"/>
      </w:pPr>
      <w:r>
        <w:rPr>
          <w:rFonts w:ascii="Times New Roman" w:hAnsi="Times New Roman" w:eastAsia="Times New Roman"/>
          <w:b w:val="0"/>
          <w:i w:val="0"/>
          <w:sz w:val="24"/>
        </w:rPr>
        <w:t>/s/ [Attorney Name]</w:t>
      </w:r>
    </w:p>
    <w:p>
      <w:pPr>
        <w:spacing w:line="240" w:lineRule="auto" w:after="0"/>
        <w:jc w:val="right"/>
      </w:pPr>
      <w:r>
        <w:rPr>
          <w:rFonts w:ascii="Times New Roman" w:hAnsi="Times New Roman" w:eastAsia="Times New Roman"/>
          <w:b w:val="0"/>
          <w:i w:val="0"/>
          <w:sz w:val="24"/>
        </w:rPr>
        <w:t>[Attorney Name]</w:t>
      </w:r>
    </w:p>
    <w:p>
      <w:pPr>
        <w:spacing w:line="240" w:lineRule="auto" w:after="0"/>
        <w:jc w:val="right"/>
      </w:pPr>
      <w:r>
        <w:rPr>
          <w:rFonts w:ascii="Times New Roman" w:hAnsi="Times New Roman" w:eastAsia="Times New Roman"/>
          <w:b w:val="0"/>
          <w:i w:val="0"/>
          <w:sz w:val="24"/>
        </w:rPr>
        <w:t>Georgia Bar No. [________]</w:t>
      </w:r>
    </w:p>
    <w:p>
      <w:pPr>
        <w:spacing w:line="240" w:lineRule="auto" w:after="0"/>
        <w:jc w:val="right"/>
      </w:pPr>
      <w:r>
        <w:rPr>
          <w:rFonts w:ascii="Times New Roman" w:hAnsi="Times New Roman" w:eastAsia="Times New Roman"/>
          <w:b w:val="0"/>
          <w:i w:val="0"/>
          <w:sz w:val="24"/>
        </w:rPr>
        <w:t>[Street Address]</w:t>
      </w:r>
    </w:p>
    <w:p>
      <w:pPr>
        <w:spacing w:line="240" w:lineRule="auto" w:after="0"/>
        <w:jc w:val="right"/>
      </w:pPr>
      <w:r>
        <w:rPr>
          <w:rFonts w:ascii="Times New Roman" w:hAnsi="Times New Roman" w:eastAsia="Times New Roman"/>
          <w:b w:val="0"/>
          <w:i w:val="0"/>
          <w:sz w:val="24"/>
        </w:rPr>
        <w:t>[City, State ZIP]</w:t>
      </w:r>
    </w:p>
    <w:p>
      <w:pPr>
        <w:spacing w:line="240" w:lineRule="auto" w:after="0"/>
        <w:jc w:val="right"/>
      </w:pPr>
      <w:r>
        <w:rPr>
          <w:rFonts w:ascii="Times New Roman" w:hAnsi="Times New Roman" w:eastAsia="Times New Roman"/>
          <w:b w:val="0"/>
          <w:i w:val="0"/>
          <w:sz w:val="24"/>
        </w:rPr>
        <w:t>Telephone: [________]</w:t>
      </w:r>
    </w:p>
    <w:p>
      <w:pPr>
        <w:spacing w:line="240" w:lineRule="auto" w:after="0"/>
        <w:jc w:val="right"/>
      </w:pPr>
      <w:r>
        <w:rPr>
          <w:rFonts w:ascii="Times New Roman" w:hAnsi="Times New Roman" w:eastAsia="Times New Roman"/>
          <w:b w:val="0"/>
          <w:i w:val="0"/>
          <w:sz w:val="24"/>
        </w:rPr>
        <w:t>Email: [________]</w:t>
      </w:r>
    </w:p>
    <w:p>
      <w:pPr>
        <w:spacing w:line="240" w:lineRule="auto" w:after="0"/>
        <w:jc w:val="right"/>
      </w:pPr>
      <w:r>
        <w:rPr>
          <w:rFonts w:ascii="Times New Roman" w:hAnsi="Times New Roman" w:eastAsia="Times New Roman"/>
          <w:b w:val="0"/>
          <w:i w:val="0"/>
          <w:sz w:val="24"/>
        </w:rPr>
      </w:r>
    </w:p>
    <w:p>
      <w:pPr>
        <w:spacing w:line="240" w:lineRule="auto" w:after="0"/>
        <w:jc w:val="right"/>
      </w:pPr>
      <w:r>
        <w:rPr>
          <w:rFonts w:ascii="Times New Roman" w:hAnsi="Times New Roman" w:eastAsia="Times New Roman"/>
          <w:b w:val="0"/>
          <w:i w:val="0"/>
          <w:sz w:val="24"/>
        </w:rPr>
        <w:t>Counsel for Defendant Caldwell Industrial Technologies, LLC</w:t>
      </w:r>
    </w:p>
    <w:p>
      <w:pPr>
        <w:spacing w:before="160" w:after="120" w:line="240" w:lineRule="auto"/>
        <w:jc w:val="center"/>
      </w:pPr>
      <w:r>
        <w:rPr>
          <w:rFonts w:ascii="Times New Roman" w:hAnsi="Times New Roman" w:eastAsia="Times New Roman"/>
          <w:b/>
          <w:i w:val="0"/>
          <w:sz w:val="24"/>
        </w:rPr>
        <w:t>CERTIFICATE OF SERVICE</w:t>
      </w:r>
    </w:p>
    <w:p>
      <w:pPr>
        <w:spacing w:after="120" w:line="360" w:lineRule="auto"/>
        <w:ind w:left="0"/>
      </w:pPr>
      <w:r>
        <w:rPr>
          <w:rFonts w:ascii="Times New Roman" w:hAnsi="Times New Roman" w:eastAsia="Times New Roman"/>
          <w:b w:val="0"/>
          <w:i w:val="0"/>
          <w:sz w:val="24"/>
        </w:rPr>
        <w:t>I hereby certify that on [date], I filed the foregoing Defendant Caldwell Industrial Technologies, LLC’s Answer and Affirmative Defenses through the Court’s CM/ECF system, which will provide notice to counsel of record, including Vanessa R. Okafor, Hargrove, Simms &amp; Delacroix LLP, 100 Bull Street, Suite 1800, Savannah, Georgia 31401, vokafor@hsd-law.com.</w:t>
      </w:r>
    </w:p>
    <w:p>
      <w:pPr>
        <w:spacing w:line="240" w:lineRule="auto"/>
        <w:jc w:val="right"/>
      </w:pPr>
      <w:r>
        <w:rPr>
          <w:rFonts w:ascii="Times New Roman" w:hAnsi="Times New Roman" w:eastAsia="Times New Roman"/>
          <w:b w:val="0"/>
          <w:i w:val="0"/>
          <w:sz w:val="24"/>
        </w:rPr>
        <w:t>/s/ [Attorney Name]</w:t>
      </w:r>
    </w:p>
    <w:sectPr w:rsidR="00FC693F" w:rsidRPr="0006063C" w:rsidSect="00034616">
      <w:footerReference w:type="default" r:id="rId9"/>
      <w:pgSz w:w="12240" w:h="15840"/>
      <w:pgMar w:top="1224"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center"/>
    </w:pPr>
    <w:r>
      <w:rPr>
        <w:rFonts w:ascii="Times New Roman" w:hAnsi="Times New Roman" w:eastAsia="Times New Roman"/>
        <w:b w:val="0"/>
        <w:i w:val="0"/>
        <w:sz w:val="20"/>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