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b/>
        </w:rPr>
        <w:t>IN THE UNITED STATES DISTRICT COURT</w:t>
      </w:r>
    </w:p>
    <w:p>
      <w:pPr>
        <w:spacing w:line="240" w:lineRule="auto" w:after="0"/>
        <w:jc w:val="center"/>
      </w:pPr>
      <w:r>
        <w:rPr>
          <w:b/>
        </w:rPr>
        <w:t>FOR THE NORTHERN DISTRICT OF GEORGIA</w:t>
      </w:r>
    </w:p>
    <w:p>
      <w:pPr>
        <w:spacing w:line="240" w:lineRule="auto" w:after="0"/>
        <w:jc w:val="center"/>
      </w:pPr>
      <w:r>
        <w:rPr>
          <w:b/>
        </w:rPr>
        <w:t>ATLANTA DIVISION</w:t>
      </w:r>
    </w:p>
    <w:p>
      <w:pPr>
        <w:spacing w:line="240" w:lineRule="auto" w:after="0"/>
        <w:jc w:val="both"/>
      </w:pPr>
    </w:p>
    <w:tbl>
      <w:tblPr>
        <w:tblW w:type="auto" w:w="0"/>
        <w:tblLayout w:type="fixed"/>
        <w:tblLook w:firstColumn="1" w:firstRow="1" w:lastColumn="0" w:lastRow="0" w:noHBand="0" w:noVBand="1" w:val="04A0"/>
      </w:tblPr>
      <w:tblGrid>
        <w:gridCol w:w="4680"/>
        <w:gridCol w:w="4680"/>
      </w:tblGrid>
      <w:tr>
        <w:tc>
          <w:tcPr>
            <w:tcW w:type="dxa" w:w="5184"/>
            <w:tcBorders>
              <w:right w:val="single" w:sz="6" w:color="000000"/>
              <w:bottom w:val="single" w:sz="6" w:color="000000"/>
            </w:tcBorders>
          </w:tcPr>
          <w:p>
            <w:r>
              <w:t>MERIDIAN SUPPLY CHAIN SOLUTIONS, INC., a Delaware corporation,</w:t>
              <w:br/>
              <w:br/>
              <w:tab/>
              <w:t>Plaintiff,</w:t>
              <w:br/>
              <w:br/>
              <w:t>v.</w:t>
              <w:br/>
              <w:br/>
              <w:t>CALDWELL INDUSTRIAL TECHNOLOGIES, LLC, a Georgia limited liability company,</w:t>
              <w:br/>
              <w:br/>
              <w:tab/>
              <w:t>Defendant.</w:t>
            </w:r>
          </w:p>
        </w:tc>
        <w:tc>
          <w:tcPr>
            <w:tcW w:type="dxa" w:w="4176"/>
          </w:tcPr>
          <w:p>
            <w:r>
              <w:br/>
              <w:br/>
              <w:br/>
              <w:t>Civil Action No.</w:t>
              <w:br/>
              <w:t>1:25-cv-01043-RWS</w:t>
              <w:br/>
              <w:br/>
            </w:r>
          </w:p>
        </w:tc>
      </w:tr>
    </w:tbl>
    <w:p>
      <w:pPr>
        <w:spacing w:line="240" w:lineRule="auto" w:after="0"/>
        <w:jc w:val="both"/>
      </w:pPr>
    </w:p>
    <w:p>
      <w:pPr>
        <w:spacing w:line="240" w:lineRule="auto" w:after="240"/>
        <w:jc w:val="center"/>
      </w:pPr>
      <w:r>
        <w:rPr>
          <w:b/>
        </w:rPr>
        <w:t>DEFENDANT CALDWELL INDUSTRIAL TECHNOLOGIES, LLC'S ANSWER AND AFFIRMATIVE DEFENSES TO PLAINTIFF'S COMPLAINT</w:t>
      </w:r>
    </w:p>
    <w:p>
      <w:pPr>
        <w:spacing w:line="480" w:lineRule="auto" w:after="0"/>
        <w:ind w:firstLine="720"/>
        <w:jc w:val="both"/>
      </w:pPr>
      <w:r>
        <w:t>Defendant Caldwell Industrial Technologies, LLC ("Caldwell" or "Defendant"), by and through its undersigned counsel, hereby files its Answer and Affirmative Defenses to the Complaint for Breach of Contract and Unjust Enrichment (the "Complaint") filed by Plaintiff Meridian Supply Chain Solutions, Inc. ("Meridian" or "Plaintiff"), and states as follows:</w:t>
      </w:r>
    </w:p>
    <w:p>
      <w:pPr>
        <w:keepNext/>
        <w:spacing w:line="240" w:lineRule="auto" w:after="240" w:before="120"/>
        <w:jc w:val="center"/>
      </w:pPr>
      <w:r>
        <w:rPr>
          <w:b/>
        </w:rPr>
        <w:t>PRELIMINARY STATEMENT</w:t>
      </w:r>
    </w:p>
    <w:p>
      <w:pPr>
        <w:spacing w:line="480" w:lineRule="auto" w:after="0"/>
        <w:ind w:firstLine="720"/>
        <w:jc w:val="both"/>
      </w:pPr>
      <w:r>
        <w:t>This action concerns two Purchase Orders issued under a Master Supply Agreement dated March 15, 2023 (the "MSA"), for valve components intended exclusively for the Savannah River Water Reclamation Project (the "Project"). Meridian's Complaint rests on a series of contractual and factual mischaracterizations. First, Meridian's Tranche 1 shipment of 800 butterfly valves was not "deemed accepted": Caldwell delivered a detailed, written, fully documented notice rejecting the entire shipment within the fifteen-business-day Inspection Period, after its inspection revealed a 21.25% defect rate—more than ten times the 2% Acceptable Quality Level to which Meridian agreed—and Meridian's Project Manager acknowledged, reviewed, and responded substantively to that notice the same day. Second, Caldwell never repudiated the Purchase Orders; it gave timely notice of the Project suspension, requested cooperation, and then exercised its express, bargained-for right under MSA Section 13.2 to terminate the undelivered portions of the Purchase Orders for convenience. Third, Meridian's attempted "tender" of Tranche 2 was made to a location that the Purchase Order expressly forbade absent Caldwell's prior written authorization. Finally, Meridian's demand for the full contract price of goods that were never delivered, never accepted, and in many cases never manufactured—together with contractual interest on amounts that never became due—has no basis in the MSA or the Georgia Uniform Commercial Code.</w:t>
      </w:r>
    </w:p>
    <w:p>
      <w:pPr>
        <w:spacing w:line="480" w:lineRule="auto" w:after="0"/>
        <w:ind w:firstLine="720"/>
        <w:jc w:val="both"/>
      </w:pPr>
      <w:r>
        <w:t>This Preliminary Statement is not a pleading to which a response is required and is provided for context only. Caldwell further states at the outset that, as set forth in its First Defense, this Court lacks subject matter jurisdiction because complete diversity of citizenship does not exist between the parties.</w:t>
      </w:r>
    </w:p>
    <w:p>
      <w:pPr>
        <w:keepNext/>
        <w:spacing w:line="240" w:lineRule="auto" w:after="240" w:before="120"/>
        <w:jc w:val="center"/>
      </w:pPr>
      <w:r>
        <w:rPr>
          <w:b/>
        </w:rPr>
        <w:t>GENERAL DENIAL</w:t>
      </w:r>
    </w:p>
    <w:p>
      <w:pPr>
        <w:spacing w:line="480" w:lineRule="auto" w:after="0"/>
        <w:ind w:firstLine="720"/>
        <w:jc w:val="both"/>
      </w:pPr>
      <w:r>
        <w:t>Pursuant to Federal Rule of Civil Procedure 8(b), Caldwell denies each and every allegation of the Complaint, including any allegations contained in headings, subheadings, unnumbered paragraphs, the Prayer for Relief, the Verification, and the List of Exhibits, except as specifically admitted below. The headings of the Complaint are reproduced below solely for ease of reference, and to the extent any heading is deemed to contain factual allegations, those allegations are denied. Where Caldwell states that a document "speaks for itself," Caldwell refers the Court to the document for its complete and accurate contents and denies any allegation or characterization inconsistent therewith. Any allegation to which Caldwell states it lacks knowledge or information sufficient to form a belief about its truth is denied pursuant to Rule 8(b)(5).</w:t>
      </w:r>
    </w:p>
    <w:p>
      <w:pPr>
        <w:keepNext/>
        <w:spacing w:line="240" w:lineRule="auto" w:after="240" w:before="120"/>
        <w:jc w:val="center"/>
      </w:pPr>
      <w:r>
        <w:rPr>
          <w:b/>
        </w:rPr>
        <w:t>RESPONSES TO THE NUMBERED ALLEGATIONS OF THE COMPLAINT</w:t>
      </w:r>
    </w:p>
    <w:p>
      <w:pPr>
        <w:keepNext/>
        <w:spacing w:line="240" w:lineRule="auto" w:after="240"/>
        <w:jc w:val="left"/>
      </w:pPr>
      <w:r>
        <w:rPr>
          <w:b/>
        </w:rPr>
        <w:t>Unnumbered Introductory Paragraph</w:t>
      </w:r>
    </w:p>
    <w:p>
      <w:pPr>
        <w:spacing w:line="480" w:lineRule="auto" w:after="0"/>
        <w:ind w:firstLine="720"/>
        <w:jc w:val="both"/>
      </w:pPr>
      <w:r>
        <w:t>Caldwell admits that Meridian purports to bring an action for breach of contract and unjust enrichment arising from the MSA and Purchase Order Nos. CIT-2024-0147 ("PO-147") and CIT-2024-0163 ("PO-163"). Caldwell denies that it breached the MSA or either Purchase Order, denies that it owes Meridian $4,730,400, denies that it owes accrued contractual interest of $148,927.80 or any other amount, and denies that Meridian is entitled to any relief. Caldwell further states that the Complaint's assertion that $148,927.80 represents interest "through the date of filing" is contradicted by Meridian's own January 8, 2025 demand letter, which asserted the identical figure as interest accrued through January 8, 2025—nearly two months before the Complaint was filed. All remaining allegations of the introductory paragraph are denied.</w:t>
      </w:r>
    </w:p>
    <w:p>
      <w:pPr>
        <w:keepNext/>
        <w:spacing w:line="240" w:lineRule="auto" w:after="240"/>
        <w:jc w:val="left"/>
      </w:pPr>
      <w:r>
        <w:rPr>
          <w:b/>
        </w:rPr>
        <w:t>The Parties</w:t>
      </w:r>
    </w:p>
    <w:p>
      <w:pPr>
        <w:spacing w:line="480" w:lineRule="auto" w:after="0"/>
        <w:ind w:firstLine="720"/>
        <w:jc w:val="both"/>
      </w:pPr>
      <w:r>
        <w:t>1.</w:t>
        <w:tab/>
        <w:t>Caldwell admits, upon information and belief, that Meridian is a Delaware corporation with its principal place of business at 2200 Commerce Park Drive, Suite 400, Savannah, Georgia 31405, and that Meridian is engaged in the business of manufacturing industrial components. Caldwell specifically notes that Meridian's principal place of business is located in the State of Georgia. Caldwell lacks knowledge or information sufficient to form a belief about the truth of the remaining allegations of Paragraph 1 and therefore denies them.</w:t>
      </w:r>
    </w:p>
    <w:p>
      <w:pPr>
        <w:spacing w:line="480" w:lineRule="auto" w:after="0"/>
        <w:ind w:firstLine="720"/>
        <w:jc w:val="both"/>
      </w:pPr>
      <w:r>
        <w:t>2.</w:t>
        <w:tab/>
        <w:t>Caldwell lacks knowledge or information sufficient to form a belief about the truth of the allegations of Paragraph 2 concerning Meridian's history, workforce, revenues, facilities, certifications, and reputation, and therefore denies them. Caldwell specifically denies that the Tranche 1 goods Meridian delivered to Caldwell reflected quality or reliability consistent with Meridian's contractual obligations.</w:t>
      </w:r>
    </w:p>
    <w:p>
      <w:pPr>
        <w:spacing w:line="480" w:lineRule="auto" w:after="0"/>
        <w:ind w:firstLine="720"/>
        <w:jc w:val="both"/>
      </w:pPr>
      <w:r>
        <w:t>3.</w:t>
        <w:tab/>
        <w:t>Caldwell admits the allegations of Paragraph 3.</w:t>
      </w:r>
    </w:p>
    <w:p>
      <w:pPr>
        <w:spacing w:line="480" w:lineRule="auto" w:after="0"/>
        <w:ind w:firstLine="720"/>
        <w:jc w:val="both"/>
      </w:pPr>
      <w:r>
        <w:t>4.</w:t>
        <w:tab/>
        <w:t>Caldwell admits that Theodore R. Caldwell III is its Managing Member. Caldwell states that its employee headcount and revenues are irrelevant to the claims asserted and, on that basis, neither admits nor denies the figures alleged, which are therefore denied. [CLIENT TO CONFIRM: headcount and FY2024 revenue figures.] Caldwell denies any remaining allegations of Paragraph 4, including any characterization of Mr. Caldwell's decision-making authority inconsistent with Caldwell's operating agreement.</w:t>
      </w:r>
    </w:p>
    <w:p>
      <w:pPr>
        <w:spacing w:line="480" w:lineRule="auto" w:after="0"/>
        <w:ind w:firstLine="720"/>
        <w:jc w:val="both"/>
      </w:pPr>
      <w:r>
        <w:t>5.</w:t>
        <w:tab/>
        <w:t>Caldwell admits that non-party Tidewater Process Engineering, Inc. ("Tidewater") is the general contractor on the Project, that the Project is a municipal water reclamation infrastructure project in Chatham County, Georgia, owned by Chatham County, and that Caldwell is a subcontractor to Tidewater on the Project under a subcontract with a current value of approximately $18.4 million. Caldwell lacks knowledge or information sufficient to form a belief about the truth of the allegation that the Project is valued at $96 million and therefore denies it, although Caldwell admits that Tidewater's October 2, 2024 notice so describes the Project. Caldwell denies any remaining allegations of Paragraph 5.</w:t>
      </w:r>
    </w:p>
    <w:p>
      <w:pPr>
        <w:spacing w:line="480" w:lineRule="auto" w:after="0"/>
        <w:ind w:firstLine="720"/>
        <w:jc w:val="both"/>
      </w:pPr>
      <w:r>
        <w:t>6.</w:t>
        <w:tab/>
        <w:t>Caldwell denies the allegations of Paragraph 6. Caldwell specifically denies that any procurement from Irongate Fabrication Co. or any other vendor has any bearing on its obligations to Meridian, denies that its position in this dispute constitutes a "deliberate refusal to perform," and states that its refusal to pay the amounts Meridian demands is based on Meridian's delivery of non-conforming goods, Caldwell's valid exercise of its contractual rights, and the other defenses set forth herein. Caldwell further states that Paragraph 6 is immaterial and impertinent within the meaning of Federal Rule of Civil Procedure 12(f). [CLIENT TO CONFIRM: whether, when, and for what purpose any components were procured from Irongate.]</w:t>
      </w:r>
    </w:p>
    <w:p>
      <w:pPr>
        <w:keepNext/>
        <w:spacing w:line="240" w:lineRule="auto" w:after="240"/>
        <w:jc w:val="left"/>
      </w:pPr>
      <w:r>
        <w:rPr>
          <w:b/>
        </w:rPr>
        <w:t>Jurisdiction and Venue</w:t>
      </w:r>
    </w:p>
    <w:p>
      <w:pPr>
        <w:spacing w:line="480" w:lineRule="auto" w:after="0"/>
        <w:ind w:firstLine="720"/>
        <w:jc w:val="both"/>
      </w:pPr>
      <w:r>
        <w:t>7.</w:t>
        <w:tab/>
        <w:t>Paragraph 7 states legal conclusions to which no response is required. To the extent a response is required, Caldwell denies that this Court has subject matter jurisdiction under 28 U.S.C. § 1332(a). Caldwell admits that it is a Georgia limited liability company and that each of its members, including Theodore R. Caldwell III, is a citizen of the State of Georgia. [CLIENT TO CONFIRM: identity and domicile of every member, including any members that are themselves entities.] Caldwell admits that Meridian alleges it is incorporated in Delaware with its principal place of business in Savannah, Georgia. Under 28 U.S.C. § 1332(c)(1), a corporation is a citizen of every State in which it is incorporated and of the State where it has its principal place of business. Meridian, by its own allegations, is therefore a citizen of both Delaware and Georgia. Because Caldwell and all of its members are citizens of Georgia, and Meridian is also a citizen of Georgia, complete diversity does not exist. Caldwell admits that Meridian claims an amount exceeding $75,000 but denies that Meridian is entitled to any amount. Caldwell denies all remaining allegations of Paragraph 7.</w:t>
      </w:r>
    </w:p>
    <w:p>
      <w:pPr>
        <w:spacing w:line="480" w:lineRule="auto" w:after="0"/>
        <w:ind w:firstLine="720"/>
        <w:jc w:val="both"/>
      </w:pPr>
      <w:r>
        <w:t>8.</w:t>
        <w:tab/>
        <w:t>Paragraph 8 states legal conclusions to which no response is required. To the extent a response is required, Caldwell denies the allegations of Paragraph 8. Caldwell specifically denies that Meridian is a citizen solely of Delaware; by virtue of its principal place of business in Savannah, Georgia, Meridian is also a citizen of Georgia pursuant to 28 U.S.C. § 1332(c)(1), and complete diversity is therefore lacking.</w:t>
      </w:r>
    </w:p>
    <w:p>
      <w:pPr>
        <w:spacing w:line="480" w:lineRule="auto" w:after="0"/>
        <w:ind w:firstLine="720"/>
        <w:jc w:val="both"/>
      </w:pPr>
      <w:r>
        <w:t>9.</w:t>
        <w:tab/>
        <w:t>Paragraph 9 states legal conclusions to which no response is required. To the extent a response is required, Caldwell admits that it resides in this District, that MSA Section 15.2 provides for exclusive jurisdiction and venue in the state or federal courts located in Fulton County, Georgia, and that the Atlanta Division of this District encompasses Fulton County. Caldwell states that Section 15.2 speaks for itself. Caldwell denies that Section 15.2 or 28 U.S.C. § 1391 can confer subject matter jurisdiction on this Court where none exists, and states that the parties' forum selection clause is fully satisfied by the Superior Court of Fulton County or the State Court of Fulton County. Caldwell denies any remaining allegations of Paragraph 9.</w:t>
      </w:r>
    </w:p>
    <w:p>
      <w:pPr>
        <w:spacing w:line="480" w:lineRule="auto" w:after="0"/>
        <w:ind w:firstLine="720"/>
        <w:jc w:val="both"/>
      </w:pPr>
      <w:r>
        <w:t>10.</w:t>
        <w:tab/>
        <w:t>Caldwell admits that it is subject to personal jurisdiction in this District, that it is a Georgia limited liability company with its principal place of business in Atlanta, Georgia, and that it consented in MSA Section 15.2 to the personal jurisdiction of the state and federal courts located in Fulton County, Georgia. Caldwell admits that it maintains its headquarters in this District and that it executed the MSA and the Purchase Orders at its Atlanta offices. Caldwell denies that its consent to personal jurisdiction confers subject matter jurisdiction on this Court, and denies any remaining allegations of Paragraph 10.</w:t>
      </w:r>
    </w:p>
    <w:p>
      <w:pPr>
        <w:keepNext/>
        <w:spacing w:line="240" w:lineRule="auto" w:after="240"/>
        <w:jc w:val="left"/>
      </w:pPr>
      <w:r>
        <w:rPr>
          <w:b/>
        </w:rPr>
        <w:t>Factual Allegations — A. The Master Supply Agreement</w:t>
      </w:r>
    </w:p>
    <w:p>
      <w:pPr>
        <w:spacing w:line="480" w:lineRule="auto" w:after="0"/>
        <w:ind w:firstLine="720"/>
        <w:jc w:val="both"/>
      </w:pPr>
      <w:r>
        <w:t>11.</w:t>
        <w:tab/>
        <w:t>Caldwell admits that Meridian and Caldwell entered into the MSA on March 15, 2023, and that the MSA governs the terms on which Meridian manufactures and supplies custom industrial components to Caldwell pursuant to accepted Purchase Orders. Caldwell states that the MSA speaks for itself and denies any characterization inconsistent with its terms. Caldwell lacks knowledge or information sufficient to form a belief as to whether the document attached as Exhibit A to the Complaint is a true and correct copy of the MSA, and therefore denies that allegation.</w:t>
      </w:r>
    </w:p>
    <w:p>
      <w:pPr>
        <w:spacing w:line="480" w:lineRule="auto" w:after="0"/>
        <w:ind w:firstLine="720"/>
        <w:jc w:val="both"/>
      </w:pPr>
      <w:r>
        <w:t>12.</w:t>
        <w:tab/>
        <w:t>Caldwell admits that the MSA has an initial term running from March 15, 2023 through March 14, 2026, with automatic one-year renewals absent timely notice. Caldwell states that MSA Sections 2.1 and 2.2 speak for themselves and denies the allegations of Paragraph 12 to the extent inconsistent therewith; Caldwell notes that Section 2.2 refers to notice of "non-renewal," not "termination."</w:t>
      </w:r>
    </w:p>
    <w:p>
      <w:pPr>
        <w:spacing w:line="480" w:lineRule="auto" w:after="0"/>
        <w:ind w:firstLine="720"/>
        <w:jc w:val="both"/>
      </w:pPr>
      <w:r>
        <w:t>13.</w:t>
        <w:tab/>
        <w:t>Caldwell admits that purchases under the MSA are made pursuant to individual Purchase Orders and that a Purchase Order becomes binding upon Meridian's written acceptance within ten business days of receipt. Caldwell states that MSA Sections 3.1 through 3.3 speak for themselves and denies the allegations of Paragraph 13 to the extent inconsistent therewith. Caldwell further states that Section 3.2 expressly authorizes Meridian's written acceptance of Purchase Orders to be delivered "by email," and that the parties routinely conducted contractual communications by email.</w:t>
      </w:r>
    </w:p>
    <w:p>
      <w:pPr>
        <w:spacing w:line="480" w:lineRule="auto" w:after="0"/>
        <w:ind w:firstLine="720"/>
        <w:jc w:val="both"/>
      </w:pPr>
      <w:r>
        <w:t>14.</w:t>
        <w:tab/>
        <w:t>Caldwell states that MSA Sections 4.2 and 4.3 speak for themselves and denies the allegations of Paragraph 14 to the extent inconsistent therewith. Caldwell further states that Paragraph 14 omits material provisions of Section 4, including: (a) Section 4.2's requirement that all Goods "strictly conform" to the Specifications; (b) Section 4.3's additional warranties of conformity, merchantability, and fitness for purpose, which are cumulative of the warranties implied under the Georgia Uniform Commercial Code; and (c) Section 4.4, which establishes a 2% Acceptable Quality Level ("AQL") per shipment and grants Caldwell, "in its sole discretion," the right to "reject the entire shipment" when the AQL is exceeded.</w:t>
      </w:r>
    </w:p>
    <w:p>
      <w:pPr>
        <w:spacing w:line="480" w:lineRule="auto" w:after="0"/>
        <w:ind w:firstLine="720"/>
        <w:jc w:val="both"/>
      </w:pPr>
      <w:r>
        <w:t>15.</w:t>
        <w:tab/>
        <w:t>Caldwell states that MSA Sections 5.1 and 5.4 speak for themselves and denies the allegations of Paragraph 15 to the extent inconsistent therewith. Caldwell specifically states that Section 5.1 requires delivery to Caldwell's designated jobsite or warehouse "as specified in the applicable Purchase Order," that risk of loss remains with Meridian until delivery to and acceptance at the designated delivery location, and that Section 5.4 is expressed as an obligation of the Supplier. Caldwell denies that Section 5.4 or any other provision obligates Caldwell to accept goods tendered at a location other than the one designated in the applicable Purchase Order, and denies that Caldwell is obligated to accept non-conforming goods.</w:t>
      </w:r>
    </w:p>
    <w:p>
      <w:pPr>
        <w:spacing w:line="480" w:lineRule="auto" w:after="0"/>
        <w:ind w:firstLine="720"/>
        <w:jc w:val="both"/>
      </w:pPr>
      <w:r>
        <w:t>16.</w:t>
        <w:tab/>
        <w:t>Caldwell admits that MSA Section 6.1 provides a fifteen-business-day Inspection Period and requires that written notice of rejection describe the non-conformity in reasonable detail. Caldwell states that MSA Sections 6.1 and 6.2 speak for themselves and denies the allegations of Paragraph 16 to the extent inconsistent therewith. Caldwell specifically states that Paragraph 16 omits the portion of Section 6.2 providing that Deemed Acceptance "shall not apply to" latent defects not reasonably discoverable through ordinary inspection methods. Caldwell further states that Sections 6.1 and 6.2 require only "written notice of rejection" and do not prescribe any particular method of transmission.</w:t>
      </w:r>
    </w:p>
    <w:p>
      <w:pPr>
        <w:spacing w:line="480" w:lineRule="auto" w:after="0"/>
        <w:ind w:firstLine="720"/>
        <w:jc w:val="both"/>
      </w:pPr>
      <w:r>
        <w:t>17.</w:t>
        <w:tab/>
        <w:t>Caldwell states that MSA Sections 7.1 and 7.3 speak for themselves and denies the allegations of Paragraph 17 to the extent inconsistent therewith. Caldwell specifically denies that Section 7.3 provides for interest "compounded monthly"; no such language appears in Section 7.3. Caldwell further states that Section 7.3 applies only to amounts "not paid when due," that payment is due under Section 7.1 only for Goods that have been accepted or deemed accepted, and that Section 7.4 provides that disputed amounts do not accrue interest during the pendency of the dispute.</w:t>
      </w:r>
    </w:p>
    <w:p>
      <w:pPr>
        <w:spacing w:line="480" w:lineRule="auto" w:after="0"/>
        <w:ind w:firstLine="720"/>
        <w:jc w:val="both"/>
      </w:pPr>
      <w:r>
        <w:t>18.</w:t>
        <w:tab/>
        <w:t>Caldwell states that MSA Section 12 speaks for itself and denies the allegations of Paragraph 18 to the extent inconsistent therewith. Caldwell specifically denies that Paragraph 18 accurately quotes or describes Section 12. Among other things, Paragraph 18 omits that Section 12.1's list of Force Majeure Events is expressly non-exhaustive ("including, without limitation"), omits enumerated events including epidemic, strikes, lockouts, earthquake, and hurricane, misattributes the notice requirement to Section 12.2 (it appears in Section 12.1; Section 12.2 addresses mitigation), and omits that a failure to give notice within ten business days does not preclude a force majeure claim. Caldwell admits that Section 12.3 permits either party to terminate affected Purchase Orders without liability if a Force Majeure Event continues for more than ninety consecutive days.</w:t>
      </w:r>
    </w:p>
    <w:p>
      <w:pPr>
        <w:spacing w:line="480" w:lineRule="auto" w:after="0"/>
        <w:ind w:firstLine="720"/>
        <w:jc w:val="both"/>
      </w:pPr>
      <w:r>
        <w:t>19.</w:t>
        <w:tab/>
        <w:t>Caldwell admits that MSA Section 13.2 permits either party to terminate any individual Purchase Order for convenience upon thirty days' written notice, subject to the payment obligation stated therein. Caldwell states that Section 13.2 speaks for itself and denies the allegations of Paragraph 19 to the extent inconsistent therewith. Caldwell specifically states that Paragraph 19 omits that Section 13.2 (a) limits the payment obligation to "conforming" Goods; (b) conditions reimbursement of raw-material costs on the non-terminating party's commercially reasonable mitigation efforts; and (c) provides that "[i]n no event shall the total amount payable under this Section 13.2 exceed the total value of the terminated Purchase Order." Caldwell denies Meridian's characterization of the purpose of Section 13.2.</w:t>
      </w:r>
    </w:p>
    <w:p>
      <w:pPr>
        <w:spacing w:line="480" w:lineRule="auto" w:after="0"/>
        <w:ind w:firstLine="720"/>
        <w:jc w:val="both"/>
      </w:pPr>
      <w:r>
        <w:t>20.</w:t>
        <w:tab/>
        <w:t>Caldwell states that MSA Sections 15.1, 15.2, 16.1, 18.3, and 19.1 speak for themselves and denies the allegations of Paragraph 20 to the extent inconsistent therewith. Caldwell specifically states that Paragraph 20 omits Section 15.1's requirements that each party designate a senior representative within five business days of the dispute notice and that "designated senior representatives of each Party shall meet (in person or by teleconference) at least once to attempt to resolve the dispute" before any legal proceeding is initiated. Caldwell further states that Section 16.1 expressly excludes recovery of "lost profits" and "lost revenue."</w:t>
      </w:r>
    </w:p>
    <w:p>
      <w:pPr>
        <w:keepNext/>
        <w:spacing w:line="240" w:lineRule="auto" w:after="240"/>
        <w:jc w:val="left"/>
      </w:pPr>
      <w:r>
        <w:rPr>
          <w:b/>
        </w:rPr>
        <w:t>B. The Purchase Orders</w:t>
      </w:r>
    </w:p>
    <w:p>
      <w:pPr>
        <w:spacing w:line="480" w:lineRule="auto" w:after="0"/>
        <w:ind w:firstLine="720"/>
        <w:jc w:val="both"/>
      </w:pPr>
      <w:r>
        <w:t>21.</w:t>
        <w:tab/>
        <w:t>Caldwell admits the allegations of Paragraph 21.</w:t>
      </w:r>
    </w:p>
    <w:p>
      <w:pPr>
        <w:spacing w:line="480" w:lineRule="auto" w:after="0"/>
        <w:ind w:firstLine="720"/>
        <w:jc w:val="both"/>
      </w:pPr>
      <w:r>
        <w:t>22.</w:t>
        <w:tab/>
        <w:t>Caldwell admits that on June 5, 2024, it issued PO-147 to Meridian for 2,400 custom 316L stainless steel MV-8800 series butterfly valves at a unit price of $1,600, for a total of $3,840,000, and that PO-147 designated the Project jobsite as the delivery location. Caldwell states that PO-147 speaks for itself and further states that Section II.A of PO-147 provides that "[n]o deliveries shall be made to any alternative location without prior written authorization from Buyer" and that any such delivery "shall be deemed a non-conforming delivery" which Caldwell has no obligation to accept.</w:t>
      </w:r>
    </w:p>
    <w:p>
      <w:pPr>
        <w:spacing w:line="480" w:lineRule="auto" w:after="0"/>
        <w:ind w:firstLine="720"/>
        <w:jc w:val="both"/>
      </w:pPr>
      <w:r>
        <w:t>23.</w:t>
        <w:tab/>
        <w:t>Caldwell admits the allegations of Paragraph 23, and states that PO-147 speaks for itself.</w:t>
      </w:r>
    </w:p>
    <w:p>
      <w:pPr>
        <w:spacing w:line="480" w:lineRule="auto" w:after="0"/>
        <w:ind w:firstLine="720"/>
        <w:jc w:val="both"/>
      </w:pPr>
      <w:r>
        <w:t>24.</w:t>
        <w:tab/>
        <w:t>Caldwell admits that Meridian accepted PO-147 in writing on June 12, 2024. Caldwell lacks knowledge or information sufficient to form a belief as to whether Exhibit B to the Complaint is a true and correct copy of PO-147 and Meridian's acceptance, and therefore denies that allegation. Caldwell further states that Meridian transmitted its acceptance of PO-147 by email.</w:t>
      </w:r>
    </w:p>
    <w:p>
      <w:pPr>
        <w:spacing w:line="480" w:lineRule="auto" w:after="0"/>
        <w:ind w:firstLine="720"/>
        <w:jc w:val="both"/>
      </w:pPr>
      <w:r>
        <w:t>25.</w:t>
        <w:tab/>
        <w:t>Caldwell admits the allegations of Paragraph 25 and states that PO-163 speaks for itself.</w:t>
      </w:r>
    </w:p>
    <w:p>
      <w:pPr>
        <w:spacing w:line="480" w:lineRule="auto" w:after="0"/>
        <w:ind w:firstLine="720"/>
        <w:jc w:val="both"/>
      </w:pPr>
      <w:r>
        <w:t>26.</w:t>
        <w:tab/>
        <w:t>Caldwell admits that Meridian accepted PO-163 in writing on July 30, 2024. Caldwell lacks knowledge or information sufficient to form a belief as to whether Exhibit C to the Complaint is a true and correct copy of PO-163 and Meridian's acceptance, and therefore denies that allegation.</w:t>
      </w:r>
    </w:p>
    <w:p>
      <w:pPr>
        <w:spacing w:line="480" w:lineRule="auto" w:after="0"/>
        <w:ind w:firstLine="720"/>
        <w:jc w:val="both"/>
      </w:pPr>
      <w:r>
        <w:t>27.</w:t>
        <w:tab/>
        <w:t>Caldwell admits that the combined face value of PO-147 and PO-163 was $4,730,400, that both Purchase Orders were issued and accepted pursuant to the MSA, and that both incorporate the MSA. Caldwell denies that it owes Meridian that amount or any portion thereof except as may be determined under MSA Section 13.2, and denies any remaining allegations of Paragraph 27.</w:t>
      </w:r>
    </w:p>
    <w:p>
      <w:pPr>
        <w:keepNext/>
        <w:spacing w:line="240" w:lineRule="auto" w:after="240"/>
        <w:jc w:val="left"/>
      </w:pPr>
      <w:r>
        <w:rPr>
          <w:b/>
        </w:rPr>
        <w:t>C. Tranche 1 Delivery and Caldwell’s Purported Rejection</w:t>
      </w:r>
    </w:p>
    <w:p>
      <w:pPr>
        <w:spacing w:line="480" w:lineRule="auto" w:after="0"/>
        <w:ind w:firstLine="720"/>
        <w:jc w:val="both"/>
      </w:pPr>
      <w:r>
        <w:t>28.</w:t>
        <w:tab/>
        <w:t>Caldwell admits that Meridian delivered 800 MV-8800 series butterfly valves, constituting Tranche 1 of PO-147, to the Project jobsite on September 12, 2024. Caldwell denies that the Tranche 1 shipment conformed to PO-147 or the MSA. Caldwell admits that its on-site personnel acknowledged physical receipt of the shipment, but denies that such receipt constituted acceptance of the goods within the meaning of the MSA or O.C.G.A. § 11-2-606. Caldwell denies any remaining allegations of Paragraph 28.</w:t>
      </w:r>
    </w:p>
    <w:p>
      <w:pPr>
        <w:spacing w:line="480" w:lineRule="auto" w:after="0"/>
        <w:ind w:firstLine="720"/>
        <w:jc w:val="both"/>
      </w:pPr>
      <w:r>
        <w:t>29.</w:t>
        <w:tab/>
        <w:t>Caldwell lacks knowledge or information sufficient to form a belief about the truth of the allegations of Paragraph 29 concerning Meridian's internal pre-shipment inspection, and therefore denies them. Caldwell specifically denies that the Tranche 1 shipment was within acceptable quality parameters. Caldwell further states that, by Meridian's own account, its pre-shipment inspection flagged and pulled defective units from the production run, and that whatever inspection Meridian performed failed to detect the 170 non-conforming units that Caldwell identified.</w:t>
      </w:r>
    </w:p>
    <w:p>
      <w:pPr>
        <w:spacing w:line="480" w:lineRule="auto" w:after="0"/>
        <w:ind w:firstLine="720"/>
        <w:jc w:val="both"/>
      </w:pPr>
      <w:r>
        <w:t>30.</w:t>
        <w:tab/>
        <w:t>Caldwell admits that on Friday, September 27, 2024—the eleventh business day after delivery and within the fifteen-business-day Inspection Period—Caldwell's Senior Quality Control Engineer, Priya Ramaswamy, sent a written notice to Meridian's Project Manager, Kyle Densmore, captioned "FORMAL NOTICE OF REJECTION," with copies to Caldwell's Managing Member and QC Manager. Caldwell denies that the notice "purport[ed] to reject 170 of the 800 Tranche 1 units." The notice identified 127 units exhibiting micro-cracking at the disc-to-stem weld joints detected through dye penetrant inspection and 43 separate units with bore diameters of 6.015 to 6.035 inches—outside the specified 6.000 ± 0.010-inch tolerance—for an aggregate defect rate of 21.25%, more than ten times the contractual 2% AQL; and, on that basis and pursuant to Caldwell's rights under the MSA, rejected the entire 800-unit Tranche 1 shipment. The notice was accompanied by a fourteen-page QC Inspection Summary Report identifying every defective unit by serial number, 170 photographs, and complete calibrated coordinate-measuring-machine data for all 800 units. Caldwell states that the notice speaks for itself and denies any remaining allegations of Paragraph 30.</w:t>
      </w:r>
    </w:p>
    <w:p>
      <w:pPr>
        <w:spacing w:line="480" w:lineRule="auto" w:after="0"/>
        <w:ind w:firstLine="720"/>
        <w:jc w:val="both"/>
      </w:pPr>
      <w:r>
        <w:t>31.</w:t>
        <w:tab/>
        <w:t>Caldwell admits that Meridian disputes Caldwell's inspection findings. Caldwell denies the remaining allegations of Paragraph 31. Caldwell specifically denies that the Tranche 1 goods conformed to PO-147 and its engineering drawings, and denies that any defect resulted from improper storage or handling by Caldwell or anyone acting on its behalf. Caldwell further states that dimensional non-conformities in machined bore diameters are not caused by storage or handling, and that the Tranche 1 units have been maintained in their original shipping crates since delivery—at Meridian's own request.</w:t>
      </w:r>
    </w:p>
    <w:p>
      <w:pPr>
        <w:spacing w:line="480" w:lineRule="auto" w:after="0"/>
        <w:ind w:firstLine="720"/>
        <w:jc w:val="both"/>
      </w:pPr>
      <w:r>
        <w:t>32.</w:t>
        <w:tab/>
        <w:t>Caldwell admits that Mr. Densmore responded to Ms. Ramaswamy's notice in writing on September 27, 2024. Caldwell denies that Paragraph 32 accurately characterizes that response. Mr. Densmore's response stated that he had "received your rejection notice," that he had "spent the last few hours reviewing both your email and the attached QC Inspection Summary Report and photo documentation," that he had escalated the matter to Meridian's manufacturing quality team, and that Meridian took the "quality concerns very seriously." The response proposed a joint inspection at the jobsite, offered to compile Meridian's pre-shipment records, and requested that Caldwell "hold all 800 units at the jobsite in their current storage configuration and refrain from moving or further handling them." The response copied Meridian's Vice President of Sales, Janet Huang—the very officer designated to receive notices under MSA Section 19.1 and the verifying declarant of the Complaint. At no point did Mr. Densmore or anyone at Meridian object that the notice had been transmitted by email. Caldwell states that the response speaks for itself and denies any remaining allegations of Paragraph 32.</w:t>
      </w:r>
    </w:p>
    <w:p>
      <w:pPr>
        <w:spacing w:line="480" w:lineRule="auto" w:after="0"/>
        <w:ind w:firstLine="720"/>
        <w:jc w:val="both"/>
      </w:pPr>
      <w:r>
        <w:t>33.</w:t>
        <w:tab/>
        <w:t>Caldwell admits that the September 27, 2024 notice of rejection was transmitted by email and that MSA Section 19.1 speaks for itself. Caldwell denies the remaining allegations of Paragraph 33. Caldwell specifically denies that Section 19.1 renders a timely, detailed written notice of rejection ineffective where the notice was actually received, acknowledged, reviewed, and substantively acted upon by Meridian the same day. Sections 6.1 and 6.2 require "written notice of rejection," and Caldwell's notice was written. Caldwell further states that Meridian actually received the notice, acknowledged it in writing, treated it as a rejection notice, referred in its own October 15, 2024 letter to "the quality concerns raised in Caldwell's September 27, 2024 communication," and raised no objection to the method of transmission until its counsel's demand letter of January 8, 2025—more than three months after the Inspection Period had closed.</w:t>
      </w:r>
    </w:p>
    <w:p>
      <w:pPr>
        <w:spacing w:line="480" w:lineRule="auto" w:after="0"/>
        <w:ind w:firstLine="720"/>
        <w:jc w:val="both"/>
      </w:pPr>
      <w:r>
        <w:t>34.</w:t>
        <w:tab/>
        <w:t>Caldwell denies the allegations of Paragraph 34.</w:t>
      </w:r>
    </w:p>
    <w:p>
      <w:pPr>
        <w:spacing w:line="480" w:lineRule="auto" w:after="0"/>
        <w:ind w:firstLine="720"/>
        <w:jc w:val="both"/>
      </w:pPr>
      <w:r>
        <w:t>35.</w:t>
        <w:tab/>
        <w:t>Caldwell denies the allegations of Paragraph 35. Caldwell specifically denies that its defect findings are unfounded and denies that the Tranche 1 units conformed to PO-147. Caldwell lacks knowledge or information sufficient to form a belief about the contents of Meridian's internal quality assurance records, and therefore denies all allegations concerning them.</w:t>
      </w:r>
    </w:p>
    <w:p>
      <w:pPr>
        <w:spacing w:line="480" w:lineRule="auto" w:after="0"/>
        <w:ind w:firstLine="720"/>
        <w:jc w:val="both"/>
      </w:pPr>
      <w:r>
        <w:t>36.</w:t>
        <w:tab/>
        <w:t>Caldwell denies the allegations of Paragraph 36. Caldwell objects to Meridian's reliance on Mr. Caldwell's January 15, 2025 email, which was a written response to Meridian's counsel's letter that expressly invoked the MSA Section 15.1 good-faith negotiation period, and which constituted an offer of compromise made in an effort to resolve a disputed claim. The email and its contents are inadmissible to prove or disprove the validity or amount of Meridian's claims under Federal Rule of Evidence 408. Without waiving that objection, Caldwell states that the email speaks for itself; denies that it constitutes an admission of conformity, acceptance, or liability; and states that any offer made therein was expressly conditioned on a global resolution ("if we can get this resolved") and was never accepted by Meridian. Caldwell further states that its retention of the Tranche 1 units at the jobsite has been as bailee holding rejected goods at Meridian's risk pursuant to MSA Section 6.4 and O.C.G.A. § 11-2-602(2)(b), and at Meridian's express request, and not as an owner deriving any benefit from them.</w:t>
      </w:r>
    </w:p>
    <w:p>
      <w:pPr>
        <w:spacing w:line="480" w:lineRule="auto" w:after="0"/>
        <w:ind w:firstLine="720"/>
        <w:jc w:val="both"/>
      </w:pPr>
      <w:r>
        <w:t>37.</w:t>
        <w:tab/>
        <w:t>Caldwell admits that it has not paid Meridian for any Tranche 1 units. Caldwell denies that any amount for Tranche 1 is "outstanding," denies that any Tranche 1 units were deemed accepted, and denies any remaining allegations of Paragraph 37.</w:t>
      </w:r>
    </w:p>
    <w:p>
      <w:pPr>
        <w:keepNext/>
        <w:spacing w:line="240" w:lineRule="auto" w:after="240"/>
        <w:jc w:val="left"/>
      </w:pPr>
      <w:r>
        <w:rPr>
          <w:b/>
        </w:rPr>
        <w:t>D. Project Suspension and Caldwell’s Purported Force Majeure Claim</w:t>
      </w:r>
    </w:p>
    <w:p>
      <w:pPr>
        <w:spacing w:line="480" w:lineRule="auto" w:after="0"/>
        <w:ind w:firstLine="720"/>
        <w:jc w:val="both"/>
      </w:pPr>
      <w:r>
        <w:t>38.</w:t>
        <w:tab/>
        <w:t>Caldwell admits that on October 2, 2024, Tidewater issued a written notice suspending all work on the Project effective immediately and indefinitely, citing a dispute between Tidewater and Chatham County, the Project owner, regarding change orders totaling approximately $11.2 million. Caldwell further states that Tidewater's notice directed that "[n]o further material deliveries shall be made to the Project jobsite until further written notice from Tidewater," that "[n]o additional purchase orders for Project materials shall be issued or fulfilled during the suspension period," and that all Caldwell personnel be demobilized from the jobsite within five business days. Caldwell states that the Tidewater notice speaks for itself. Caldwell denies the remaining allegations of Paragraph 38 to the extent they state legal conclusions or characterizations, and specifically denies that the suspension was within Caldwell's control.</w:t>
      </w:r>
    </w:p>
    <w:p>
      <w:pPr>
        <w:spacing w:line="480" w:lineRule="auto" w:after="0"/>
        <w:ind w:firstLine="720"/>
        <w:jc w:val="both"/>
      </w:pPr>
      <w:r>
        <w:t>39.</w:t>
        <w:tab/>
        <w:t>Caldwell admits that on October 9, 2024—five business days after the Tidewater suspension notice and within the ten-business-day period required by MSA Section 12.1—it sent Meridian written notice of a force majeure event by FedEx overnight delivery with respect to Tranches 2 and 3 of PO-147 and PO-163, and that the notice identified "government action" and, independently and alternatively, the broader category of events "beyond Caldwell's reasonable control." Caldwell states that the notice speaks for itself and denies any characterization of it inconsistent with its terms.</w:t>
      </w:r>
    </w:p>
    <w:p>
      <w:pPr>
        <w:spacing w:line="480" w:lineRule="auto" w:after="0"/>
        <w:ind w:firstLine="720"/>
        <w:jc w:val="both"/>
      </w:pPr>
      <w:r>
        <w:t>40.</w:t>
        <w:tab/>
        <w:t>Paragraph 40 states legal conclusions to which no response is required. To the extent a response is required, Caldwell denies the allegations of Paragraph 40. Caldwell specifically denies that the indefinite suspension of the Project, which Caldwell did not cause and could not prevent, and which physically barred deliveries to the only delivery location designated in the Purchase Orders, was within Caldwell's reasonable control.</w:t>
      </w:r>
    </w:p>
    <w:p>
      <w:pPr>
        <w:spacing w:line="480" w:lineRule="auto" w:after="0"/>
        <w:ind w:firstLine="720"/>
        <w:jc w:val="both"/>
      </w:pPr>
      <w:r>
        <w:t>41.</w:t>
        <w:tab/>
        <w:t>Caldwell admits that Meridian sent a letter dated October 15, 2024, rejecting Caldwell's force majeure notice and demanding that Caldwell accept the remaining deliveries. Caldwell states that the letter speaks for itself and denies that Meridian's rejection was correct, timely in any legally significant sense, or well-founded. Caldwell further states that Meridian's October 15 letter itself misquoted MSA Section 12.1 by omitting the words "including, without limitation," and that the letter confirmed that, as of October 15, 2024, Meridian had only "begun procurement of raw materials for Tranche 3 of PO-147 and for PO-163." Caldwell denies any remaining allegations of Paragraph 41.</w:t>
      </w:r>
    </w:p>
    <w:p>
      <w:pPr>
        <w:spacing w:line="480" w:lineRule="auto" w:after="0"/>
        <w:ind w:firstLine="720"/>
        <w:jc w:val="both"/>
      </w:pPr>
      <w:r>
        <w:t>42.</w:t>
        <w:tab/>
        <w:t>Caldwell admits that it did not accept delivery of goods under Tranches 2 and 3 of PO-147 or PO-163. Caldwell denies that it was obligated to do so and denies that any conforming tender of such goods was ever made at the designated delivery location. Caldwell lacks knowledge or information sufficient to form a belief about the status of Meridian's manufacturing as of October 9, 2024, and therefore denies those allegations. Caldwell denies that Meridian's continued production was reasonable, and states that Caldwell's October 9, 2024 notice expressly "request[ed] that Meridian suspend or delay any further manufacturing activities related to Tranche 2 and Tranche 3 of PO-147 and the PO-163 order." Caldwell denies any remaining allegations of Paragraph 42.</w:t>
      </w:r>
    </w:p>
    <w:p>
      <w:pPr>
        <w:spacing w:line="480" w:lineRule="auto" w:after="0"/>
        <w:ind w:firstLine="720"/>
        <w:jc w:val="both"/>
      </w:pPr>
      <w:r>
        <w:t>43.</w:t>
        <w:tab/>
        <w:t>Caldwell denies the allegations of Paragraph 43. Caldwell's October 9, 2024 notice did not communicate a definite and unconditional refusal to perform. To the contrary, it described the suspension as having "temporarily rendered Caldwell unable to perform," stated that Caldwell was "presently unable" to accept delivery at the Project, stated that performance was excused only "for the duration of the force majeure event," expressed Caldwell's desire "to work cooperatively with Meridian," committed to keep Meridian informed of Project developments, and expressly reserved Caldwell's rights under MSA Sections 12.3 and 13.2. Caldwell further states that Meridian did not treat the notice as a repudiation: Meridian's October 15, 2024 letter rejected the force majeure claim, demanded continued performance, announced that Meridian "intends to proceed with manufacturing and delivery," and stated that Meridian would treat Caldwell's position as an anticipatory breach only prospectively and only if Caldwell failed to provide confirmation by October 29, 2024.</w:t>
      </w:r>
    </w:p>
    <w:p>
      <w:pPr>
        <w:keepNext/>
        <w:spacing w:line="240" w:lineRule="auto" w:after="240"/>
        <w:jc w:val="left"/>
      </w:pPr>
      <w:r>
        <w:rPr>
          <w:b/>
        </w:rPr>
        <w:t>E. Caldwell’s Purported Termination for Convenience</w:t>
      </w:r>
    </w:p>
    <w:p>
      <w:pPr>
        <w:spacing w:line="480" w:lineRule="auto" w:after="0"/>
        <w:ind w:firstLine="720"/>
        <w:jc w:val="both"/>
      </w:pPr>
      <w:r>
        <w:t>44.</w:t>
        <w:tab/>
        <w:t>Caldwell admits that on November 12, 2024, it sent Meridian written notice of termination for convenience under MSA Section 13.2 as to Tranches 2 and 3 of PO-147 and the entirety of PO-163, providing thirty days' notice with an effective date of December 12, 2024. Caldwell further states that the notice was sent by both certified mail, return receipt requested, and FedEx overnight delivery in compliance with MSA Section 19.1, and that the notice speaks for itself.</w:t>
      </w:r>
    </w:p>
    <w:p>
      <w:pPr>
        <w:spacing w:line="480" w:lineRule="auto" w:after="0"/>
        <w:ind w:firstLine="720"/>
        <w:jc w:val="both"/>
      </w:pPr>
      <w:r>
        <w:t>45.</w:t>
        <w:tab/>
        <w:t>Caldwell admits that its November 12, 2024 notice acknowledged its obligation under Section 13.2 to pay for all conforming goods already manufactured or in the process of manufacture as of the date of the notice, and requested that Meridian provide, within fifteen business days, an accounting and inventory of such goods together with supporting quality documentation. Caldwell denies the remaining allegations of Paragraph 45, including the allegation that Caldwell had anticipatorily repudiated the Purchase Orders and the legal conclusion that its termination for convenience was of no force or effect. Caldwell further states that Meridian never provided the requested accounting or quality documentation.</w:t>
      </w:r>
    </w:p>
    <w:p>
      <w:pPr>
        <w:spacing w:line="480" w:lineRule="auto" w:after="0"/>
        <w:ind w:firstLine="720"/>
        <w:jc w:val="both"/>
      </w:pPr>
      <w:r>
        <w:t>46.</w:t>
        <w:tab/>
        <w:t>Caldwell admits that Meridian sent a letter dated November 18, 2024, rejecting Caldwell's termination notice. Caldwell states that the letter speaks for itself and denies that Meridian's rejection was valid or had any legal effect. Caldwell denies any remaining allegations of Paragraph 46.</w:t>
      </w:r>
    </w:p>
    <w:p>
      <w:pPr>
        <w:spacing w:line="480" w:lineRule="auto" w:after="0"/>
        <w:ind w:firstLine="720"/>
        <w:jc w:val="both"/>
      </w:pPr>
      <w:r>
        <w:t>47.</w:t>
        <w:tab/>
        <w:t>Caldwell lacks knowledge or information sufficient to form a belief about the truth of the allegations of Paragraph 47 concerning the status of Meridian's manufacturing as of November 12, 2024, and therefore denies them. Caldwell notes that the allegation that Meridian had "completed approximately 320 of the 800 Tranche 3 units" is inconsistent with Meridian's November 18, 2024 letter, which stated only that Meridian was "approximately forty percent (40%) through the manufacture of Tranche 3," and that Meridian's October 15, 2024 letter stated that Meridian had then only begun procuring raw materials for Tranche 3 and PO-163. Caldwell denies that such goods were manufactured in reasonable reliance on Caldwell's obligations, as all such manufacturing occurred after Caldwell had notified Meridian of the Project suspension and requested that Meridian suspend further manufacturing.</w:t>
      </w:r>
    </w:p>
    <w:p>
      <w:pPr>
        <w:spacing w:line="480" w:lineRule="auto" w:after="0"/>
        <w:ind w:firstLine="720"/>
        <w:jc w:val="both"/>
      </w:pPr>
      <w:r>
        <w:t>48.</w:t>
        <w:tab/>
        <w:t>Caldwell admits that, under MSA Section 13.2, a terminating party is obligated to pay for all conforming Goods already manufactured or in the process of manufacture at the time of the termination notice, subject to the limitations of Section 13.2. Caldwell denies the remaining allegations of Paragraph 48, including subparagraphs (a) through (c) and the calculations therein. Caldwell specifically denies that Meridian is entitled to the full unit contract price for units that were merely "in process of manufacture"; denies that Meridian has demonstrated that any such goods are conforming; denies that Meridian is owed $1,280,000 for Tranche 1; and denies that Caldwell owes "no less than $3,390,000."</w:t>
      </w:r>
    </w:p>
    <w:p>
      <w:pPr>
        <w:keepNext/>
        <w:spacing w:line="240" w:lineRule="auto" w:after="240"/>
        <w:jc w:val="left"/>
      </w:pPr>
      <w:r>
        <w:rPr>
          <w:b/>
        </w:rPr>
        <w:t>F. Caldwell’s Refusal of Tranche 2 Delivery</w:t>
      </w:r>
    </w:p>
    <w:p>
      <w:pPr>
        <w:spacing w:line="480" w:lineRule="auto" w:after="0"/>
        <w:ind w:firstLine="720"/>
        <w:jc w:val="both"/>
      </w:pPr>
      <w:r>
        <w:t>49.</w:t>
        <w:tab/>
        <w:t>Caldwell admits that on November 15, 2024, a carrier engaged by Meridian attempted to deliver 800 MV-8800 series butterfly valves to Caldwell's corporate offices at 1475 Northside Industrial Boulevard, Atlanta, Georgia 30318. Caldwell denies that this constituted a valid tender of delivery under PO-147, the MSA, or O.C.G.A. § 11-2-503, because PO-147 designated the Project jobsite as the sole delivery location and expressly prohibited deliveries to any alternative location without Caldwell's prior written authorization, which Caldwell never gave. Caldwell further states that the attempted delivery occurred three days after Caldwell had given notice of termination for convenience. Caldwell denies any remaining allegations of Paragraph 49.</w:t>
      </w:r>
    </w:p>
    <w:p>
      <w:pPr>
        <w:spacing w:line="480" w:lineRule="auto" w:after="0"/>
        <w:ind w:firstLine="720"/>
        <w:jc w:val="both"/>
      </w:pPr>
      <w:r>
        <w:t>50.</w:t>
        <w:tab/>
        <w:t>Caldwell denies the allegations of Paragraph 50. Caldwell specifically denies that MSA Section 5.1 permitted Meridian to select a delivery location unilaterally; Section 5.1 requires delivery to the location "specified in the applicable Purchase Order," and PO-147 specified only the Project jobsite and expressly deemed any unauthorized alternative delivery "a non-conforming delivery" that Caldwell had no obligation to accept. Meridian neither requested nor received Caldwell's authorization to deliver to Atlanta, and did not propose any change order under MSA Section 8. Caldwell further denies that the Project suspension was "caused by Caldwell's own subcontracting relationship."</w:t>
      </w:r>
    </w:p>
    <w:p>
      <w:pPr>
        <w:spacing w:line="480" w:lineRule="auto" w:after="0"/>
        <w:ind w:firstLine="720"/>
        <w:jc w:val="both"/>
      </w:pPr>
      <w:r>
        <w:t>51.</w:t>
        <w:tab/>
        <w:t>Caldwell admits that it did not accept the attempted November 15, 2024 delivery and that the carrier's bill of lading bears the driver's notation "Delivery refused — no authorization to receive" and no Caldwell signature. Caldwell states that the bill of lading reflects that the goods were "[r]eturned to carrier terminal — awaiting shipper instructions." Caldwell lacks knowledge or information sufficient to form a belief about the subsequent disposition or current location of the goods, and therefore denies the remaining allegations of Paragraph 51.</w:t>
      </w:r>
    </w:p>
    <w:p>
      <w:pPr>
        <w:spacing w:line="480" w:lineRule="auto" w:after="0"/>
        <w:ind w:firstLine="720"/>
        <w:jc w:val="both"/>
      </w:pPr>
      <w:r>
        <w:t>52.</w:t>
        <w:tab/>
        <w:t>Caldwell denies the allegations of Paragraph 52.</w:t>
      </w:r>
    </w:p>
    <w:p>
      <w:pPr>
        <w:keepNext/>
        <w:spacing w:line="240" w:lineRule="auto" w:after="240"/>
        <w:jc w:val="left"/>
      </w:pPr>
      <w:r>
        <w:rPr>
          <w:b/>
        </w:rPr>
        <w:t>G. Pre-Suit Demand and Failed Negotiations</w:t>
      </w:r>
    </w:p>
    <w:p>
      <w:pPr>
        <w:spacing w:line="480" w:lineRule="auto" w:after="0"/>
        <w:ind w:firstLine="720"/>
        <w:jc w:val="both"/>
      </w:pPr>
      <w:r>
        <w:t>53.</w:t>
        <w:tab/>
        <w:t>Caldwell admits that Meridian's counsel sent a letter dated January 8, 2025, addressed to Theodore R. Caldwell III, demanding payment of $4,730,400 plus $148,927.80 in asserted interest through the date of the letter. Caldwell states that the letter speaks for itself and denies that the amounts demanded are owed. Caldwell further states that the letter purported to "accelerate" all amounts under the Purchase Orders and to compute interest on undelivered and unaccepted goods from October 9, 2024, although the MSA contains no acceleration clause and Section 7.3 imposes interest only on amounts not paid when due.</w:t>
      </w:r>
    </w:p>
    <w:p>
      <w:pPr>
        <w:spacing w:line="480" w:lineRule="auto" w:after="0"/>
        <w:ind w:firstLine="720"/>
        <w:jc w:val="both"/>
      </w:pPr>
      <w:r>
        <w:t>54.</w:t>
        <w:tab/>
        <w:t>Caldwell admits that the January 8, 2025 letter purported to invoke MSA Section 15.1. Caldwell states that the letter speaks for itself and denies that it satisfied Section 15.1. Caldwell further states that, rather than inviting good-faith negotiation, the letter demanded that Caldwell respond "with a proposal for full payment of all amounts due or an acceptable payment plan that will result in the satisfaction of the total outstanding obligation in its entirety." Caldwell denies any remaining allegations of Paragraph 54.</w:t>
      </w:r>
    </w:p>
    <w:p>
      <w:pPr>
        <w:spacing w:line="480" w:lineRule="auto" w:after="0"/>
        <w:ind w:firstLine="720"/>
        <w:jc w:val="both"/>
      </w:pPr>
      <w:r>
        <w:t>55.</w:t>
        <w:tab/>
        <w:t>Caldwell admits that Mr. Caldwell responded to Meridian's counsel by email on January 15, 2025, within the negotiation period invoked by Meridian. Caldwell objects to the use of the email under Federal Rule of Evidence 408 for the reasons stated in response to Paragraph 36. Without waiving that objection, Caldwell states that the email speaks for itself and denies Meridian's characterization of it in Paragraph 55 and subparagraphs (a) through (d). Caldwell further states that the email reiterated Caldwell's position that Tranche 1 had been properly rejected, that the Tranche 1 defect rate exceeded the contractual AQL, and that Meridian had to repair or replace the defective units; offered, in compromise, to resolve Tranche 1 on specified terms; expressed Caldwell's willingness "to discuss reasonable compensation for goods that were actually completed and ready to ship as of November 12" upon receipt of an accounting from Meridian; and closed by stating, "I'm available to discuss if that would be helpful."</w:t>
      </w:r>
    </w:p>
    <w:p>
      <w:pPr>
        <w:spacing w:line="480" w:lineRule="auto" w:after="0"/>
        <w:ind w:firstLine="720"/>
        <w:jc w:val="both"/>
      </w:pPr>
      <w:r>
        <w:t>56.</w:t>
        <w:tab/>
        <w:t>Caldwell denies the allegations of Paragraph 56, and incorporates its Rule 408 objection and its response to Paragraph 36.</w:t>
      </w:r>
    </w:p>
    <w:p>
      <w:pPr>
        <w:spacing w:line="480" w:lineRule="auto" w:after="0"/>
        <w:ind w:firstLine="720"/>
        <w:jc w:val="both"/>
      </w:pPr>
      <w:r>
        <w:t>57.</w:t>
        <w:tab/>
        <w:t>Caldwell denies the allegations of Paragraph 57. Caldwell specifically states that its January 15, 2025 email set forth a substantive settlement proposal and expressly invited further discussion. Upon information and belief, Meridian never responded to that proposal, never designated a senior representative, and never proposed or convened the meeting between designated senior representatives that MSA Section 15.1 requires as a condition precedent to suit. [CLIENT TO CONFIRM: whether Meridian or its counsel made any response or proposed any meeting after January 15, 2025.] Caldwell further denies that the retention of legal counsel is a requirement of Section 15.1.</w:t>
      </w:r>
    </w:p>
    <w:p>
      <w:pPr>
        <w:spacing w:line="480" w:lineRule="auto" w:after="0"/>
        <w:ind w:firstLine="720"/>
        <w:jc w:val="both"/>
      </w:pPr>
      <w:r>
        <w:t>58.</w:t>
        <w:tab/>
        <w:t>Caldwell denies the allegations of Paragraph 58. Pursuant to Federal Rule of Civil Procedure 9(c), Caldwell specifically and with particularity denies that Meridian satisfied the conditions precedent of MSA Section 15.1, in that (a) no designated senior representative of Meridian ever met, in person or by teleconference, with a designated senior representative of Caldwell to attempt to resolve the dispute; (b) Meridian did not designate a senior representative within five business days of its dispute notice; and (c) Meridian did not engage in good-faith negotiations, but instead demanded payment in full and did not respond to Caldwell's compromise proposal.</w:t>
      </w:r>
    </w:p>
    <w:p>
      <w:pPr>
        <w:keepNext/>
        <w:spacing w:line="240" w:lineRule="auto" w:after="240"/>
        <w:jc w:val="left"/>
      </w:pPr>
      <w:r>
        <w:rPr>
          <w:b/>
        </w:rPr>
        <w:t>H. Meridian’s Damages</w:t>
      </w:r>
    </w:p>
    <w:p>
      <w:pPr>
        <w:spacing w:line="480" w:lineRule="auto" w:after="0"/>
        <w:ind w:firstLine="720"/>
        <w:jc w:val="both"/>
      </w:pPr>
      <w:r>
        <w:t>59.</w:t>
        <w:tab/>
        <w:t>Caldwell denies the allegations of Paragraph 59, including subparagraphs (a) through (c). Caldwell specifically denies that it proximately caused Meridian any damages; denies that any Tranche 1 units were deemed accepted; denies that it refused or prevented any conforming delivery of Tranches 2 or 3; denies that Meridian is entitled to the contract price of goods that were never delivered or accepted, and in many instances never manufactured; and denies that Meridian is entitled to the full contract price of PO-163 when, by Meridian's own allegations, it had commenced manufacture of only approximately 200 of the 560 units.</w:t>
      </w:r>
    </w:p>
    <w:p>
      <w:pPr>
        <w:spacing w:line="480" w:lineRule="auto" w:after="0"/>
        <w:ind w:firstLine="720"/>
        <w:jc w:val="both"/>
      </w:pPr>
      <w:r>
        <w:t>60.</w:t>
        <w:tab/>
        <w:t>Caldwell denies the allegations of Paragraph 60.</w:t>
      </w:r>
    </w:p>
    <w:p>
      <w:pPr>
        <w:spacing w:line="480" w:lineRule="auto" w:after="0"/>
        <w:ind w:firstLine="720"/>
        <w:jc w:val="both"/>
      </w:pPr>
      <w:r>
        <w:t>61.</w:t>
        <w:tab/>
        <w:t>Caldwell lacks knowledge or information sufficient to form a belief about the amount of attorneys' fees and costs Meridian has incurred, and therefore denies those allegations. Caldwell denies that Meridian is entitled to recover attorneys' fees or costs. Caldwell states that MSA Section 15.4 provides for an award of fees only to the "prevailing Party."</w:t>
      </w:r>
    </w:p>
    <w:p>
      <w:pPr>
        <w:spacing w:line="480" w:lineRule="auto" w:after="0"/>
        <w:ind w:firstLine="720"/>
        <w:jc w:val="both"/>
      </w:pPr>
      <w:r>
        <w:t>62.</w:t>
        <w:tab/>
        <w:t>Caldwell denies the allegations of Paragraph 62.</w:t>
      </w:r>
    </w:p>
    <w:p>
      <w:pPr>
        <w:keepNext/>
        <w:spacing w:line="240" w:lineRule="auto" w:after="240"/>
        <w:jc w:val="left"/>
      </w:pPr>
      <w:r>
        <w:rPr>
          <w:b/>
        </w:rPr>
        <w:t>Count I — Breach of Contract — PO-147, Tranches 2 and 3</w:t>
      </w:r>
    </w:p>
    <w:p>
      <w:pPr>
        <w:spacing w:line="480" w:lineRule="auto" w:after="0"/>
        <w:ind w:firstLine="720"/>
        <w:jc w:val="both"/>
      </w:pPr>
      <w:r>
        <w:t>63.</w:t>
        <w:tab/>
        <w:t>Caldwell incorporates by reference its responses to Paragraphs 1 through 62 as though fully set forth herein.</w:t>
      </w:r>
    </w:p>
    <w:p>
      <w:pPr>
        <w:spacing w:line="480" w:lineRule="auto" w:after="0"/>
        <w:ind w:firstLine="720"/>
        <w:jc w:val="both"/>
      </w:pPr>
      <w:r>
        <w:t>64.</w:t>
        <w:tab/>
        <w:t>Caldwell admits that the MSA and PO-147 are valid and enforceable contracts and that PO-147 was submitted by Caldwell and accepted by Meridian in accordance with the MSA. Caldwell states that the MSA and PO-147 are enforceable in accordance with all of their terms, including without limitation MSA Sections 4.4, 6, 12, 13.2, 15.1, and 16 and PO-147 Section II.A. Caldwell denies any remaining allegations of Paragraph 64.</w:t>
      </w:r>
    </w:p>
    <w:p>
      <w:pPr>
        <w:spacing w:line="480" w:lineRule="auto" w:after="0"/>
        <w:ind w:firstLine="720"/>
        <w:jc w:val="both"/>
      </w:pPr>
      <w:r>
        <w:t>65.</w:t>
        <w:tab/>
        <w:t>Caldwell denies the allegations of Paragraph 65.</w:t>
      </w:r>
    </w:p>
    <w:p>
      <w:pPr>
        <w:spacing w:line="480" w:lineRule="auto" w:after="0"/>
        <w:ind w:firstLine="720"/>
        <w:jc w:val="both"/>
      </w:pPr>
      <w:r>
        <w:t>66.</w:t>
        <w:tab/>
        <w:t>Caldwell denies the allegations of Paragraph 66, including subparagraphs (a) through (d).</w:t>
      </w:r>
    </w:p>
    <w:p>
      <w:pPr>
        <w:spacing w:line="480" w:lineRule="auto" w:after="0"/>
        <w:ind w:firstLine="720"/>
        <w:jc w:val="both"/>
      </w:pPr>
      <w:r>
        <w:t>67.</w:t>
        <w:tab/>
        <w:t>Caldwell denies the allegations of Paragraph 67.</w:t>
      </w:r>
    </w:p>
    <w:p>
      <w:pPr>
        <w:spacing w:line="480" w:lineRule="auto" w:after="0"/>
        <w:ind w:firstLine="720"/>
        <w:jc w:val="both"/>
      </w:pPr>
      <w:r>
        <w:t>68.</w:t>
        <w:tab/>
        <w:t>Caldwell denies the allegations of Paragraph 68.</w:t>
      </w:r>
    </w:p>
    <w:p>
      <w:pPr>
        <w:spacing w:line="480" w:lineRule="auto" w:after="0"/>
        <w:ind w:firstLine="720"/>
        <w:jc w:val="both"/>
      </w:pPr>
      <w:r>
        <w:t>69.</w:t>
        <w:tab/>
        <w:t>Caldwell denies the allegations of Paragraph 69.</w:t>
      </w:r>
    </w:p>
    <w:p>
      <w:pPr>
        <w:keepNext/>
        <w:spacing w:line="240" w:lineRule="auto" w:after="240"/>
        <w:jc w:val="left"/>
      </w:pPr>
      <w:r>
        <w:rPr>
          <w:b/>
        </w:rPr>
        <w:t>Count II — Breach of Contract — PO-163</w:t>
      </w:r>
    </w:p>
    <w:p>
      <w:pPr>
        <w:spacing w:line="480" w:lineRule="auto" w:after="0"/>
        <w:ind w:firstLine="720"/>
        <w:jc w:val="both"/>
      </w:pPr>
      <w:r>
        <w:t>70.</w:t>
        <w:tab/>
        <w:t>Caldwell incorporates by reference its responses to Paragraphs 1 through 62 as though fully set forth herein.</w:t>
      </w:r>
    </w:p>
    <w:p>
      <w:pPr>
        <w:spacing w:line="480" w:lineRule="auto" w:after="0"/>
        <w:ind w:firstLine="720"/>
        <w:jc w:val="both"/>
      </w:pPr>
      <w:r>
        <w:t>71.</w:t>
        <w:tab/>
        <w:t>Caldwell admits that the MSA and PO-163 are valid and enforceable contracts and that PO-163 was submitted by Caldwell and accepted by Meridian in accordance with the MSA. Caldwell states that the MSA and PO-163 are enforceable in accordance with all of their terms. Caldwell denies any remaining allegations of Paragraph 71.</w:t>
      </w:r>
    </w:p>
    <w:p>
      <w:pPr>
        <w:spacing w:line="480" w:lineRule="auto" w:after="0"/>
        <w:ind w:firstLine="720"/>
        <w:jc w:val="both"/>
      </w:pPr>
      <w:r>
        <w:t>72.</w:t>
        <w:tab/>
        <w:t>Caldwell denies the allegations of Paragraph 72. Caldwell further states that Meridian never tendered delivery of any goods under PO-163 and, by its own allegations, never completed manufacture of the 560 units ordered.</w:t>
      </w:r>
    </w:p>
    <w:p>
      <w:pPr>
        <w:spacing w:line="480" w:lineRule="auto" w:after="0"/>
        <w:ind w:firstLine="720"/>
        <w:jc w:val="both"/>
      </w:pPr>
      <w:r>
        <w:t>73.</w:t>
        <w:tab/>
        <w:t>Caldwell denies the allegations of Paragraph 73, including subparagraphs (a) through (c).</w:t>
      </w:r>
    </w:p>
    <w:p>
      <w:pPr>
        <w:spacing w:line="480" w:lineRule="auto" w:after="0"/>
        <w:ind w:firstLine="720"/>
        <w:jc w:val="both"/>
      </w:pPr>
      <w:r>
        <w:t>74.</w:t>
        <w:tab/>
        <w:t>Caldwell denies the allegations of Paragraph 74.</w:t>
      </w:r>
    </w:p>
    <w:p>
      <w:pPr>
        <w:spacing w:line="480" w:lineRule="auto" w:after="0"/>
        <w:ind w:firstLine="720"/>
        <w:jc w:val="both"/>
      </w:pPr>
      <w:r>
        <w:t>75.</w:t>
        <w:tab/>
        <w:t>Caldwell denies the allegations of Paragraph 75.</w:t>
      </w:r>
    </w:p>
    <w:p>
      <w:pPr>
        <w:spacing w:line="480" w:lineRule="auto" w:after="0"/>
        <w:ind w:firstLine="720"/>
        <w:jc w:val="both"/>
      </w:pPr>
      <w:r>
        <w:t>76.</w:t>
        <w:tab/>
        <w:t>Caldwell denies the allegations of Paragraph 76.</w:t>
      </w:r>
    </w:p>
    <w:p>
      <w:pPr>
        <w:keepNext/>
        <w:spacing w:line="240" w:lineRule="auto" w:after="240"/>
        <w:jc w:val="left"/>
      </w:pPr>
      <w:r>
        <w:rPr>
          <w:b/>
        </w:rPr>
        <w:t>Count III — Breach of Contract — PO-147, Tranche 1 (Unpaid Balance)</w:t>
      </w:r>
    </w:p>
    <w:p>
      <w:pPr>
        <w:spacing w:line="480" w:lineRule="auto" w:after="0"/>
        <w:ind w:firstLine="720"/>
        <w:jc w:val="both"/>
      </w:pPr>
      <w:r>
        <w:t>77.</w:t>
        <w:tab/>
        <w:t>Caldwell incorporates by reference its responses to Paragraphs 1 through 62 as though fully set forth herein.</w:t>
      </w:r>
    </w:p>
    <w:p>
      <w:pPr>
        <w:spacing w:line="480" w:lineRule="auto" w:after="0"/>
        <w:ind w:firstLine="720"/>
        <w:jc w:val="both"/>
      </w:pPr>
      <w:r>
        <w:t>78.</w:t>
        <w:tab/>
        <w:t>Caldwell admits that Meridian delivered 800 MV-8800 series butterfly valves to the Project jobsite on September 12, 2024, ahead of the September 15, 2024 delivery date. Caldwell denies that the goods conformed to PO-147 and the MSA, and denies any remaining allegations of Paragraph 78.</w:t>
      </w:r>
    </w:p>
    <w:p>
      <w:pPr>
        <w:spacing w:line="480" w:lineRule="auto" w:after="0"/>
        <w:ind w:firstLine="720"/>
        <w:jc w:val="both"/>
      </w:pPr>
      <w:r>
        <w:t>79.</w:t>
        <w:tab/>
        <w:t>Caldwell denies the allegations of Paragraph 79, and incorporates its responses to Paragraphs 30 through 34.</w:t>
      </w:r>
    </w:p>
    <w:p>
      <w:pPr>
        <w:spacing w:line="480" w:lineRule="auto" w:after="0"/>
        <w:ind w:firstLine="720"/>
        <w:jc w:val="both"/>
      </w:pPr>
      <w:r>
        <w:t>80.</w:t>
        <w:tab/>
        <w:t>Caldwell denies the allegations of Paragraph 80.</w:t>
      </w:r>
    </w:p>
    <w:p>
      <w:pPr>
        <w:spacing w:line="480" w:lineRule="auto" w:after="0"/>
        <w:ind w:firstLine="720"/>
        <w:jc w:val="both"/>
      </w:pPr>
      <w:r>
        <w:t>81.</w:t>
        <w:tab/>
        <w:t>Caldwell denies the allegations of Paragraph 81, and incorporates its Rule 408 objection and its response to Paragraph 36. Caldwell admits that the Tranche 1 units remain at the Project jobsite in their original shipping crates. Caldwell states that it has held the rejected units at Meridian's risk and expense pursuant to MSA Section 6.4; that Meridian was obligated under Section 6.4 to provide written instructions for return or other disposition within fifteen business days of the rejection notice, and never did so; and that Meridian's own Project Manager expressly requested on September 27, 2024 that Caldwell "hold all 800 units at the jobsite in their current storage configuration and refrain from moving or further handling them." Caldwell denies that it has used or derived any benefit from the Tranche 1 units.</w:t>
      </w:r>
    </w:p>
    <w:p>
      <w:pPr>
        <w:spacing w:line="480" w:lineRule="auto" w:after="0"/>
        <w:ind w:firstLine="720"/>
        <w:jc w:val="both"/>
      </w:pPr>
      <w:r>
        <w:t>82.</w:t>
        <w:tab/>
        <w:t>Caldwell denies the allegations of Paragraph 82.</w:t>
      </w:r>
    </w:p>
    <w:p>
      <w:pPr>
        <w:spacing w:line="480" w:lineRule="auto" w:after="0"/>
        <w:ind w:firstLine="720"/>
        <w:jc w:val="both"/>
      </w:pPr>
      <w:r>
        <w:t>83.</w:t>
        <w:tab/>
        <w:t>Caldwell denies the allegations of Paragraph 83.</w:t>
      </w:r>
    </w:p>
    <w:p>
      <w:pPr>
        <w:spacing w:line="480" w:lineRule="auto" w:after="0"/>
        <w:ind w:firstLine="720"/>
        <w:jc w:val="both"/>
      </w:pPr>
      <w:r>
        <w:t>84.</w:t>
        <w:tab/>
        <w:t>Caldwell denies the allegations of Paragraph 84.</w:t>
      </w:r>
    </w:p>
    <w:p>
      <w:pPr>
        <w:keepNext/>
        <w:spacing w:line="240" w:lineRule="auto" w:after="240"/>
        <w:jc w:val="left"/>
      </w:pPr>
      <w:r>
        <w:rPr>
          <w:b/>
        </w:rPr>
        <w:t>Count IV — Unjust Enrichment (In the Alternative)</w:t>
      </w:r>
    </w:p>
    <w:p>
      <w:pPr>
        <w:spacing w:line="480" w:lineRule="auto" w:after="0"/>
        <w:ind w:firstLine="720"/>
        <w:jc w:val="both"/>
      </w:pPr>
      <w:r>
        <w:t>85.</w:t>
        <w:tab/>
        <w:t>Caldwell incorporates by reference its responses to Paragraphs 1 through 62 as though fully set forth herein.</w:t>
      </w:r>
    </w:p>
    <w:p>
      <w:pPr>
        <w:spacing w:line="480" w:lineRule="auto" w:after="0"/>
        <w:ind w:firstLine="720"/>
        <w:jc w:val="both"/>
      </w:pPr>
      <w:r>
        <w:t>86.</w:t>
        <w:tab/>
        <w:t>Paragraph 86 states a legal conclusion to which no response is required. To the extent a response is required, Caldwell denies that Meridian is entitled to any relief for unjust enrichment. Caldwell further states that Meridian has affirmatively pleaded, and Caldwell has admitted, that the MSA and the Purchase Orders are valid, binding, and enforceable contracts governing the very subject matter of Count IV, such that no claim for unjust enrichment lies under Georgia law.</w:t>
      </w:r>
    </w:p>
    <w:p>
      <w:pPr>
        <w:spacing w:line="480" w:lineRule="auto" w:after="0"/>
        <w:ind w:firstLine="720"/>
        <w:jc w:val="both"/>
      </w:pPr>
      <w:r>
        <w:t>87.</w:t>
        <w:tab/>
        <w:t>Caldwell admits that Meridian delivered 800 butterfly valves to the Project jobsite on September 12, 2024, that the valves were intended to be manufactured to Caldwell's specifications, and that the valves remain at the jobsite. Caldwell denies that Meridian conferred any benefit on Caldwell, denies that the valves conformed to Caldwell's specifications, and denies the remaining allegations of Paragraph 87. Caldwell incorporates its response to Paragraph 81.</w:t>
      </w:r>
    </w:p>
    <w:p>
      <w:pPr>
        <w:spacing w:line="480" w:lineRule="auto" w:after="0"/>
        <w:ind w:firstLine="720"/>
        <w:jc w:val="both"/>
      </w:pPr>
      <w:r>
        <w:t>88.</w:t>
        <w:tab/>
        <w:t>Caldwell admits that its personnel inspected the Tranche 1 units and that its Senior QC Engineer communicated with Meridian regarding the units, including by delivering Caldwell's written notice of rejection. Caldwell objects to the use of the January 15, 2025 email under Federal Rule of Evidence 408 and denies Meridian's characterization of it. Caldwell denies the remaining allegations of Paragraph 88, including that any benefit was conferred.</w:t>
      </w:r>
    </w:p>
    <w:p>
      <w:pPr>
        <w:spacing w:line="480" w:lineRule="auto" w:after="0"/>
        <w:ind w:firstLine="720"/>
        <w:jc w:val="both"/>
      </w:pPr>
      <w:r>
        <w:t>89.</w:t>
        <w:tab/>
        <w:t>Caldwell admits that it has not paid Meridian for the Tranche 1 units. Caldwell denies that it has retained any "benefit" and denies the remaining allegations of Paragraph 89.</w:t>
      </w:r>
    </w:p>
    <w:p>
      <w:pPr>
        <w:spacing w:line="480" w:lineRule="auto" w:after="0"/>
        <w:ind w:firstLine="720"/>
        <w:jc w:val="both"/>
      </w:pPr>
      <w:r>
        <w:t>90.</w:t>
        <w:tab/>
        <w:t>Caldwell denies the allegations of Paragraph 90, including the allegation that the rejected Tranche 1 units have a reasonable value to Caldwell of no less than $1,280,000 and the allegation that Caldwell is holding the goods "as leverage."</w:t>
      </w:r>
    </w:p>
    <w:p>
      <w:pPr>
        <w:spacing w:line="480" w:lineRule="auto" w:after="0"/>
        <w:ind w:firstLine="720"/>
        <w:jc w:val="both"/>
      </w:pPr>
      <w:r>
        <w:t>91.</w:t>
        <w:tab/>
        <w:t>Caldwell denies the allegations of Paragraph 91.</w:t>
      </w:r>
    </w:p>
    <w:p>
      <w:pPr>
        <w:keepNext/>
        <w:spacing w:line="240" w:lineRule="auto" w:after="240"/>
        <w:jc w:val="left"/>
      </w:pPr>
      <w:r>
        <w:rPr>
          <w:b/>
        </w:rPr>
        <w:t>Prayer for Relief</w:t>
      </w:r>
    </w:p>
    <w:p>
      <w:pPr>
        <w:spacing w:line="480" w:lineRule="auto" w:after="0"/>
        <w:ind w:firstLine="720"/>
        <w:jc w:val="both"/>
      </w:pPr>
      <w:r>
        <w:t>Caldwell denies that Meridian is entitled to any of the relief requested in the unnumbered "WHEREFORE" paragraph following Paragraph 91, including subparagraphs (a) through (g), or to any relief whatsoever.</w:t>
      </w:r>
    </w:p>
    <w:p>
      <w:pPr>
        <w:keepNext/>
        <w:spacing w:line="240" w:lineRule="auto" w:after="240"/>
        <w:jc w:val="left"/>
      </w:pPr>
      <w:r>
        <w:rPr>
          <w:b/>
        </w:rPr>
        <w:t>Jury Demand, Verification, Signature Block, Certificate of Service, and List of Exhibits</w:t>
      </w:r>
    </w:p>
    <w:p>
      <w:pPr>
        <w:spacing w:line="480" w:lineRule="auto" w:after="0"/>
        <w:ind w:firstLine="720"/>
        <w:jc w:val="both"/>
      </w:pPr>
      <w:r>
        <w:t>Meridian's jury demand is not an allegation to which a response is required. The Verification, signature block, certificate of service, and list of exhibits contain no allegations to which a response is required; to the extent any response is required, Caldwell denies that the factual allegations of the Complaint are true and correct except as expressly admitted herein. Caldwell admits that it was served with the Summons and Complaint at its principal place of business.</w:t>
      </w:r>
    </w:p>
    <w:p>
      <w:pPr>
        <w:keepNext/>
        <w:spacing w:line="240" w:lineRule="auto" w:after="240" w:before="120"/>
        <w:jc w:val="center"/>
      </w:pPr>
      <w:r>
        <w:rPr>
          <w:b/>
        </w:rPr>
        <w:t>DEFENSES AND AFFIRMATIVE DEFENSES</w:t>
      </w:r>
    </w:p>
    <w:p>
      <w:pPr>
        <w:spacing w:line="480" w:lineRule="auto" w:after="0"/>
        <w:ind w:firstLine="720"/>
        <w:jc w:val="both"/>
      </w:pPr>
      <w:r>
        <w:t>Without assuming any burden of proof, persuasion, or production that it would not otherwise bear under applicable law, and without conceding that any of the following must be pleaded as an affirmative defense, Caldwell asserts the following defenses. Each defense is pleaded in the alternative to the extent necessary under Federal Rule of Civil Procedure 8(d)(2)–(3). Caldwell incorporates by reference its responses to Paragraphs 1 through 91 into each defense set forth below.</w:t>
      </w:r>
    </w:p>
    <w:p>
      <w:pPr>
        <w:keepNext/>
        <w:spacing w:line="240" w:lineRule="auto" w:after="240" w:before="120"/>
        <w:jc w:val="center"/>
      </w:pPr>
      <w:r>
        <w:rPr>
          <w:b/>
        </w:rPr>
        <w:t>FIRST DEFENSE</w:t>
        <w:br/>
        <w:t>(Lack of Subject Matter Jurisdiction)</w:t>
      </w:r>
    </w:p>
    <w:p>
      <w:pPr>
        <w:spacing w:line="480" w:lineRule="auto" w:after="0"/>
        <w:ind w:firstLine="720"/>
        <w:jc w:val="both"/>
      </w:pPr>
      <w:r>
        <w:t>This Court lacks subject matter jurisdiction over this action, and the Complaint should be dismissed pursuant to Federal Rules of Civil Procedure 12(b)(1) and 12(h)(3).</w:t>
      </w:r>
    </w:p>
    <w:p>
      <w:pPr>
        <w:spacing w:line="480" w:lineRule="auto" w:after="0"/>
        <w:ind w:firstLine="720"/>
        <w:jc w:val="both"/>
      </w:pPr>
      <w:r>
        <w:t>Meridian invokes only diversity jurisdiction under 28 U.S.C. § 1332(a). Meridian bears the burden of establishing complete diversity. Under 28 U.S.C. § 1332(c)(1), a corporation is "deemed to be a citizen of every State and foreign state by which it has been incorporated and of the State or foreign state where it has its principal place of business." Meridian alleges that it is incorporated in Delaware and that its principal place of business is at 2200 Commerce Park Drive, Suite 400, Savannah, Georgia (Compl. ¶¶ 1, 7), where it maintains its headquarters and its manufacturing facility. Meridian is therefore a citizen of both Delaware and Georgia.</w:t>
      </w:r>
    </w:p>
    <w:p>
      <w:pPr>
        <w:spacing w:line="480" w:lineRule="auto" w:after="0"/>
        <w:ind w:firstLine="720"/>
        <w:jc w:val="both"/>
      </w:pPr>
      <w:r>
        <w:t>Caldwell is a limited liability company and takes the citizenship of each of its members. Each of Caldwell's members, including its Managing Member, Theodore R. Caldwell III, is a citizen of Georgia, as Meridian itself alleges (Compl. ¶¶ 7–8).</w:t>
      </w:r>
    </w:p>
    <w:p>
      <w:pPr>
        <w:spacing w:line="480" w:lineRule="auto" w:after="0"/>
        <w:ind w:firstLine="720"/>
        <w:jc w:val="both"/>
      </w:pPr>
      <w:r>
        <w:t>Because Meridian and Caldwell are both citizens of Georgia, complete diversity does not exist, and no other basis for federal jurisdiction is alleged or exists. Subject matter jurisdiction cannot be conferred by consent, waiver, or the forum selection clause of MSA Section 15.2, which is fully satisfied by the state courts located in Fulton County, Georgia. Caldwell's filing of this Answer is without waiver of this defense, which Caldwell intends to raise by separate motion.</w:t>
      </w:r>
    </w:p>
    <w:p>
      <w:pPr>
        <w:keepNext/>
        <w:spacing w:line="240" w:lineRule="auto" w:after="240" w:before="120"/>
        <w:jc w:val="center"/>
      </w:pPr>
      <w:r>
        <w:rPr>
          <w:b/>
        </w:rPr>
        <w:t>SECOND DEFENSE</w:t>
        <w:br/>
        <w:t>(Failure to State a Claim)</w:t>
      </w:r>
    </w:p>
    <w:p>
      <w:pPr>
        <w:spacing w:line="480" w:lineRule="auto" w:after="0"/>
        <w:ind w:firstLine="720"/>
        <w:jc w:val="both"/>
      </w:pPr>
      <w:r>
        <w:t>The Complaint fails, in whole or in part, to state a claim upon which relief can be granted. Without limitation, Count IV fails as a matter of law because Meridian alleges, and Caldwell admits, the existence of valid and enforceable express contracts—the MSA and the Purchase Orders—governing the identical subject matter, and under Georgia law a party may not recover in unjust enrichment where an express contract governs the parties' rights. Counts I and II further fail to state a claim for the full contract price because Meridian does not allege facts that would satisfy any of the conditions for an action for the price under O.C.G.A. § 11-2-709.</w:t>
      </w:r>
    </w:p>
    <w:p>
      <w:pPr>
        <w:keepNext/>
        <w:spacing w:line="240" w:lineRule="auto" w:after="240" w:before="120"/>
        <w:jc w:val="center"/>
      </w:pPr>
      <w:r>
        <w:rPr>
          <w:b/>
        </w:rPr>
        <w:t>THIRD DEFENSE</w:t>
        <w:br/>
        <w:t>(Proper and Timely Rejection of Tranche 1 (No Deemed Acceptance))</w:t>
      </w:r>
    </w:p>
    <w:p>
      <w:pPr>
        <w:spacing w:line="480" w:lineRule="auto" w:after="0"/>
        <w:ind w:firstLine="720"/>
        <w:jc w:val="both"/>
      </w:pPr>
      <w:r>
        <w:t>Caldwell did not accept, and is not deemed to have accepted, the Tranche 1 goods. Caldwell delivered written notice of rejection on September 27, 2024, within the fifteen-business-day Inspection Period prescribed by MSA Section 6.1. The notice described each non-conformity in detail, identified every rejected unit by serial number, specified the Specifications the goods failed to meet, and was supported by a full inspection report, photographic documentation, and calibrated measurement data, as Section 6.1 requires.</w:t>
      </w:r>
    </w:p>
    <w:p>
      <w:pPr>
        <w:spacing w:line="480" w:lineRule="auto" w:after="0"/>
        <w:ind w:firstLine="720"/>
        <w:jc w:val="both"/>
      </w:pPr>
      <w:r>
        <w:t>MSA Sections 6.1 and 6.2 require only "written notice of rejection" within the Inspection Period; they do not prescribe any method of transmission. Caldwell's notice was in writing, and was actually and indisputably received by Meridian within the Inspection Period, as Meridian's Project Manager confirmed in writing the same day after reviewing the notice and all attachments, with a copy to Meridian's Vice President of Sales, the designated notice recipient under MSA Section 19.1.</w:t>
      </w:r>
    </w:p>
    <w:p>
      <w:pPr>
        <w:spacing w:line="480" w:lineRule="auto" w:after="0"/>
        <w:ind w:firstLine="720"/>
        <w:jc w:val="both"/>
      </w:pPr>
      <w:r>
        <w:t>To the extent MSA Section 19.1 is construed to apply to notices of rejection, Caldwell substantially complied with it, and the purpose of Section 19.1—to ensure that the recipient actually receives notice—was fully served. Meridian suffered no prejudice from the method of transmission. Construing Section 19.1 to nullify a timely, detailed, and actually-received rejection notice would work a forfeiture disfavored under Georgia law. Caldwell's rejection was also seasonable and effective under O.C.G.A. § 11-2-602(1), which requires only that the buyer "seasonably notif[y]" the seller.</w:t>
      </w:r>
    </w:p>
    <w:p>
      <w:pPr>
        <w:spacing w:line="480" w:lineRule="auto" w:after="0"/>
        <w:ind w:firstLine="720"/>
        <w:jc w:val="both"/>
      </w:pPr>
      <w:r>
        <w:t>Independently, Caldwell did not engage in any act inconsistent with Meridian's ownership of the goods, and therefore did not accept them under O.C.G.A. § 11-2-606.</w:t>
      </w:r>
    </w:p>
    <w:p>
      <w:pPr>
        <w:keepNext/>
        <w:spacing w:line="240" w:lineRule="auto" w:after="240" w:before="120"/>
        <w:jc w:val="center"/>
      </w:pPr>
      <w:r>
        <w:rPr>
          <w:b/>
        </w:rPr>
        <w:t>FOURTH DEFENSE</w:t>
        <w:br/>
        <w:t>(Right to Reject Entire Shipment for Exceedance of Acceptable Quality Level; Non-Conforming Installment)</w:t>
      </w:r>
    </w:p>
    <w:p>
      <w:pPr>
        <w:spacing w:line="480" w:lineRule="auto" w:after="0"/>
        <w:ind w:firstLine="720"/>
        <w:jc w:val="both"/>
      </w:pPr>
      <w:r>
        <w:t>The Tranche 1 shipment contained 170 defective units out of 800—a defect rate of 21.25%—comprising 127 units with micro-cracking at the disc-to-stem weld joints (a safety-critical defect in a valve rated to ANSI Class 150) and 43 units with bore diameters outside the 6.000 ± 0.010-inch tolerance expressly specified in PO-147. MSA Section 4.4 and PO-147 Section III establish an AQL of 2% per shipment, and Section 4.4(a) grants Caldwell the right, in its sole discretion, to reject the entire shipment, "including both the Defective Goods and the non-defective Goods," when the AQL is exceeded. Caldwell validly exercised that right.</w:t>
      </w:r>
    </w:p>
    <w:p>
      <w:pPr>
        <w:spacing w:line="480" w:lineRule="auto" w:after="0"/>
        <w:ind w:firstLine="720"/>
        <w:jc w:val="both"/>
      </w:pPr>
      <w:r>
        <w:t>Independently, the Tranche 1 non-conformity substantially impaired the value of that installment and could not be cured without replacement, entitling Caldwell to reject it under O.C.G.A. §§ 11-2-601 and 11-2-612(2).</w:t>
      </w:r>
    </w:p>
    <w:p>
      <w:pPr>
        <w:keepNext/>
        <w:spacing w:line="240" w:lineRule="auto" w:after="240" w:before="120"/>
        <w:jc w:val="center"/>
      </w:pPr>
      <w:r>
        <w:rPr>
          <w:b/>
        </w:rPr>
        <w:t>FIFTH DEFENSE</w:t>
        <w:br/>
        <w:t>(Latent Defects)</w:t>
      </w:r>
    </w:p>
    <w:p>
      <w:pPr>
        <w:spacing w:line="480" w:lineRule="auto" w:after="0"/>
        <w:ind w:firstLine="720"/>
        <w:jc w:val="both"/>
      </w:pPr>
      <w:r>
        <w:t>In the alternative, to the extent any Tranche 1 defect was not reasonably discoverable through ordinary inspection methods—including micro-cracking at weld joints detectable only through dye penetrant testing and magnification—Deemed Acceptance does not apply pursuant to the express terms of MSA Section 6.2, and Caldwell's written notice was timely as to any such latent defect. Further, and in the alternative, even if any Tranche 1 goods were accepted, Caldwell timely revoked any such acceptance under O.C.G.A. § 11-2-608, and Caldwell retains all rights for breach of warranty under MSA Section 4.3 and O.C.G.A. §§ 11-2-714 and 11-2-717.</w:t>
      </w:r>
    </w:p>
    <w:p>
      <w:pPr>
        <w:keepNext/>
        <w:spacing w:line="240" w:lineRule="auto" w:after="240" w:before="120"/>
        <w:jc w:val="center"/>
      </w:pPr>
      <w:r>
        <w:rPr>
          <w:b/>
        </w:rPr>
        <w:t>SIXTH DEFENSE</w:t>
        <w:br/>
        <w:t>(Waiver, Estoppel, and Acquiescence)</w:t>
      </w:r>
    </w:p>
    <w:p>
      <w:pPr>
        <w:spacing w:line="480" w:lineRule="auto" w:after="0"/>
        <w:ind w:firstLine="720"/>
        <w:jc w:val="both"/>
      </w:pPr>
      <w:r>
        <w:t>Meridian's claims are barred, in whole or in part, by the doctrines of waiver, estoppel, quasi-estoppel, and acquiescence. With respect to Tranche 1, Meridian received and acted upon Caldwell's rejection notice without objecting to its form; treated it as a rejection notice by proposing a joint inspection, undertaking an internal quality review, and asking Caldwell to hold all 800 units in place; referred in its October 15, 2024 letter to the "quality concerns raised in Caldwell's September 27, 2024 communication"; and first asserted that the notice was defective in form only on January 8, 2025, long after the Inspection Period had closed and after Caldwell had relied on Meridian's conduct by holding the units as requested. Meridian likewise transmitted its own acceptance of the Purchase Orders by email and routinely conducted contractual communications with Caldwell by email. Having induced and accepted Caldwell's reliance, Meridian is estopped from asserting that the Tranche 1 goods were deemed accepted and is estopped from recovering for goods it asked Caldwell to retain.</w:t>
      </w:r>
    </w:p>
    <w:p>
      <w:pPr>
        <w:spacing w:line="480" w:lineRule="auto" w:after="0"/>
        <w:ind w:firstLine="720"/>
        <w:jc w:val="both"/>
      </w:pPr>
      <w:r>
        <w:t>To the extent Meridian relies on MSA Section 18.4 (anti-waiver), Meridian's conduct constitutes an independent basis for estoppel and, further, Meridian's September 27, 2024 written response constitutes a writing by Meridian recognizing Caldwell's rejection.</w:t>
      </w:r>
    </w:p>
    <w:p>
      <w:pPr>
        <w:keepNext/>
        <w:spacing w:line="240" w:lineRule="auto" w:after="240" w:before="120"/>
        <w:jc w:val="center"/>
      </w:pPr>
      <w:r>
        <w:rPr>
          <w:b/>
        </w:rPr>
        <w:t>SEVENTH DEFENSE</w:t>
        <w:br/>
        <w:t>(Meridian's Prior Material Breach and Failure to Cure)</w:t>
      </w:r>
    </w:p>
    <w:p>
      <w:pPr>
        <w:spacing w:line="480" w:lineRule="auto" w:after="0"/>
        <w:ind w:firstLine="720"/>
        <w:jc w:val="both"/>
      </w:pPr>
      <w:r>
        <w:t>Meridian's claims are barred, in whole or in part, by Meridian's own prior material breaches of the MSA and PO-147, including its delivery of non-conforming Tranche 1 goods in breach of MSA Sections 4.2, 4.3, and 4.4 and PO-147; its failure to repair or replace the non-conforming goods within thirty calendar days as required by MSA Section 6.3; its failure to provide return or disposition instructions for the rejected goods within fifteen business days as required by MSA Section 6.4; and its attempted delivery of Tranche 2 to a location that PO-147 expressly prohibited. A party that has materially breached a contract may not recover for the other party's subsequent non-performance.</w:t>
      </w:r>
    </w:p>
    <w:p>
      <w:pPr>
        <w:keepNext/>
        <w:spacing w:line="240" w:lineRule="auto" w:after="240" w:before="120"/>
        <w:jc w:val="center"/>
      </w:pPr>
      <w:r>
        <w:rPr>
          <w:b/>
        </w:rPr>
        <w:t>EIGHTH DEFENSE</w:t>
        <w:br/>
        <w:t>(Valid Termination for Convenience (MSA § 13.2))</w:t>
      </w:r>
    </w:p>
    <w:p>
      <w:pPr>
        <w:spacing w:line="480" w:lineRule="auto" w:after="0"/>
        <w:ind w:firstLine="720"/>
        <w:jc w:val="both"/>
      </w:pPr>
      <w:r>
        <w:t>Caldwell validly terminated Tranches 2 and 3 of PO-147 and the entirety of PO-163 for convenience pursuant to MSA Section 13.2 by written notice dated November 12, 2024, delivered by certified mail and overnight courier in accordance with MSA Section 19.1, effective December 12, 2024. Section 13.2 grants either party an unconditional right to terminate any individual Purchase Order for convenience on thirty days' notice; it contains no requirement that the terminating party be "in good standing," and no such requirement may be read into it.</w:t>
      </w:r>
    </w:p>
    <w:p>
      <w:pPr>
        <w:spacing w:line="480" w:lineRule="auto" w:after="0"/>
        <w:ind w:firstLine="720"/>
        <w:jc w:val="both"/>
      </w:pPr>
      <w:r>
        <w:t>By reason of that termination, Caldwell's liability, if any, with respect to Tranches 2 and 3 of PO-147 and PO-163 is limited exclusively to the amounts payable under Section 13.2: payment for conforming Goods already manufactured or in the process of manufacture as of November 12, 2024, plus reasonable, documented, non-cancellable raw-material costs procured specifically for the terminated orders, net of Meridian's commercially reasonable mitigation, and in no event exceeding the total value of the terminated Purchase Orders. Meridian bears the burden of proving the quantity, stage of completion, and conformity of any such goods, and has never provided the accounting and quality documentation Caldwell requested on November 12, 2024. Caldwell has at all times acknowledged, and continues to acknowledge, its obligations under Section 13.2 upon proper verification.</w:t>
      </w:r>
    </w:p>
    <w:p>
      <w:pPr>
        <w:keepNext/>
        <w:spacing w:line="240" w:lineRule="auto" w:after="240" w:before="120"/>
        <w:jc w:val="center"/>
      </w:pPr>
      <w:r>
        <w:rPr>
          <w:b/>
        </w:rPr>
        <w:t>NINTH DEFENSE</w:t>
        <w:br/>
        <w:t>(No Anticipatory Repudiation; Retraction)</w:t>
      </w:r>
    </w:p>
    <w:p>
      <w:pPr>
        <w:spacing w:line="480" w:lineRule="auto" w:after="0"/>
        <w:ind w:firstLine="720"/>
        <w:jc w:val="both"/>
      </w:pPr>
      <w:r>
        <w:t>Caldwell did not anticipatorily repudiate PO-147 or PO-163. Caldwell's October 9, 2024 force majeure notice did not express a clear, unequivocal, and unconditional refusal to perform; it described a temporary inability to receive deliveries at the Project jobsite caused by the Tidewater suspension, requested cooperation, and expressly reserved Caldwell's contractual rights under MSA Sections 12.3 and 13.2. The good-faith assertion of a contractual right, even if ultimately disputed, is not a repudiation.</w:t>
      </w:r>
    </w:p>
    <w:p>
      <w:pPr>
        <w:spacing w:line="480" w:lineRule="auto" w:after="0"/>
        <w:ind w:firstLine="720"/>
        <w:jc w:val="both"/>
      </w:pPr>
      <w:r>
        <w:t>Further and in the alternative, Meridian did not treat the October 9 notice as a repudiation: it elected to await performance, demanded continued performance, announced that it would proceed with manufacturing and delivery, and did not cancel or otherwise indicate that it considered any repudiation final. Under O.C.G.A. §§ 11-2-610 and 11-2-611, any repudiation (which Caldwell denies) was retractable, and Caldwell's subsequent exercise of its express contractual termination right under Section 13.2 was valid and effective. Meridian may not both demand continued performance under the Purchase Orders and deny Caldwell the benefit of the Purchase Orders' termination provisions.</w:t>
      </w:r>
    </w:p>
    <w:p>
      <w:pPr>
        <w:keepNext/>
        <w:spacing w:line="240" w:lineRule="auto" w:after="240" w:before="120"/>
        <w:jc w:val="center"/>
      </w:pPr>
      <w:r>
        <w:rPr>
          <w:b/>
        </w:rPr>
        <w:t>TENTH DEFENSE</w:t>
        <w:br/>
        <w:t>(Force Majeure)</w:t>
      </w:r>
    </w:p>
    <w:p>
      <w:pPr>
        <w:spacing w:line="480" w:lineRule="auto" w:after="0"/>
        <w:ind w:firstLine="720"/>
        <w:jc w:val="both"/>
      </w:pPr>
      <w:r>
        <w:t>Caldwell's performance of its non-monetary obligations to receive and accept delivery of Tranches 2 and 3 of PO-147 and of PO-163 was excused, suspended, or delayed by a Force Majeure Event under MSA Section 12.1. The indefinite suspension of the Project, the owner-level dispute that caused it, and Tidewater's directive that "[n]o further material deliveries shall be made to the Project jobsite" were events beyond Caldwell's reasonable control that rendered the sole contractually designated delivery location unavailable. Section 12.1's enumeration of Force Majeure Events is expressly non-exhaustive ("including, without limitation"), and Caldwell gave timely written notice within ten business days as Section 12.1 requires. Because the suspension continued for more than ninety consecutive days, MSA Section 12.3 further limits Meridian's recovery with respect to the affected Purchase Orders to payment for Conforming Goods delivered and accepted prior to termination.</w:t>
      </w:r>
    </w:p>
    <w:p>
      <w:pPr>
        <w:keepNext/>
        <w:spacing w:line="240" w:lineRule="auto" w:after="240" w:before="120"/>
        <w:jc w:val="center"/>
      </w:pPr>
      <w:r>
        <w:rPr>
          <w:b/>
        </w:rPr>
        <w:t>ELEVENTH DEFENSE</w:t>
        <w:br/>
        <w:t>(Impossibility, Impracticability, and Frustration of Purpose)</w:t>
      </w:r>
    </w:p>
    <w:p>
      <w:pPr>
        <w:spacing w:line="480" w:lineRule="auto" w:after="0"/>
        <w:ind w:firstLine="720"/>
        <w:jc w:val="both"/>
      </w:pPr>
      <w:r>
        <w:t>In the alternative, Caldwell's performance with respect to Tranches 2 and 3 of PO-147 and PO-163 was excused, in whole or in part, by the doctrines of impossibility, commercial impracticability, and frustration of purpose, including under O.C.G.A. § 13-4-21 and, to the extent applicable, principles embodied in O.C.G.A. § 11-2-614 and § 11-2-615. Both Purchase Orders were issued solely for installation on the Project, as each expressly recites, and each designated the Project jobsite as the sole permitted delivery location. The indefinite suspension of the Project and Tidewater's prohibition on further jobsite deliveries eliminated the only contemplated place of delivery and destroyed the purpose of the orders, which both parties understood at the time of contracting.</w:t>
      </w:r>
    </w:p>
    <w:p>
      <w:pPr>
        <w:keepNext/>
        <w:spacing w:line="240" w:lineRule="auto" w:after="240" w:before="120"/>
        <w:jc w:val="center"/>
      </w:pPr>
      <w:r>
        <w:rPr>
          <w:b/>
        </w:rPr>
        <w:t>TWELFTH DEFENSE</w:t>
        <w:br/>
        <w:t>(Improper Tender; Non-Conforming Delivery of Tranche 2)</w:t>
      </w:r>
    </w:p>
    <w:p>
      <w:pPr>
        <w:spacing w:line="480" w:lineRule="auto" w:after="0"/>
        <w:ind w:firstLine="720"/>
        <w:jc w:val="both"/>
      </w:pPr>
      <w:r>
        <w:t>Meridian never made a proper tender of delivery of Tranche 2, Tranche 3, or PO-163. The November 15, 2024 attempted delivery to Caldwell's Atlanta offices was not a tender at the place designated by the contract as required by MSA Section 5.1, PO-147 Section II.A, and O.C.G.A. §§ 11-2-503 and 11-2-507. PO-147 expressly provides that any delivery to an alternative location without Caldwell's prior written authorization "shall be deemed a non-conforming delivery" which Caldwell has no obligation to accept. Caldwell's refusal of that delivery was therefore rightful, and Meridian's unilateral decision to redirect the shipment cannot give rise to liability. No tender of Tranche 3 or PO-163 goods was ever made.</w:t>
      </w:r>
    </w:p>
    <w:p>
      <w:pPr>
        <w:keepNext/>
        <w:spacing w:line="240" w:lineRule="auto" w:after="240" w:before="120"/>
        <w:jc w:val="center"/>
      </w:pPr>
      <w:r>
        <w:rPr>
          <w:b/>
        </w:rPr>
        <w:t>THIRTEENTH DEFENSE</w:t>
        <w:br/>
        <w:t>(Failure to Mitigate Damages)</w:t>
      </w:r>
    </w:p>
    <w:p>
      <w:pPr>
        <w:spacing w:line="480" w:lineRule="auto" w:after="0"/>
        <w:ind w:firstLine="720"/>
        <w:jc w:val="both"/>
      </w:pPr>
      <w:r>
        <w:t>Meridian's claims are barred or must be reduced to the extent Meridian failed to exercise reasonable care and diligence to mitigate its alleged damages, as required by O.C.G.A. § 13-6-5 and the Georgia Uniform Commercial Code. Among other things, after receiving Caldwell's October 9, 2024 notice of the Project suspension and Caldwell's express request that Meridian suspend further manufacturing, Meridian elected to continue—and in the case of Tranche 3 and PO-163, to commence—manufacturing goods for a suspended Project, rather than exercising reasonable commercial judgment to cease manufacture and salvage or resell materials as contemplated by O.C.G.A. § 11-2-704(2). Meridian also failed to resell or attempt to resell completed goods under O.C.G.A. § 11-2-706, failed to redirect raw materials to other orders or return them to vendors as MSA Section 13.2 contemplates, and failed to repair or replace the non-conforming Tranche 1 units. Meridian cannot recover any damages that reasonable mitigation would have avoided.</w:t>
      </w:r>
    </w:p>
    <w:p>
      <w:pPr>
        <w:keepNext/>
        <w:spacing w:line="240" w:lineRule="auto" w:after="240" w:before="120"/>
        <w:jc w:val="center"/>
      </w:pPr>
      <w:r>
        <w:rPr>
          <w:b/>
        </w:rPr>
        <w:t>FOURTEENTH DEFENSE</w:t>
        <w:br/>
        <w:t>(Seller's Remedies Limited; No Action for the Price)</w:t>
      </w:r>
    </w:p>
    <w:p>
      <w:pPr>
        <w:spacing w:line="480" w:lineRule="auto" w:after="0"/>
        <w:ind w:firstLine="720"/>
        <w:jc w:val="both"/>
      </w:pPr>
      <w:r>
        <w:t>Meridian's recovery, if any, is limited to the remedies available to a seller under the MSA and Article 2 of the Georgia Uniform Commercial Code. Meridian is not entitled to recover the full contract price of goods that were never accepted by Caldwell, that were not lost or damaged after risk of loss passed to Caldwell, and for which Meridian has not shown that it is unable after reasonable effort to resell them at a reasonable price. See O.C.G.A. § 11-2-709. Under the FOB Destination terms of MSA Section 5.1 and PO-147, title and risk of loss never passed to Caldwell as to any goods in Tranches 2 or 3 or PO-163. Any recovery must be measured, if at all, under O.C.G.A. §§ 11-2-706 or 11-2-708, less expenses saved, and in any event cannot exceed the amounts payable under MSA Section 13.2.</w:t>
      </w:r>
    </w:p>
    <w:p>
      <w:pPr>
        <w:keepNext/>
        <w:spacing w:line="240" w:lineRule="auto" w:after="240" w:before="120"/>
        <w:jc w:val="center"/>
      </w:pPr>
      <w:r>
        <w:rPr>
          <w:b/>
        </w:rPr>
        <w:t>FIFTEENTH DEFENSE</w:t>
        <w:br/>
        <w:t>(Contractual Limitation of Liability)</w:t>
      </w:r>
    </w:p>
    <w:p>
      <w:pPr>
        <w:spacing w:line="480" w:lineRule="auto" w:after="0"/>
        <w:ind w:firstLine="720"/>
        <w:jc w:val="both"/>
      </w:pPr>
      <w:r>
        <w:t>Meridian's recovery is barred or limited by MSA Section 16. Section 16.1 bars recovery of any indirect, incidental, special, or consequential damages, including lost profits and lost revenue. To the extent Meridian's claim for the full contract price of terminated, undelivered, and unmanufactured goods seeks recovery of lost profits, lost revenue, or other excluded damages, such recovery is barred. Meridian's recovery, if any, is further subject to the aggregate liability cap of MSA Section 16.2 and to the cap in MSA Section 13.2 limiting any amount payable upon termination for convenience to the value of the terminated Purchase Order.</w:t>
      </w:r>
    </w:p>
    <w:p>
      <w:pPr>
        <w:keepNext/>
        <w:spacing w:line="240" w:lineRule="auto" w:after="240" w:before="120"/>
        <w:jc w:val="center"/>
      </w:pPr>
      <w:r>
        <w:rPr>
          <w:b/>
        </w:rPr>
        <w:t>SIXTEENTH DEFENSE</w:t>
        <w:br/>
        <w:t>(No Entitlement to Contractual Interest)</w:t>
      </w:r>
    </w:p>
    <w:p>
      <w:pPr>
        <w:spacing w:line="480" w:lineRule="auto" w:after="0"/>
        <w:ind w:firstLine="720"/>
        <w:jc w:val="both"/>
      </w:pPr>
      <w:r>
        <w:t>Meridian is not entitled to interest under MSA Section 7.3, or is entitled to substantially less than it claims, because (a) Section 7.3 applies only to amounts "not paid when due"; (b) under Section 7.1, payment becomes due only forty-five days after acceptance or Deemed Acceptance, and no Goods were accepted or deemed accepted; (c) the MSA contains no acceleration clause and does not permit Meridian to accelerate the price of undelivered goods or charge interest from the date of an alleged repudiation; (d) Section 7.3 does not provide for monthly compounding; (e) under Section 7.4, disputed amounts do not accrue interest during the pendency of a good-faith dispute; and (f) Meridian's claimed figure of $148,927.80 is internally inconsistent, having been asserted both as interest through January 8, 2025 and as interest through the March 5, 2025 filing date.</w:t>
      </w:r>
    </w:p>
    <w:p>
      <w:pPr>
        <w:keepNext/>
        <w:spacing w:line="240" w:lineRule="auto" w:after="240" w:before="120"/>
        <w:jc w:val="center"/>
      </w:pPr>
      <w:r>
        <w:rPr>
          <w:b/>
        </w:rPr>
        <w:t>SEVENTEENTH DEFENSE</w:t>
        <w:br/>
        <w:t>(Failure to Satisfy Conditions Precedent)</w:t>
      </w:r>
    </w:p>
    <w:p>
      <w:pPr>
        <w:spacing w:line="480" w:lineRule="auto" w:after="0"/>
        <w:ind w:firstLine="720"/>
        <w:jc w:val="both"/>
      </w:pPr>
      <w:r>
        <w:t>Meridian's claims are barred, or this action must be stayed or dismissed, because Meridian failed to satisfy the mandatory pre-suit conditions of MSA Section 15.1. As stated with particularity pursuant to Federal Rule of Civil Procedure 9(c) in response to Paragraph 58, Meridian did not designate a senior representative, did not participate in any meeting of designated senior representatives in person or by teleconference, and did not negotiate in good faith, but instead demanded payment in full and failed to respond to Caldwell's written compromise proposal and invitation to discuss.</w:t>
      </w:r>
    </w:p>
    <w:p>
      <w:pPr>
        <w:spacing w:line="480" w:lineRule="auto" w:after="0"/>
        <w:ind w:firstLine="720"/>
        <w:jc w:val="both"/>
      </w:pPr>
      <w:r>
        <w:t>Meridian's claims are further barred to the extent payment for any goods was conditioned on acceptance or Deemed Acceptance, on proper tender at the designated delivery location, on conformity of the goods, or on Meridian's submission of proper invoices referencing the applicable Purchase Order and tranche as required by MSA Section 7.2 and PO-147 Section IV, none of which conditions was satisfied.</w:t>
      </w:r>
    </w:p>
    <w:p>
      <w:pPr>
        <w:keepNext/>
        <w:spacing w:line="240" w:lineRule="auto" w:after="240" w:before="120"/>
        <w:jc w:val="center"/>
      </w:pPr>
      <w:r>
        <w:rPr>
          <w:b/>
        </w:rPr>
        <w:t>EIGHTEENTH DEFENSE</w:t>
        <w:br/>
        <w:t>(Setoff and Recoupment)</w:t>
      </w:r>
    </w:p>
    <w:p>
      <w:pPr>
        <w:spacing w:line="480" w:lineRule="auto" w:after="0"/>
        <w:ind w:firstLine="720"/>
        <w:jc w:val="both"/>
      </w:pPr>
      <w:r>
        <w:t>Any recovery by Meridian must be reduced by way of setoff and recoupment in the amount of the damages Caldwell has sustained as a result of Meridian's breaches, including without limitation Caldwell's damages for breach of warranty and non-conformity of the Tranche 1 goods under MSA Section 4.3 and O.C.G.A. §§ 11-2-714 and 11-2-717; the reasonable costs of inspection, storage, handling, custody, and care of the rejected Tranche 1 goods, which Meridian is obligated to reimburse under MSA Section 6.4 and O.C.G.A. § 11-2-602(2)(b) and § 11-2-711(3); any cost differential for substitute goods recoverable under MSA Section 6.3; and amounts recoverable under Meridian's indemnification obligations in MSA Section 11.1.</w:t>
      </w:r>
    </w:p>
    <w:p>
      <w:pPr>
        <w:keepNext/>
        <w:spacing w:line="240" w:lineRule="auto" w:after="240" w:before="120"/>
        <w:jc w:val="center"/>
      </w:pPr>
      <w:r>
        <w:rPr>
          <w:b/>
        </w:rPr>
        <w:t>NINETEENTH DEFENSE</w:t>
        <w:br/>
        <w:t>(Buyer's Security Interest in Rejected Goods)</w:t>
      </w:r>
    </w:p>
    <w:p>
      <w:pPr>
        <w:spacing w:line="480" w:lineRule="auto" w:after="0"/>
        <w:ind w:firstLine="720"/>
        <w:jc w:val="both"/>
      </w:pPr>
      <w:r>
        <w:t>To the extent Caldwell possesses the rejected Tranche 1 goods, Caldwell holds a security interest in those goods for any payments made and expenses reasonably incurred in their inspection, receipt, transportation, care, and custody, pursuant to O.C.G.A. § 11-2-711(3), and Meridian's claims are subject to that interest.</w:t>
      </w:r>
    </w:p>
    <w:p>
      <w:pPr>
        <w:keepNext/>
        <w:spacing w:line="240" w:lineRule="auto" w:after="240" w:before="120"/>
        <w:jc w:val="center"/>
      </w:pPr>
      <w:r>
        <w:rPr>
          <w:b/>
        </w:rPr>
        <w:t>TWENTIETH DEFENSE</w:t>
        <w:br/>
        <w:t>(Adequate Remedy at Law; Express Contract Bars Unjust Enrichment)</w:t>
      </w:r>
    </w:p>
    <w:p>
      <w:pPr>
        <w:spacing w:line="480" w:lineRule="auto" w:after="0"/>
        <w:ind w:firstLine="720"/>
        <w:jc w:val="both"/>
      </w:pPr>
      <w:r>
        <w:t>Meridian's claim for unjust enrichment is barred because an express written contract governs the subject matter of the claim, because Meridian has an adequate remedy at law, and because Caldwell has not been enriched: the rejected Tranche 1 goods have been held at Meridian's risk, at Meridian's request, and pursuant to MSA Section 6.4, and have conferred no benefit on Caldwell. Equity will not permit Meridian to recover for goods that it asked Caldwell to hold and for which it failed to provide disposition instructions.</w:t>
      </w:r>
    </w:p>
    <w:p>
      <w:pPr>
        <w:keepNext/>
        <w:spacing w:line="240" w:lineRule="auto" w:after="240" w:before="120"/>
        <w:jc w:val="center"/>
      </w:pPr>
      <w:r>
        <w:rPr>
          <w:b/>
        </w:rPr>
        <w:t>TWENTY-FIRST DEFENSE</w:t>
        <w:br/>
        <w:t>(Unclean Hands)</w:t>
      </w:r>
    </w:p>
    <w:p>
      <w:pPr>
        <w:spacing w:line="480" w:lineRule="auto" w:after="0"/>
        <w:ind w:firstLine="720"/>
        <w:jc w:val="both"/>
      </w:pPr>
      <w:r>
        <w:t>Meridian's equitable claim for unjust enrichment is barred, in whole or in part, by the doctrine of unclean hands, including by reason of Meridian's delivery of non-conforming goods, its failure to cure or provide disposition instructions for the rejected goods, and its reversal of position on the effectiveness of Caldwell's rejection notice after Caldwell relied upon Meridian's conduct.</w:t>
      </w:r>
    </w:p>
    <w:p>
      <w:pPr>
        <w:keepNext/>
        <w:spacing w:line="240" w:lineRule="auto" w:after="240" w:before="120"/>
        <w:jc w:val="center"/>
      </w:pPr>
      <w:r>
        <w:rPr>
          <w:b/>
        </w:rPr>
        <w:t>TWENTY-SECOND DEFENSE</w:t>
        <w:br/>
        <w:t>(Inadmissibility of Settlement Communications)</w:t>
      </w:r>
    </w:p>
    <w:p>
      <w:pPr>
        <w:spacing w:line="480" w:lineRule="auto" w:after="0"/>
        <w:ind w:firstLine="720"/>
        <w:jc w:val="both"/>
      </w:pPr>
      <w:r>
        <w:t>Although not an affirmative defense in the strict sense, Caldwell objects to, and reserves the right to move to strike under Federal Rule of Civil Procedure 12(f), the Complaint's allegations premised on Mr. Caldwell's January 15, 2025 email (Compl. ¶¶ 36, 55–56, 81, 88), which was a compromise offer made during the MSA Section 15.1 negotiation period invoked by Meridian and is inadmissible under Federal Rule of Evidence 408 to prove the validity or amount of Meridian's claims. No offer contained in that communication was accepted, and no such offer is binding on Caldwell.</w:t>
      </w:r>
    </w:p>
    <w:p>
      <w:pPr>
        <w:keepNext/>
        <w:spacing w:line="240" w:lineRule="auto" w:after="240" w:before="120"/>
        <w:jc w:val="center"/>
      </w:pPr>
      <w:r>
        <w:rPr>
          <w:b/>
        </w:rPr>
        <w:t>TWENTY-THIRD DEFENSE</w:t>
        <w:br/>
        <w:t>(Attorneys' Fees Not Recoverable)</w:t>
      </w:r>
    </w:p>
    <w:p>
      <w:pPr>
        <w:spacing w:line="480" w:lineRule="auto" w:after="0"/>
        <w:ind w:firstLine="720"/>
        <w:jc w:val="both"/>
      </w:pPr>
      <w:r>
        <w:t>Meridian is not entitled to recover attorneys' fees or costs. MSA Section 15.4 permits recovery of fees only by the "prevailing Party," and Meridian should not prevail. Meridian has not alleged, and cannot establish, any basis for fees under O.C.G.A. § 13-6-11, because a bona fide controversy exists and Caldwell has not acted in bad faith, been stubbornly litigious, or caused Meridian unnecessary trouble and expense. Caldwell, in turn, is entitled to recover its reasonable attorneys' fees, expert witness fees, and costs as the prevailing Party under MSA Section 15.4.</w:t>
      </w:r>
    </w:p>
    <w:p>
      <w:pPr>
        <w:keepNext/>
        <w:spacing w:line="240" w:lineRule="auto" w:after="240" w:before="120"/>
        <w:jc w:val="center"/>
      </w:pPr>
      <w:r>
        <w:rPr>
          <w:b/>
        </w:rPr>
        <w:t>TWENTY-FOURTH DEFENSE</w:t>
        <w:br/>
        <w:t>(Reservation of Additional Defenses)</w:t>
      </w:r>
    </w:p>
    <w:p>
      <w:pPr>
        <w:spacing w:line="480" w:lineRule="auto" w:after="0"/>
        <w:ind w:firstLine="720"/>
        <w:jc w:val="both"/>
      </w:pPr>
      <w:r>
        <w:t>Caldwell has not knowingly or intentionally waived any applicable defense. Discovery has not yet commenced, and Caldwell reserves the right to amend this Answer to assert additional defenses, counterclaims, cross-claims, or third-party claims as may become known through discovery or further investigation, in accordance with the Federal Rules of Civil Procedure and any scheduling order entered by the Court.</w:t>
      </w:r>
    </w:p>
    <w:p>
      <w:pPr>
        <w:keepNext/>
        <w:spacing w:line="240" w:lineRule="auto" w:after="240" w:before="120"/>
        <w:jc w:val="center"/>
      </w:pPr>
      <w:r>
        <w:rPr>
          <w:b/>
        </w:rPr>
        <w:t>PRAYER FOR RELIEF</w:t>
      </w:r>
    </w:p>
    <w:p>
      <w:pPr>
        <w:spacing w:line="480" w:lineRule="auto" w:after="0"/>
        <w:ind w:firstLine="720"/>
        <w:jc w:val="both"/>
      </w:pPr>
      <w:r>
        <w:t>WHEREFORE, having fully answered the Complaint, Defendant Caldwell Industrial Technologies, LLC respectfully requests that the Court:</w:t>
      </w:r>
    </w:p>
    <w:p>
      <w:pPr>
        <w:spacing w:line="480" w:lineRule="auto" w:after="0"/>
        <w:ind w:left="1440" w:hanging="720"/>
        <w:jc w:val="both"/>
      </w:pPr>
      <w:r>
        <w:t>(a)</w:t>
        <w:tab/>
        <w:t>Dismiss this action in its entirety for lack of subject matter jurisdiction pursuant to Federal Rules of Civil Procedure 12(b)(1) and 12(h)(3);</w:t>
      </w:r>
    </w:p>
    <w:p>
      <w:pPr>
        <w:spacing w:line="480" w:lineRule="auto" w:after="0"/>
        <w:ind w:left="1440" w:hanging="720"/>
        <w:jc w:val="both"/>
      </w:pPr>
      <w:r>
        <w:t>(b)</w:t>
        <w:tab/>
        <w:t>In the alternative, enter judgment in favor of Caldwell and against Meridian on all Counts of the Complaint, and order that Meridian take nothing thereby;</w:t>
      </w:r>
    </w:p>
    <w:p>
      <w:pPr>
        <w:spacing w:line="480" w:lineRule="auto" w:after="0"/>
        <w:ind w:left="1440" w:hanging="720"/>
        <w:jc w:val="both"/>
      </w:pPr>
      <w:r>
        <w:t>(c)</w:t>
        <w:tab/>
        <w:t>In the alternative, limit any recovery by Meridian to the amounts, if any, properly payable under MSA Section 13.2 for conforming goods, as verified, reduced by all applicable setoffs and recoupment;</w:t>
      </w:r>
    </w:p>
    <w:p>
      <w:pPr>
        <w:spacing w:line="480" w:lineRule="auto" w:after="0"/>
        <w:ind w:left="1440" w:hanging="720"/>
        <w:jc w:val="both"/>
      </w:pPr>
      <w:r>
        <w:t>(d)</w:t>
        <w:tab/>
        <w:t>Deny Meridian's requests for contractual interest, attorneys' fees, and costs;</w:t>
      </w:r>
    </w:p>
    <w:p>
      <w:pPr>
        <w:spacing w:line="480" w:lineRule="auto" w:after="0"/>
        <w:ind w:left="1440" w:hanging="720"/>
        <w:jc w:val="both"/>
      </w:pPr>
      <w:r>
        <w:t>(e)</w:t>
        <w:tab/>
        <w:t>Award Caldwell its reasonable attorneys' fees, expert witness fees, court costs, and other litigation expenses pursuant to MSA Section 15.4 and applicable law; and</w:t>
      </w:r>
    </w:p>
    <w:p>
      <w:pPr>
        <w:spacing w:line="480" w:lineRule="auto" w:after="0"/>
        <w:ind w:left="1440" w:hanging="720"/>
        <w:jc w:val="both"/>
      </w:pPr>
      <w:r>
        <w:t>(f)</w:t>
        <w:tab/>
        <w:t>Grant Caldwell such other and further relief as the Court deems just and proper.</w:t>
      </w:r>
    </w:p>
    <w:p>
      <w:pPr>
        <w:keepNext/>
        <w:spacing w:line="240" w:lineRule="auto" w:after="240" w:before="120"/>
        <w:jc w:val="center"/>
      </w:pPr>
      <w:r>
        <w:rPr>
          <w:b/>
        </w:rPr>
        <w:t>DEMAND FOR JURY TRIAL</w:t>
      </w:r>
    </w:p>
    <w:p>
      <w:pPr>
        <w:spacing w:line="480" w:lineRule="auto" w:after="0"/>
        <w:ind w:firstLine="720"/>
        <w:jc w:val="both"/>
      </w:pPr>
      <w:r>
        <w:t>Pursuant to Federal Rule of Civil Procedure 38, Caldwell demands a trial by jury on all issues so triable.</w:t>
      </w:r>
    </w:p>
    <w:p>
      <w:pPr>
        <w:spacing w:line="480" w:lineRule="auto" w:after="0"/>
        <w:ind w:firstLine="720"/>
        <w:jc w:val="both"/>
      </w:pPr>
      <w:r>
        <w:t>Respectfully submitted this ___ day of March, 2025.</w:t>
      </w:r>
    </w:p>
    <w:p>
      <w:pPr>
        <w:spacing w:line="240" w:lineRule="auto" w:after="0"/>
        <w:ind w:left="4320"/>
        <w:jc w:val="left"/>
      </w:pPr>
      <w:r>
        <w:t>[DEFENSE COUNSEL LAW FIRM]</w:t>
      </w:r>
    </w:p>
    <w:p>
      <w:pPr>
        <w:spacing w:line="240" w:lineRule="auto" w:after="0"/>
        <w:ind w:left="4320"/>
        <w:jc w:val="left"/>
      </w:pPr>
    </w:p>
    <w:p>
      <w:pPr>
        <w:spacing w:line="240" w:lineRule="auto" w:after="0"/>
        <w:ind w:left="4320"/>
        <w:jc w:val="left"/>
      </w:pPr>
      <w:r>
        <w:t>By: /s/ [Attorney Name]</w:t>
      </w:r>
    </w:p>
    <w:p>
      <w:pPr>
        <w:spacing w:line="240" w:lineRule="auto" w:after="0"/>
        <w:ind w:left="4320"/>
        <w:jc w:val="left"/>
      </w:pPr>
      <w:r>
        <w:t>[Attorney Name]</w:t>
      </w:r>
    </w:p>
    <w:p>
      <w:pPr>
        <w:spacing w:line="240" w:lineRule="auto" w:after="0"/>
        <w:ind w:left="4320"/>
        <w:jc w:val="left"/>
      </w:pPr>
      <w:r>
        <w:t>Georgia Bar No. [</w:t>
      </w:r>
      <w:r>
        <w:rPr>
          <w:u w:val="single"/>
        </w:rPr>
        <w:t>_</w:t>
      </w:r>
      <w:r>
        <w:t>_]</w:t>
      </w:r>
    </w:p>
    <w:p>
      <w:pPr>
        <w:spacing w:line="240" w:lineRule="auto" w:after="0"/>
        <w:ind w:left="4320"/>
        <w:jc w:val="left"/>
      </w:pPr>
      <w:r>
        <w:t>[Street Address]</w:t>
      </w:r>
    </w:p>
    <w:p>
      <w:pPr>
        <w:spacing w:line="240" w:lineRule="auto" w:after="0"/>
        <w:ind w:left="4320"/>
        <w:jc w:val="left"/>
      </w:pPr>
      <w:r>
        <w:t>Atlanta, Georgia [ZIP]</w:t>
      </w:r>
    </w:p>
    <w:p>
      <w:pPr>
        <w:spacing w:line="240" w:lineRule="auto" w:after="0"/>
        <w:ind w:left="4320"/>
        <w:jc w:val="left"/>
      </w:pPr>
      <w:r>
        <w:t>Telephone: [(</w:t>
      </w:r>
      <w:r>
        <w:rPr>
          <w:u w:val="single"/>
        </w:rPr>
        <w:t xml:space="preserve">_) </w:t>
      </w:r>
      <w:r>
        <w:t>_-____]</w:t>
      </w:r>
    </w:p>
    <w:p>
      <w:pPr>
        <w:spacing w:line="240" w:lineRule="auto" w:after="0"/>
        <w:ind w:left="4320"/>
        <w:jc w:val="left"/>
      </w:pPr>
      <w:r>
        <w:t>Email: [</w:t>
      </w:r>
      <w:r>
        <w:rPr>
          <w:u w:val="single"/>
        </w:rPr>
        <w:t>_</w:t>
      </w:r>
      <w:r>
        <w:rPr>
          <w:u w:val="single"/>
        </w:rPr>
        <w:t>_</w:t>
      </w:r>
      <w:r>
        <w:t>]</w:t>
      </w:r>
    </w:p>
    <w:p>
      <w:pPr>
        <w:spacing w:line="240" w:lineRule="auto" w:after="0"/>
        <w:ind w:left="4320"/>
        <w:jc w:val="left"/>
      </w:pPr>
    </w:p>
    <w:p>
      <w:pPr>
        <w:spacing w:line="240" w:lineRule="auto" w:after="0"/>
        <w:ind w:left="4320"/>
        <w:jc w:val="left"/>
      </w:pPr>
      <w:r>
        <w:rPr>
          <w:i/>
        </w:rPr>
        <w:t>Counsel for Defendant Caldwell Industrial Technologies, LLC</w:t>
      </w:r>
    </w:p>
    <w:p>
      <w:r>
        <w:br w:type="page"/>
      </w:r>
    </w:p>
    <w:p>
      <w:pPr>
        <w:keepNext/>
        <w:spacing w:line="240" w:lineRule="auto" w:after="240" w:before="120"/>
        <w:jc w:val="center"/>
      </w:pPr>
      <w:r>
        <w:rPr>
          <w:b/>
        </w:rPr>
        <w:t>LOCAL RULE 7.1(D) CERTIFICATION</w:t>
      </w:r>
    </w:p>
    <w:p>
      <w:pPr>
        <w:spacing w:line="480" w:lineRule="auto" w:after="0"/>
        <w:ind w:firstLine="720"/>
        <w:jc w:val="both"/>
      </w:pPr>
      <w:r>
        <w:t>Pursuant to Local Rule 7.1(D) of the Northern District of Georgia, the undersigned counsel certifies that this document has been prepared in Times New Roman, 14-point font, in compliance with Local Rule 5.1(C).</w:t>
      </w:r>
    </w:p>
    <w:p>
      <w:pPr>
        <w:spacing w:line="240" w:lineRule="auto" w:after="0"/>
        <w:ind w:left="4320"/>
        <w:jc w:val="left"/>
      </w:pPr>
      <w:r>
        <w:t>/s/ [Attorney Name]</w:t>
      </w:r>
    </w:p>
    <w:p>
      <w:pPr>
        <w:spacing w:line="240" w:lineRule="auto" w:after="480"/>
        <w:ind w:left="4320"/>
        <w:jc w:val="left"/>
      </w:pPr>
      <w:r>
        <w:t>[Attorney Name]</w:t>
      </w:r>
    </w:p>
    <w:p>
      <w:pPr>
        <w:keepNext/>
        <w:spacing w:line="240" w:lineRule="auto" w:after="240" w:before="120"/>
        <w:jc w:val="center"/>
      </w:pPr>
      <w:r>
        <w:rPr>
          <w:b/>
        </w:rPr>
        <w:t>CERTIFICATE OF SERVICE</w:t>
      </w:r>
    </w:p>
    <w:p>
      <w:pPr>
        <w:spacing w:line="480" w:lineRule="auto" w:after="0"/>
        <w:ind w:firstLine="720"/>
        <w:jc w:val="both"/>
      </w:pPr>
      <w:r>
        <w:t>I hereby certify that on March ___, 2025, I electronically filed the foregoing DEFENDANT CALDWELL INDUSTRIAL TECHNOLOGIES, LLC'S ANSWER AND AFFIRMATIVE DEFENSES TO PLAINTIFF'S COMPLAINT with the Clerk of Court using the CM/ECF system, which will automatically send notification of such filing to the following counsel of record:</w:t>
      </w:r>
    </w:p>
    <w:p>
      <w:pPr>
        <w:spacing w:line="240" w:lineRule="auto" w:after="0"/>
        <w:ind w:left="1440"/>
        <w:jc w:val="left"/>
      </w:pPr>
      <w:r>
        <w:t>Vanessa R. Okafor, Esq.</w:t>
      </w:r>
    </w:p>
    <w:p>
      <w:pPr>
        <w:spacing w:line="240" w:lineRule="auto" w:after="0"/>
        <w:ind w:left="1440"/>
        <w:jc w:val="left"/>
      </w:pPr>
      <w:r>
        <w:t>HARGROVE, SIMMS &amp; DELACROIX LLP</w:t>
      </w:r>
    </w:p>
    <w:p>
      <w:pPr>
        <w:spacing w:line="240" w:lineRule="auto" w:after="0"/>
        <w:ind w:left="1440"/>
        <w:jc w:val="left"/>
      </w:pPr>
      <w:r>
        <w:t>100 Bull Street, Suite 1800</w:t>
      </w:r>
    </w:p>
    <w:p>
      <w:pPr>
        <w:spacing w:line="240" w:lineRule="auto" w:after="0"/>
        <w:ind w:left="1440"/>
        <w:jc w:val="left"/>
      </w:pPr>
      <w:r>
        <w:t>Savannah, Georgia 31401</w:t>
      </w:r>
    </w:p>
    <w:p>
      <w:pPr>
        <w:spacing w:line="240" w:lineRule="auto" w:after="0"/>
        <w:ind w:left="1440"/>
        <w:jc w:val="left"/>
      </w:pPr>
      <w:r>
        <w:t>vokafor@hsd-law.com</w:t>
      </w:r>
    </w:p>
    <w:p>
      <w:pPr>
        <w:spacing w:line="240" w:lineRule="auto" w:after="0"/>
        <w:ind w:left="1440"/>
        <w:jc w:val="left"/>
      </w:pPr>
      <w:r>
        <w:rPr>
          <w:i/>
        </w:rPr>
        <w:t>Attorneys for Plaintiff Meridian Supply Chain Solutions, Inc.</w:t>
      </w:r>
    </w:p>
    <w:p>
      <w:pPr>
        <w:spacing w:line="240" w:lineRule="auto" w:after="0"/>
        <w:jc w:val="both"/>
      </w:pPr>
    </w:p>
    <w:p>
      <w:pPr>
        <w:spacing w:line="240" w:lineRule="auto" w:after="0"/>
        <w:ind w:left="4320"/>
        <w:jc w:val="left"/>
      </w:pPr>
      <w:r>
        <w:t>/s/ [Attorney Name]</w:t>
      </w:r>
    </w:p>
    <w:p>
      <w:pPr>
        <w:spacing w:line="240" w:lineRule="auto" w:after="0"/>
        <w:ind w:left="4320"/>
        <w:jc w:val="left"/>
      </w:pPr>
      <w:r>
        <w:t>[Attorney Name]</w:t>
      </w:r>
    </w:p>
    <w:p>
      <w:pPr>
        <w:spacing w:line="240" w:lineRule="auto" w:after="0"/>
        <w:ind w:left="4320"/>
        <w:jc w:val="left"/>
      </w:pPr>
      <w:r>
        <w:t>Georgia Bar No. [</w:t>
      </w:r>
      <w:r>
        <w:rPr>
          <w:u w:val="single"/>
        </w:rPr>
        <w:t>_</w:t>
      </w:r>
      <w:r>
        <w:t>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