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pPr>
      <w:r>
        <w:rPr>
          <w:b/>
          <w:color w:val="9C0006"/>
          <w:sz w:val="18"/>
        </w:rPr>
        <w:t>CONFIDENTIAL — DRAFT FOR COUNSEL</w:t>
      </w:r>
    </w:p>
    <w:p>
      <w:pPr>
        <w:pStyle w:val="Title"/>
        <w:widowControl/>
      </w:pPr>
      <w:r>
        <w:t>CASE ASSESSMENT MEMORANDUM</w:t>
      </w:r>
    </w:p>
    <w:p>
      <w:pPr>
        <w:widowControl/>
        <w:spacing w:after="160"/>
      </w:pPr>
      <w:r>
        <w:rPr>
          <w:b/>
          <w:color w:val="1F4E79"/>
          <w:sz w:val="26"/>
        </w:rPr>
        <w:t>Cascade Distribution Holdings, LLC v. Greenleaf Organics, Inc.</w:t>
      </w:r>
    </w:p>
    <w:tbl>
      <w:tblPr>
        <w:tblW w:type="auto" w:w="0"/>
        <w:jc w:val="center"/>
        <w:tblLayout w:type="fixed"/>
        <w:tblLook w:firstColumn="1" w:firstRow="1" w:lastColumn="0" w:lastRow="0" w:noHBand="0" w:noVBand="1" w:val="04A0"/>
      </w:tblPr>
      <w:tblGrid>
        <w:gridCol w:w="3384"/>
        <w:gridCol w:w="3816"/>
        <w:gridCol w:w="3240"/>
      </w:tblGrid>
      <w:tr>
        <w:trPr>
          <w:tblHeader w:val="true"/>
        </w:trPr>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7"/>
              </w:rPr>
              <w:t>TO</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7"/>
              </w:rPr>
              <w:t>FROM / DATE</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7"/>
              </w:rPr>
              <w:t>RECORD CUT-OFF</w:t>
            </w:r>
          </w:p>
        </w:tc>
      </w:tr>
      <w:tr>
        <w:tc>
          <w:tcPr>
            <w:tcW w:type="dxa" w:w="3384"/>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7"/>
              </w:rPr>
              <w:t>Cascade litigation counsel / case team</w:t>
            </w:r>
          </w:p>
        </w:tc>
        <w:tc>
          <w:tcPr>
            <w:tcW w:type="dxa" w:w="3816"/>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7"/>
              </w:rPr>
              <w:t>Prepared for counsel; date not specified</w:t>
            </w:r>
          </w:p>
        </w:tc>
        <w:tc>
          <w:tcPr>
            <w:tcW w:type="dxa" w:w="3240"/>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7"/>
              </w:rPr>
              <w:t>Materials dated through April 18, 2024</w:t>
            </w:r>
          </w:p>
        </w:tc>
      </w:tr>
    </w:tbl>
    <w:p>
      <w:pPr>
        <w:widowControl/>
        <w:spacing w:after="0"/>
      </w:pPr>
    </w:p>
    <w:p>
      <w:pPr>
        <w:pStyle w:val="SmallNote"/>
        <w:widowControl/>
      </w:pPr>
      <w:r>
        <w:t>Court: U.S. District Court for the District of Oregon, Portland Division  |  Case No. 3:24-cv-00891-HZ</w:t>
      </w:r>
    </w:p>
    <w:p>
      <w:pPr>
        <w:pStyle w:val="SmallNote"/>
        <w:widowControl/>
      </w:pPr>
      <w:r>
        <w:t>Scope note. This is a preliminary, plaintiff-side assessment based solely on the documents supplied: complaint, distribution agreement, termination and response letters, internal email compilation, forensic summary, damages report, and Jantzen employment agreement. Allegations and expert assumptions have not been independently verified; no docket, discovery, answer, deposition, source financial data, or opposing expert report was provided. This memo is an analytical work product for counsel; the label alone does not establish privilege.</w:t>
      </w:r>
    </w:p>
    <w:p>
      <w:pPr>
        <w:pStyle w:val="Heading1"/>
        <w:widowControl/>
      </w:pPr>
      <w:r>
        <w:t>1. Executive assessment</w:t>
      </w:r>
    </w:p>
    <w:tbl>
      <w:tblPr>
        <w:tblW w:type="auto" w:w="0"/>
        <w:jc w:val="center"/>
        <w:tblLook w:firstColumn="1" w:firstRow="1" w:lastColumn="0" w:lastRow="0" w:noHBand="0" w:noVBand="1" w:val="04A0"/>
      </w:tblPr>
      <w:tblGrid>
        <w:gridCol w:w="9994"/>
      </w:tblGrid>
      <w:tr>
        <w:tc>
          <w:tcPr>
            <w:tcW w:type="dxa" w:w="9994"/>
            <w:shd w:fill="EEF4F8"/>
            <w:tcMar>
              <w:top w:w="120" w:type="dxa"/>
              <w:start w:w="145" w:type="dxa"/>
              <w:bottom w:w="120" w:type="dxa"/>
              <w:end w:w="145" w:type="dxa"/>
            </w:tcMar>
          </w:tcPr>
          <w:p>
            <w:pPr>
              <w:spacing w:after="60"/>
            </w:pPr>
            <w:r/>
            <w:r>
              <w:rPr>
                <w:b/>
                <w:color w:val="17365D"/>
                <w:sz w:val="19"/>
              </w:rPr>
              <w:t>Bottom line</w:t>
            </w:r>
          </w:p>
          <w:p>
            <w:pPr>
              <w:spacing w:after="0" w:line="247" w:lineRule="auto"/>
            </w:pPr>
            <w:r>
              <w:rPr>
                <w:sz w:val="18"/>
              </w:rPr>
              <w:t>Cascade has a strong documentary case that Greenleaf repudiated the exclusive distribution agreement: Greenleaf expressly invoked the convenience-termination clause but demanded immediate termination despite the clause’s mandatory 12-month notice and notice-content requirements, then ceased supply and moved to direct sales. The contract’s renewal and employee non-hire provisions strengthen the claim. Trade-secret liability is materially plausible and supported by compelling circumstantial evidence, but the current record proves that Jantzen copied files to his personal Gmail—not yet that he delivered them to Greenleaf or that Greenleaf used the files. The pleaded $22.52 million is a preliminary and vulnerable estimate, not a reliable minimum or a non-overlapping recoverable total.</w:t>
            </w:r>
          </w:p>
        </w:tc>
      </w:tr>
    </w:tbl>
    <w:p>
      <w:pPr>
        <w:widowControl/>
        <w:spacing w:after="0"/>
      </w:pPr>
    </w:p>
    <w:p>
      <w:pPr>
        <w:pStyle w:val="ListBullet"/>
        <w:widowControl/>
        <w:spacing w:after="40" w:line="247" w:lineRule="auto"/>
        <w:ind w:left="360" w:hanging="202"/>
      </w:pPr>
      <w:r>
        <w:t>Best liability issues: breach of Sections 2.2, 9.2, and 11.3; automatic renewal through March 14, 2025; and Jantzen’s unauthorized exfiltration of specifically identified pricing, customer, and routing files. Greenleaf’s own CEO/GC communications materially corroborate knowledge, intent, and the fee-avoidance rationale, subject to privilege review and proof of provenance.</w:t>
      </w:r>
    </w:p>
    <w:p>
      <w:pPr>
        <w:pStyle w:val="ListBullet"/>
        <w:widowControl/>
        <w:spacing w:after="40" w:line="247" w:lineRule="auto"/>
        <w:ind w:left="360" w:hanging="202"/>
      </w:pPr>
      <w:r>
        <w:t>Principal proof gap: connect the October 15, 2023 transfer to Greenleaf’s possession/use. The October 20 Jantzen email says he did not bring files and relied on memory/public directories; the forensic record establishes the transfer to his personal account but contains no inspection of that account or Greenleaf systems. The pricing similarity and rapid rollout support an inference, not conclusive proof.</w:t>
      </w:r>
    </w:p>
    <w:p>
      <w:pPr>
        <w:pStyle w:val="ListBullet"/>
        <w:widowControl/>
        <w:spacing w:after="40" w:line="247" w:lineRule="auto"/>
        <w:ind w:left="360" w:hanging="202"/>
      </w:pPr>
      <w:r>
        <w:t>Principal damages risk: the report adds a $5.37 million termination fee to $10.50 million of profits through March 2025 despite Section 9.2 making the fee due within 30 days after an effective termination. The notice appears void under the contract’s express terms, and the fee should be pleaded/valued in the alternative unless counsel develops a sound basis for cumulative recovery. Infrastructure and trade-secret valuations also face causation, methodology, mitigation, and overlap challenges.</w:t>
      </w:r>
    </w:p>
    <w:p>
      <w:pPr>
        <w:pStyle w:val="ListBullet"/>
        <w:widowControl/>
        <w:spacing w:after="40" w:line="247" w:lineRule="auto"/>
        <w:ind w:left="360" w:hanging="202"/>
      </w:pPr>
      <w:r>
        <w:t>Immediate hygiene: correct material complaint/report inaccuracies, confirm the dispute-resolution timeline, preserve and authenticate the forensic image and mail records, and obtain a forensic chain from Jantzen’s personal Gmail through Greenleaf endpoints. Review the internal-email compilation for privilege, provenance, and any Rule 502 clawback issues before using or circulating it.</w:t>
      </w:r>
    </w:p>
    <w:p>
      <w:pPr>
        <w:pStyle w:val="Heading1"/>
        <w:widowControl/>
      </w:pPr>
      <w:r>
        <w:t>2. Key facts and chronology</w:t>
      </w:r>
    </w:p>
    <w:tbl>
      <w:tblPr>
        <w:tblW w:type="auto" w:w="0"/>
        <w:jc w:val="center"/>
        <w:tblLayout w:type="fixed"/>
        <w:tblLook w:firstColumn="1" w:firstRow="1" w:lastColumn="0" w:lastRow="0" w:noHBand="0" w:noVBand="1" w:val="04A0"/>
      </w:tblPr>
      <w:tblGrid>
        <w:gridCol w:w="1901"/>
        <w:gridCol w:w="8568"/>
      </w:tblGrid>
      <w:tr>
        <w:trPr>
          <w:tblHeader w:val="true"/>
        </w:trPr>
        <w:tc>
          <w:tcPr>
            <w:tcW w:type="dxa" w:w="4997"/>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6"/>
              </w:rPr>
              <w:t>Date</w:t>
            </w:r>
          </w:p>
        </w:tc>
        <w:tc>
          <w:tcPr>
            <w:tcW w:type="dxa" w:w="4997"/>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6"/>
              </w:rPr>
              <w:t>Event / significance</w:t>
            </w:r>
          </w:p>
        </w:tc>
      </w:tr>
      <w:tr>
        <w:tc>
          <w:tcPr>
            <w:tcW w:type="dxa" w:w="1901"/>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Mar. 15, 2019</w:t>
            </w:r>
          </w:p>
        </w:tc>
        <w:tc>
          <w:tcPr>
            <w:tcW w:type="dxa" w:w="856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Exclusive Distribution Agreement begins; five-year initial term through Mar. 14, 2024. Greenleaf products are exclusive to Cascade in the Territory, subject to limited e-commerce/event carve-outs.</w:t>
            </w:r>
          </w:p>
        </w:tc>
      </w:tr>
      <w:tr>
        <w:tc>
          <w:tcPr>
            <w:tcW w:type="dxa" w:w="1901"/>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Mar. 15, 2020–Mar. 14, 2021</w:t>
            </w:r>
          </w:p>
        </w:tc>
        <w:tc>
          <w:tcPr>
            <w:tcW w:type="dxa" w:w="856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Year 2 purchases were $26.8m versus a $29.4m minimum. Greenleaf GC’s Sept. 5, 2023 email says Greenleaf sent an April 5, 2021 breach notice, Cascade asserted COVID/force majeure, and Greenleaf then continued performance for more than two years. The underlying notice/response are not included.</w:t>
            </w:r>
          </w:p>
        </w:tc>
      </w:tr>
      <w:tr>
        <w:tc>
          <w:tcPr>
            <w:tcW w:type="dxa" w:w="1901"/>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Aug. 3–10, 2023</w:t>
            </w:r>
          </w:p>
        </w:tc>
        <w:tc>
          <w:tcPr>
            <w:tcW w:type="dxa" w:w="856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Ellison met and pursued Jantzen while he worked for Cascade. In the Aug. 10 email to GC, Ellison emphasizes that he knows about 1,800 accounts, can “bring the whole playbook,” and could let Greenleaf “plug and play Cascade’s network.”</w:t>
            </w:r>
          </w:p>
        </w:tc>
      </w:tr>
      <w:tr>
        <w:tc>
          <w:tcPr>
            <w:tcW w:type="dxa" w:w="1901"/>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Sept. 5–8, 2023</w:t>
            </w:r>
          </w:p>
        </w:tc>
        <w:tc>
          <w:tcPr>
            <w:tcW w:type="dxa" w:w="856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GC outlined the convenience route (12 months and $5.37m fee) and a cause route based on the old shortfall, expressly flagging waiver risk. On Sept. 7 Ellison rejected the cause route, said she did not want to pay the fee, and directed a convenience letter. Greenleaf’s Sept. 8 letter purported to terminate immediately under §9.2.</w:t>
            </w:r>
          </w:p>
        </w:tc>
      </w:tr>
      <w:tr>
        <w:tc>
          <w:tcPr>
            <w:tcW w:type="dxa" w:w="1901"/>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Sept. 15–16, 2023</w:t>
            </w:r>
          </w:p>
        </w:tc>
        <w:tc>
          <w:tcPr>
            <w:tcW w:type="dxa" w:w="856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Cascade’s counsel rejected the termination and demanded continued performance. The §3.2 non-renewal deadline was Sept. 16. The Sept. 8 letter did not expressly invoke §3.2 or state non-renewal, although it preceded the deadline.</w:t>
            </w:r>
          </w:p>
        </w:tc>
      </w:tr>
      <w:tr>
        <w:tc>
          <w:tcPr>
            <w:tcW w:type="dxa" w:w="1901"/>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Oct. 2, 2023</w:t>
            </w:r>
          </w:p>
        </w:tc>
        <w:tc>
          <w:tcPr>
            <w:tcW w:type="dxa" w:w="856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Complaint and damages report state Greenleaf ceased shipments and began direct-to-retail distribution. Complaint ¶44 says Jantzen led that operation on Oct. 2, although forensic summary says he was not employed by Greenleaf until Nov. 1. Resolve who led the launch and whether Jantzen was doing Greenleaf work before his formal start.</w:t>
            </w:r>
          </w:p>
        </w:tc>
      </w:tr>
      <w:tr>
        <w:tc>
          <w:tcPr>
            <w:tcW w:type="dxa" w:w="1901"/>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Oct. 15–20, 2023</w:t>
            </w:r>
          </w:p>
        </w:tc>
        <w:tc>
          <w:tcPr>
            <w:tcW w:type="dxa" w:w="856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Forensic summary documents Jantzen emailing three Cascade files (14.3 MB) from his company account to personal Gmail at 9:47 p.m. on Oct. 15, checking Gmail five minutes later, and unusual file access. On Oct. 20 Jantzen tells Ellison the account contacts are “all in my head,” says he did not bring files, and describes a 60-day direct-account rollout.</w:t>
            </w:r>
          </w:p>
        </w:tc>
      </w:tr>
      <w:tr>
        <w:tc>
          <w:tcPr>
            <w:tcW w:type="dxa" w:w="1901"/>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Oct. 25–Nov. 20, 2023</w:t>
            </w:r>
          </w:p>
        </w:tc>
        <w:tc>
          <w:tcPr>
            <w:tcW w:type="dxa" w:w="856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Jantzen resigned Oct. 25; separation agreement Oct. 28; last day and laptop return Oct. 31; Greenleaf employment effective Nov. 1. IT review began Nov. 2 (not before laptop return, as Complaint ¶64 states). VP Sales raised suspicious pricing similarity Nov. 15; Ellison replied Nov. 18, “Don’t put stuff like that in email.” Forensic memo dated Nov. 20.</w:t>
            </w:r>
          </w:p>
        </w:tc>
      </w:tr>
      <w:tr>
        <w:tc>
          <w:tcPr>
            <w:tcW w:type="dxa" w:w="1901"/>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Feb.–Apr. 2024</w:t>
            </w:r>
          </w:p>
        </w:tc>
        <w:tc>
          <w:tcPr>
            <w:tcW w:type="dxa" w:w="856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6"/>
              </w:rPr>
              <w:t>Mediation demand submitted Feb. 1; full-day mediation held Mar. 15; damages report dated Mar. 28; complaint filed Apr. 12. GC forwarded internal email compilation to Greenleaf’s outside counsel Apr. 18 seeking legal advice about privilege/discovery.</w:t>
            </w:r>
          </w:p>
        </w:tc>
      </w:tr>
    </w:tbl>
    <w:p>
      <w:pPr>
        <w:widowControl/>
        <w:spacing w:after="0"/>
      </w:pPr>
    </w:p>
    <w:p>
      <w:pPr>
        <w:pStyle w:val="Heading1"/>
        <w:widowControl/>
      </w:pPr>
      <w:r>
        <w:t>3. Liability analysis</w:t>
      </w:r>
    </w:p>
    <w:p>
      <w:pPr>
        <w:pStyle w:val="Heading2"/>
        <w:widowControl/>
      </w:pPr>
      <w:r>
        <w:t>A. Breach of contract — strongest claim</w:t>
      </w:r>
    </w:p>
    <w:p>
      <w:pPr>
        <w:widowControl/>
      </w:pPr>
      <w:r>
        <w:t>The Agreement requires strict compliance with the termination mechanics. Section 9.2 requires 12 months’ advance written notice; the notice must state an anticipated termination date no earlier than 12 months after notice and acknowledge the fee obligation; noncompliance makes the purported termination void. Greenleaf’s Sept. 8 letter expressly cites §9.2 but says “effective immediately,” supplies no compliant future date, and neither acknowledges nor tenders the fee. It is a particularly strong breach record because the letter and agreement themselves establish the mismatch. Cascade’s Sept. 15 response promptly preserved its position.</w:t>
      </w:r>
    </w:p>
    <w:p>
      <w:pPr>
        <w:widowControl/>
      </w:pPr>
      <w:r>
        <w:t>Greenleaf’s later conduct—stopping shipments, rejecting orders, and direct sales—supports repudiation and breach of the exclusivity promise in §2.2. The direct-to-retail channel is not within the limited website e-commerce or incidental event exceptions (§2.4), if the alleged scope is proved. Section 7.1 requires commercially reasonable supply efforts “subject to product availability,” rather than an absolute fill-every-order covenant; obtain availability, production, inventory, rejected-order, and payment records to establish that Greenleaf could and should have filled Cascade orders.</w:t>
      </w:r>
    </w:p>
    <w:p>
      <w:pPr>
        <w:widowControl/>
      </w:pPr>
      <w:r>
        <w:t>Automatic renewal is a strong but litigable issue. Section 3.2 requires a notice that expressly states it is a notice of non-renewal under §3.2, delivered under §17.6, at least 180 days before term end. Greenleaf’s Sept. 8 letter described an immediate §9.2 convenience termination, not non-renewal. It was timely in date (eight days before Sept. 16), however, so Greenleaf may argue it communicated an intent to end the relationship. The express-content requirement and different legal effects favor Cascade. If no compliant notice, the term renewed through Mar. 14, 2025; no later non-renewal notice appears in this record.</w:t>
      </w:r>
    </w:p>
    <w:p>
      <w:pPr>
        <w:widowControl/>
      </w:pPr>
      <w:r>
        <w:t>Year 2 shortfall is Greenleaf’s main contract defense. Section 5.3 defines failure to meet the minimum as a material breach subject to §9.1. Section 14 expressly lists pandemics and supply-chain disruptions, but Cascade must prove the event caused the shortfall and that it gave prompt written notice and used commercially reasonable mitigation (§14.2). Greenleaf’s alleged 2021 breach notice matters, but a cause termination required a detailed notice, 30-day cure period, and then a 60-day termination notice (§9.1); the Sept. 8, 2023 letter instead elected §9.2 and did not satisfy §9.1. The two-plus years of continued performance and counsel’s contemporaneous waiver analysis are favorable to Cascade. The contract’s written anti-waiver clause (§17.4) helps Greenleaf argue no waiver absent writing, but does not eliminate arguments based on election, estoppel, force majeure, and failure to follow the cause procedure.</w:t>
      </w:r>
    </w:p>
    <w:p>
      <w:pPr>
        <w:pStyle w:val="Heading2"/>
        <w:widowControl/>
      </w:pPr>
      <w:r>
        <w:t>B. Employee solicitation / non-hire — strong contractual claim</w:t>
      </w:r>
    </w:p>
    <w:p>
      <w:pPr>
        <w:widowControl/>
      </w:pPr>
      <w:r>
        <w:t>Section 11.2 defines a Covered Employee by material involvement during the preceding 12 months; Jantzen directly managed Greenleaf-related accounts, pricing, and routes. Section 11.3 prohibits solicitation, recruitment, hiring, or engagement during the term and 18 months thereafter, even if the employee initiates contact. The agreement’s exceptions (termination without cause or a truly general, non-targeted posting) do not fit the current facts: Ellison initiated contact, pursued him, and discussed a role. Jantzen was still employed by Cascade when recruited and hired during the initial term. No written consent is shown. Section 11.5 expressly provides for injunctive relief. Obtain evidence of the precise communications, role start date, and any compensation/consulting before Nov. 1.</w:t>
      </w:r>
    </w:p>
    <w:p>
      <w:pPr>
        <w:widowControl/>
      </w:pPr>
      <w:r>
        <w:t>The separate Jantzen employment agreement supports his access, confidentiality duties, return/deletion duties, and a possible separate claim, but does not make him a party to this case. Its broad 12-month non-compete and 18-month customer/employee nonsolicits are governed by Washington law and King County venue under that agreement; enforceability against an Oregon-based worker and statutory limits require separate, current-law analysis. Do not assume the non-compete is enforceable or use it as the primary basis for a Greenleaf injunction.</w:t>
      </w:r>
    </w:p>
    <w:p>
      <w:pPr>
        <w:pStyle w:val="Heading2"/>
        <w:widowControl/>
      </w:pPr>
      <w:r>
        <w:t>C. Trade secret misappropriation (OUTSA / DTSA) — credible, but corporate-use link is incomplete</w:t>
      </w:r>
    </w:p>
    <w:p>
      <w:pPr>
        <w:widowControl/>
      </w:pPr>
      <w:r>
        <w:t>The transferred files map to information expressly identified as confidential in the distribution and employment agreements: a pricing model, 1,847-account database with purchasing/contract details, and route analytics. The forensic memo gives file names, size, timestamps, delivery log, and hash-preserved imaging; the employment agreement prohibits transfer to personal accounts. This is strong proof of unauthorized acquisition by Jantzen. Reported access restrictions, labels, password/MFA controls, and employee agreements support reasonable secrecy measures, subject to production of the actual policies and system evidence. Compilations of account-level history, terms, profitability, and route data are more defensible secrets than public contact details or general buyer relationships.</w:t>
      </w:r>
    </w:p>
    <w:p>
      <w:pPr>
        <w:widowControl/>
      </w:pPr>
      <w:r>
        <w:t>The harder issue is Greenleaf’s acquisition, knowledge, or use. The Aug. 10 “whole playbook” message precedes the transfer and is powerful circumstantial evidence of expectation and intent, but may refer to experience and relationships rather than files. The Oct. 20 message affirmatively denies bringing files while describing a rapid rollout based on memory and public sources; the Oct. 15 email to personal Gmail contradicts any literal claim that no files were taken, but does not establish that Greenleaf received them. The Nov. 15 pricing concern and Nov. 18 response are probative of notice and possible consciousness of risk; they do not, without more, prove when or how the data were used. Greenleaf will argue common market price points, independently developed pricing, public directories, personal knowledge, and lawful customer choice. Greenleaf’s monthly access to sales/account-activity reports under §4.3 is another issue: distinguish those permitted summaries from the detailed database, account terms, and algorithms allegedly exfiltrated.</w:t>
      </w:r>
    </w:p>
    <w:p>
      <w:pPr>
        <w:widowControl/>
      </w:pPr>
      <w:r>
        <w:t>For both statutory claims, establish (i) the precise secret and owner; (ii) secrecy measures; (iii) improper acquisition by Jantzen; (iv) Greenleaf’s knowledge or reason to know; (v) Greenleaf’s receipt/use or threatened use; and (vi) injury. The files are not attached and their contents, versions, metadata, and similarity analyses have not been independently examined. The complaint names only Greenleaf; consider whether to add or separately pursue Jantzen after venue, choice-of-law, limitations, and strategy review. DTSA/OUTSA do not authorize a restraint on employment based merely on knowledge; any order should prohibit use/disclosure and require targeted return/destruction/inspection, not bar Greenleaf from competing or hiring Jantzen absent proof and legal basis.</w:t>
      </w:r>
    </w:p>
    <w:p>
      <w:pPr>
        <w:pStyle w:val="Heading2"/>
        <w:widowControl/>
      </w:pPr>
      <w:r>
        <w:t>D. Tortious interference and unjust enrichment — supportive, but derivative/overlap concerns</w:t>
      </w:r>
    </w:p>
    <w:p>
      <w:pPr>
        <w:widowControl/>
      </w:pPr>
      <w:r>
        <w:t>Tortious interference requires proof of specific existing or prospective retail relationships, Greenleaf’s knowledge, intentional interference, improper means or purpose, causation, and nonduplicative loss. The agreement’s exclusivity, alleged secret use, and targeted recruitment can supply improper means beyond ordinary competition or a bare contract breach. Evidence that accounts actually shifted to Greenleaf and the resulting margin loss is not yet supplied. Cascade should identify accounts, dates, prior volume, communications, and lost distribution economics. Greenleaf will argue it sold its own products to willing retailers and that Cascade’s alleged injury is simply the contract expectancy. Expect dismissal, narrowing, or damages overlap arguments if the tort count is based only on the same contract breach and trade-secret use.</w:t>
      </w:r>
    </w:p>
    <w:p>
      <w:pPr>
        <w:widowControl/>
      </w:pPr>
      <w:r>
        <w:t>Unjust enrichment is expressly pleaded in the alternative, but the written agreement governs much of the relationship, which ordinarily makes quasi-contract restitution difficult for matters within its scope. Preserve it for benefits outside the contract or if the agreement is held not to govern the specific benefit (particularly secret use), but do not seek duplicative restitution for the same contract margin, infrastructure, customer acquisition, or trade-secret injury.</w:t>
      </w:r>
    </w:p>
    <w:p>
      <w:pPr>
        <w:pStyle w:val="Heading1"/>
        <w:widowControl/>
      </w:pPr>
      <w:r>
        <w:t>4. Damages and remedies</w:t>
      </w:r>
    </w:p>
    <w:p>
      <w:pPr>
        <w:widowControl/>
      </w:pPr>
      <w:r>
        <w:t>Bridger’s March 28, 2024 preliminary report values total damages at $22,521,312.50, before interest, fees, statutory exemplary damages, or any tort punitive award. It states that the work is preliminary, assumes liability and the full forecast period, relies on Cascade/counsel data, and defers legal recoverability to counsel. Treat each category as a hypothesis requiring source-data support and an overlap check—not a proven floor.</w:t>
      </w:r>
    </w:p>
    <w:tbl>
      <w:tblPr>
        <w:tblW w:type="auto" w:w="0"/>
        <w:jc w:val="center"/>
        <w:tblLayout w:type="fixed"/>
        <w:tblLook w:firstColumn="1" w:firstRow="1" w:lastColumn="0" w:lastRow="0" w:noHBand="0" w:noVBand="1" w:val="04A0"/>
      </w:tblPr>
      <w:tblGrid>
        <w:gridCol w:w="1800"/>
        <w:gridCol w:w="1584"/>
        <w:gridCol w:w="7085"/>
      </w:tblGrid>
      <w:tr>
        <w:trPr>
          <w:tblHeader w:val="true"/>
        </w:trPr>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Category</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Report amount</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Assessment / principal challenge</w:t>
            </w:r>
          </w:p>
        </w:tc>
      </w:tr>
      <w:tr>
        <w:tc>
          <w:tcPr>
            <w:tcW w:type="dxa" w:w="1800"/>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Lost distribution profits</w:t>
            </w:r>
          </w:p>
        </w:tc>
        <w:tc>
          <w:tcPr>
            <w:tcW w:type="dxa" w:w="1584"/>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$10,501,312.50</w:t>
            </w:r>
          </w:p>
        </w:tc>
        <w:tc>
          <w:tcPr>
            <w:tcW w:type="dxa" w:w="7085"/>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Report applies 18% margin to $58.341m projected purchases over 17.5 months: $40.005m annualized × 17.5/12. It uses Year 4 actual purchases ($38.1m) plus 5%, and a flat annual rate for all periods. Validate net margin denominator, actual retail demand, Year 5 partial purchases ($19.7m through Oct. 2023), seasonality, supply/price capacity, account losses, variable costs, mitigation/redeployment, and exact pro-rating. Report does not compound 5% in renewal year; a simple compounded illustration would be $10.861m, while applying only contractual minimums gives about $9.240m. Neither alternative is a final opinion; forecast must be reconciled to market and sales records.</w:t>
            </w:r>
          </w:p>
        </w:tc>
      </w:tr>
      <w:tr>
        <w:tc>
          <w:tcPr>
            <w:tcW w:type="dxa" w:w="1800"/>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Termination fee</w:t>
            </w:r>
          </w:p>
        </w:tc>
        <w:tc>
          <w:tcPr>
            <w:tcW w:type="dxa" w:w="1584"/>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$5,370,000</w:t>
            </w:r>
          </w:p>
        </w:tc>
        <w:tc>
          <w:tcPr>
            <w:tcW w:type="dxa" w:w="7085"/>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Formula is correct: 15% × average of $33.5m and $38.1m. But §9.2 makes payment due within 30 days of the effective termination date and renders a noncompliant notice void. Because Greenleaf’s immediate-termination notice was defective, a fee may not have matured. The letter does not acknowledge the fee obligation as §9.2 requires. The fee is best treated as an alternative contractual entitlement or settlement benchmark pending legal analysis—not automatically additive to all lost profits through Mar. 2025.</w:t>
            </w:r>
          </w:p>
        </w:tc>
      </w:tr>
      <w:tr>
        <w:tc>
          <w:tcPr>
            <w:tcW w:type="dxa" w:w="1800"/>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Infrastructure</w:t>
            </w:r>
          </w:p>
        </w:tc>
        <w:tc>
          <w:tcPr>
            <w:tcW w:type="dxa" w:w="1584"/>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$1,850,000</w:t>
            </w:r>
          </w:p>
        </w:tc>
        <w:tc>
          <w:tcPr>
            <w:tcW w:type="dxa" w:w="7085"/>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Report starts from $3.2m historical investment, but values $2.85m replacement cost less 35% functional depreciation ($1.8525m). It itself reports $288,000 straight-line book value after 4.55 years. Replacement cost may not measure Cascade’s loss; establish asset-level cost, remaining economic life, residual/salvage value, alternative use, repurposing cost, and actual impairment. Expect mitigation and double-count challenges because expected profits may already compensate for the investment. Consider as reliance damages in the alternative.</w:t>
            </w:r>
          </w:p>
        </w:tc>
      </w:tr>
      <w:tr>
        <w:tc>
          <w:tcPr>
            <w:tcW w:type="dxa" w:w="1800"/>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Trade-secret damages</w:t>
            </w:r>
          </w:p>
        </w:tc>
        <w:tc>
          <w:tcPr>
            <w:tcW w:type="dxa" w:w="1584"/>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$4,800,000</w:t>
            </w:r>
          </w:p>
        </w:tc>
        <w:tc>
          <w:tcPr>
            <w:tcW w:type="dxa" w:w="7085"/>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Sum of $1.2m pricing-model development, $2.9m customer acquisition cost (1,847 × $1,570), and $0.7m routing development. Historical cost/acquisition cost is not necessarily actual loss, market value, unjust enrichment, or reasonable royalty. Prove expenditures and causal diminution; allocate only secret information allegedly used, net out non-secret/public data and Greenleaf’s independent/customer relationships, and avoid overlap with lost profits/interference. Obtain Greenleaf’s incremental profits or develop a reasonable-royalty analysis.</w:t>
            </w:r>
          </w:p>
        </w:tc>
      </w:tr>
      <w:tr>
        <w:tc>
          <w:tcPr>
            <w:tcW w:type="dxa" w:w="1800"/>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Total pleaded/report estimate</w:t>
            </w:r>
          </w:p>
        </w:tc>
        <w:tc>
          <w:tcPr>
            <w:tcW w:type="dxa" w:w="1584"/>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$22,521,312.50</w:t>
            </w:r>
          </w:p>
        </w:tc>
        <w:tc>
          <w:tcPr>
            <w:tcW w:type="dxa" w:w="7085"/>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Arithmetic adds the four categories correctly, but it does not resolve conditional fee liability or double recovery among lost profits, fee, customer relationships, infrastructure, trade-secret loss, tort damages, and restitution. The complaint’s “no less than” characterization is not established by the report’s assumptions.</w:t>
            </w:r>
          </w:p>
        </w:tc>
      </w:tr>
    </w:tbl>
    <w:p>
      <w:pPr>
        <w:widowControl/>
        <w:spacing w:after="0"/>
      </w:pPr>
    </w:p>
    <w:p>
      <w:pPr>
        <w:widowControl/>
      </w:pPr>
      <w:r>
        <w:t>Enhanced/exemplary damages and fees: Complaint ¶82 seeks up to $9.6m additional on $4.8m trade-secret damages, while Bridger’s caveats describe an additional $4.8m and its trade-secret section says enhanced damages could “double” the amount. Reconcile the statutory measure and language before presenting a number; the OUTSA and DTSA provide exemplary damages up to two times the damages award for willful/malicious misappropriation, but the state and federal awards should not be stacked to multiply the same injury. Section 15.4 also provides prevailing-party attorneys’ fees, expert fees, and costs on contract disputes; OUTSA/DTSA fee provisions may apply on statutory findings. Punitive damages on interference and enhancement are discretionary, liability-dependent, and not part of the $22.52m base total.</w:t>
      </w:r>
    </w:p>
    <w:p>
      <w:pPr>
        <w:widowControl/>
      </w:pPr>
      <w:r>
        <w:t>Section 16.1 caps aggregate liability at purchases in the two full contract years before the event—apparently $71.6m using Years 3 and 4—well above the current $22.52m compensatory estimate but potentially relevant if fees/exemplary damages are added. Section 16.2 excludes consequential, indirect, special, and punitive damages except for willful misconduct or misappropriation of Confidential Information. The emails and alleged trade-secret conduct support the exception, but lost profits remain consequential and proof of willfulness does not itself establish each dollar. Read §§16.1–16.3 together: the §16.2 exception to the exclusion does not clearly erase the separate aggregate cap in §16.1.</w:t>
      </w:r>
    </w:p>
    <w:p>
      <w:pPr>
        <w:pStyle w:val="Heading1"/>
        <w:widowControl/>
      </w:pPr>
      <w:r>
        <w:t>5. Defenses, procedural issues, and evidentiary cautions</w:t>
      </w:r>
    </w:p>
    <w:p>
      <w:pPr>
        <w:pStyle w:val="ListBullet"/>
        <w:widowControl/>
        <w:spacing w:after="40" w:line="247" w:lineRule="auto"/>
        <w:ind w:left="360" w:hanging="202"/>
      </w:pPr>
      <w:r>
        <w:t>Force majeure / Year 2 shortfall: obtain the April 5, 2021 notice, Cascade’s response, pandemic/supply records, notice and mitigation documentation, and post-shortfall purchase records. A purchase shortfall is expressly material under §5.3, but force majeure and the unfulfilled §9.1 termination steps substantially weaken an after-the-fact cause defense.</w:t>
      </w:r>
    </w:p>
    <w:p>
      <w:pPr>
        <w:pStyle w:val="ListBullet"/>
        <w:widowControl/>
        <w:spacing w:after="40" w:line="247" w:lineRule="auto"/>
        <w:ind w:left="360" w:hanging="202"/>
      </w:pPr>
      <w:r>
        <w:t>Non-renewal: the Sept. 8 letter was before the deadline, so its wording and recipient/delivery matter. The agreement requires express §3.2 non-renewal content and §17.6 delivery. Obtain full certified-mail receipts, email transmission/receipt, address designation history, and any later notice.</w:t>
      </w:r>
    </w:p>
    <w:p>
      <w:pPr>
        <w:pStyle w:val="ListBullet"/>
        <w:widowControl/>
        <w:spacing w:after="40" w:line="247" w:lineRule="auto"/>
        <w:ind w:left="360" w:hanging="202"/>
      </w:pPr>
      <w:r>
        <w:t>Mediation / negotiations condition: §§15.1–15.3 require senior-executive negotiations for at least 30 days, mediation, and no litigation until the dispute remains unresolved for 60 days from commencement of the mediation process. Complaint ¶14 states a Feb. 1 mediation demand, Mar. 15 session, and Apr. 12 filing; 60 days after Feb. 1 elapsed before filing, but the record does not show when negotiations began or when mediation formally commenced. Confirm notices, negotiation meetings, mediator engagement/commencement, and any waiver. If commencement is treated as Mar. 15, suit was filed before 60 days; Greenleaf could seek a stay/dismissal without prejudice. This may be curable and is not a merits defense.</w:t>
      </w:r>
    </w:p>
    <w:p>
      <w:pPr>
        <w:pStyle w:val="ListBullet"/>
        <w:widowControl/>
        <w:spacing w:after="40" w:line="247" w:lineRule="auto"/>
        <w:ind w:left="360" w:hanging="202"/>
      </w:pPr>
      <w:r>
        <w:t>Limitation of liability / foreseeability / mitigation: §16.2 expressly names lost profits and loss of business. Establish willful misconduct or misuse of Confidential Information to invoke the exception. Demonstrate foreseeability and the net, avoidable-cost-adjusted nature of profit damages; document substitute product sales, asset redeployment, and customer retention efforts.</w:t>
      </w:r>
    </w:p>
    <w:p>
      <w:pPr>
        <w:pStyle w:val="ListBullet"/>
        <w:widowControl/>
        <w:spacing w:after="40" w:line="247" w:lineRule="auto"/>
        <w:ind w:left="360" w:hanging="202"/>
      </w:pPr>
      <w:r>
        <w:t>Privilege and internal emails: The Apr. 18 wrapper is a GC-to-outside-counsel request for legal advice; protect it. The Aug. 10 CEO-to-GC email expressly requests contract advice, and Sept. 5 GC legal analysis and Sept. 7 CEO response may be privileged in whole or part. Business communications (Oct. 20 Jantzen rollout; Nov. 15 VP sales concern; Nov. 18 CEO response) are not privileged merely because later forwarded to counsel or labeled “work product.” Pre-existing emails are not cloaked by forwarding; privilege is communication-specific and mixed legal/business content may be segregable. Work product requires preparation because of anticipated litigation, not simply a litigation-hold or counsel forwarding. If the compilation was inadvertently produced/received, stop broader review, segregate it, notify the producing counsel, follow the protective order and Fed. R. Evid. 502 / Fed. R. Civ. P. 26(b)(5)(B), and resolve provenance/clawback before quoting it in filings. Crime-fraud is a narrow exception and should not be presumed from alleged contract evasion alone.</w:t>
      </w:r>
    </w:p>
    <w:p>
      <w:pPr>
        <w:pStyle w:val="ListBullet"/>
        <w:widowControl/>
        <w:spacing w:after="40" w:line="247" w:lineRule="auto"/>
        <w:ind w:left="360" w:hanging="202"/>
      </w:pPr>
      <w:r>
        <w:t>Forensic report chronology and custody: report says laptop returned Oct. 31, review initiated Nov. 2, and imaging verified before analysis. Complaint ¶64 says review occurred before return on Oct. 30. Correct the pleading/record; preserve original image, hash records, chain-of-custody log, complete Exchange logs, and the forensic examiner’s methods. The inconsistency is avoidable impeachment material.</w:t>
      </w:r>
    </w:p>
    <w:p>
      <w:pPr>
        <w:pStyle w:val="ListBullet"/>
        <w:widowControl/>
        <w:spacing w:after="40" w:line="247" w:lineRule="auto"/>
        <w:ind w:left="360" w:hanging="202"/>
      </w:pPr>
      <w:r>
        <w:t>Other complaint/report mis-citations: the agreement places governing law in §17.1 (not §15.3); notices in §17.6 (not §16.1); return/destruction in §12.2 (not §12.4; §12.4 is equitable relief). Complaint ¶71 also assumes a §12.2 return clock ran despite the dispute over whether termination was effective. Correct these before briefing and distinguish a demand for return from a contractual post-termination trigger.</w:t>
      </w:r>
    </w:p>
    <w:p>
      <w:pPr>
        <w:pStyle w:val="ListBullet"/>
        <w:widowControl/>
        <w:spacing w:after="40" w:line="247" w:lineRule="auto"/>
        <w:ind w:left="360" w:hanging="202"/>
      </w:pPr>
      <w:r>
        <w:t>Damages/expert disclosure: report is preliminary and prepared at counsel’s direction; its assertions are not independent proof. Confirm source records and expert qualifications/methodology, Rule 26(a)(2) disclosures, workpapers, and whether the report will be supplemented. Use a single consistent forecast and a clear alternative/overlap schedule.</w:t>
      </w:r>
    </w:p>
    <w:p>
      <w:pPr>
        <w:pStyle w:val="Heading1"/>
        <w:widowControl/>
      </w:pPr>
      <w:r>
        <w:t>6. Priority discovery and action plan</w:t>
      </w:r>
    </w:p>
    <w:tbl>
      <w:tblPr>
        <w:tblW w:type="auto" w:w="0"/>
        <w:jc w:val="center"/>
        <w:tblLayout w:type="fixed"/>
        <w:tblLook w:firstColumn="1" w:firstRow="1" w:lastColumn="0" w:lastRow="0" w:noHBand="0" w:noVBand="1" w:val="04A0"/>
      </w:tblPr>
      <w:tblGrid>
        <w:gridCol w:w="1613"/>
        <w:gridCol w:w="6048"/>
        <w:gridCol w:w="2952"/>
      </w:tblGrid>
      <w:tr>
        <w:trPr>
          <w:tblHeader w:val="true"/>
        </w:trPr>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Priority</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Action / proof target</w:t>
            </w:r>
          </w:p>
        </w:tc>
        <w:tc>
          <w:tcPr>
            <w:tcW w:type="dxa" w:w="3331"/>
            <w:vAlign w:val="center"/>
            <w:tcMar>
              <w:top w:w="70" w:type="dxa"/>
              <w:start w:w="85" w:type="dxa"/>
              <w:bottom w:w="70" w:type="dxa"/>
              <w:end w:w="85" w:type="dxa"/>
            </w:tcMar>
            <w:shd w:fill="17365D"/>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color w:val="FFFFFF"/>
                <w:sz w:val="15"/>
              </w:rPr>
              <w:t>Purpose</w:t>
            </w:r>
          </w:p>
        </w:tc>
      </w:tr>
      <w:tr>
        <w:tc>
          <w:tcPr>
            <w:tcW w:type="dxa" w:w="1613"/>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1 — Immediate</w:t>
            </w:r>
          </w:p>
        </w:tc>
        <w:tc>
          <w:tcPr>
            <w:tcW w:type="dxa" w:w="604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Preserve all communications, source data, devices, backups, mailboxes, and cloud accounts for Ellison, Hyun-Park, Jantzen, Brennan, relevant distribution/pricing personnel, and Cascade witnesses. Issue/refresh litigation holds; preserve Greenleaf rollout records and Cascade’s forensic image/logs.</w:t>
            </w:r>
          </w:p>
        </w:tc>
        <w:tc>
          <w:tcPr>
            <w:tcW w:type="dxa" w:w="2952"/>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Prevent spoliation; pin down possession, use, knowledge, and timeline.</w:t>
            </w:r>
          </w:p>
        </w:tc>
      </w:tr>
      <w:tr>
        <w:tc>
          <w:tcPr>
            <w:tcW w:type="dxa" w:w="1613"/>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2 — Forensic bridge</w:t>
            </w:r>
          </w:p>
        </w:tc>
        <w:tc>
          <w:tcPr>
            <w:tcW w:type="dxa" w:w="604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Seek Jantzen’s personal Gmail account records/attachments, sign-in and download history, forwarding/deletion events, browser/device artifacts, and any synchronized phones/laptops; inspect Greenleaf devices/cloud stores under a narrow neutral protocol. Obtain the actual three files, file hashes/metadata, derivative spreadsheets, and access logs.</w:t>
            </w:r>
          </w:p>
        </w:tc>
        <w:tc>
          <w:tcPr>
            <w:tcW w:type="dxa" w:w="2952"/>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Determine whether files reached Greenleaf, who accessed them, and whether they informed pricing/accounts/routes. Use protective order and minimize unrelated personal data.</w:t>
            </w:r>
          </w:p>
        </w:tc>
      </w:tr>
      <w:tr>
        <w:tc>
          <w:tcPr>
            <w:tcW w:type="dxa" w:w="1613"/>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3 — Greenleaf decision trail</w:t>
            </w:r>
          </w:p>
        </w:tc>
        <w:tc>
          <w:tcPr>
            <w:tcW w:type="dxa" w:w="604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Obtain all hiring/recruitment messages, interview notes, offer/employment/consulting records, dates of work and pay, distribution buildout plans, customer contacts, pricing models/version history, route plans, source data, and records reflecting the decision to cease Cascade orders or sell directly. Depose Ellison, Hyun-Park, Jantzen, Brennan, and rollout/pricing custodians.</w:t>
            </w:r>
          </w:p>
        </w:tc>
        <w:tc>
          <w:tcPr>
            <w:tcW w:type="dxa" w:w="2952"/>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Test intent, contract knowledge, independent development, use, notice, and direct-sale volumes. Authenticate the internal emails after privilege issues are resolved.</w:t>
            </w:r>
          </w:p>
        </w:tc>
      </w:tr>
      <w:tr>
        <w:tc>
          <w:tcPr>
            <w:tcW w:type="dxa" w:w="1613"/>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4 — Account/market proof</w:t>
            </w:r>
          </w:p>
        </w:tc>
        <w:tc>
          <w:tcPr>
            <w:tcW w:type="dxa" w:w="604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Identify specific affected retailers; collect account contracts, Cascade/Greenleaf invoices and sell-through data, customer communications, dates of conversion, price/discount tiers, retention/churn, and third-party buyer testimony.</w:t>
            </w:r>
          </w:p>
        </w:tc>
        <w:tc>
          <w:tcPr>
            <w:tcW w:type="dxa" w:w="2952"/>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Prove tortious interference, trade-secret use, price similarity, causation, and account-level lost profits. Separate public buyer identities from confidential account intelligence.</w:t>
            </w:r>
          </w:p>
        </w:tc>
      </w:tr>
      <w:tr>
        <w:tc>
          <w:tcPr>
            <w:tcW w:type="dxa" w:w="1613"/>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5 — Contract performance</w:t>
            </w:r>
          </w:p>
        </w:tc>
        <w:tc>
          <w:tcPr>
            <w:tcW w:type="dxa" w:w="604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Obtain Cascade purchase orders and rejections, Greenleaf product availability/capacity, payments, price lists, sales reports exchanged under §4.3, §4.1 staffing reports, supply-shortage notices, and all performance correspondence. Obtain April 2021 breach/force-majeure materials and any later termination/non-renewal notice.</w:t>
            </w:r>
          </w:p>
        </w:tc>
        <w:tc>
          <w:tcPr>
            <w:tcW w:type="dxa" w:w="2952"/>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Prove Greenleaf’s ability/refusal to supply; support/expose Cascade performance; address force majeure, waiver, report sharing, and renewal.</w:t>
            </w:r>
          </w:p>
        </w:tc>
      </w:tr>
      <w:tr>
        <w:tc>
          <w:tcPr>
            <w:tcW w:type="dxa" w:w="1613"/>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6 — Damages foundation</w:t>
            </w:r>
          </w:p>
        </w:tc>
        <w:tc>
          <w:tcPr>
            <w:tcW w:type="dxa" w:w="604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Obtain general ledger, product/account-level margin and variable cost support, actual 2023–25 sales and capacity, comparable distributor margins, forecasts made before the dispute, mitigation/redeployment evidence, capital asset register/salvage bids, cost ledgers for each alleged secret, customer acquisition records, and Greenleaf incremental profit data. Have Bridger reconcile alternatives and overlap.</w:t>
            </w:r>
          </w:p>
        </w:tc>
        <w:tc>
          <w:tcPr>
            <w:tcW w:type="dxa" w:w="2952"/>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Convert preliminary categories into admissible, causally linked, net damages and develop a supportable reasonable royalty/unjust enrichment alternative.</w:t>
            </w:r>
          </w:p>
        </w:tc>
      </w:tr>
      <w:tr>
        <w:tc>
          <w:tcPr>
            <w:tcW w:type="dxa" w:w="1613"/>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7 — Procedural/pleading hygiene</w:t>
            </w:r>
          </w:p>
        </w:tc>
        <w:tc>
          <w:tcPr>
            <w:tcW w:type="dxa" w:w="6048"/>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Verify §15.1 negotiations and mediation commencement from Feb. 1 onward; document §17.6 service; review complaint errors and amend/correct where procedurally appropriate. Evaluate whether to add Jantzen or assert additional contract-based relief after venue/choice-of-law review.</w:t>
            </w:r>
          </w:p>
        </w:tc>
        <w:tc>
          <w:tcPr>
            <w:tcW w:type="dxa" w:w="2952"/>
            <w:vAlign w:val="center"/>
            <w:tcMar>
              <w:top w:w="70" w:type="dxa"/>
              <w:start w:w="85" w:type="dxa"/>
              <w:bottom w:w="70" w:type="dxa"/>
              <w:end w:w="85" w:type="dxa"/>
            </w:tcMar>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Reduce procedural attack and impeachment risk; preserve individual and equitable remedies without overreaching.</w:t>
            </w:r>
          </w:p>
        </w:tc>
      </w:tr>
      <w:tr>
        <w:tc>
          <w:tcPr>
            <w:tcW w:type="dxa" w:w="1613"/>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8 — Injunction strategy</w:t>
            </w:r>
          </w:p>
        </w:tc>
        <w:tc>
          <w:tcPr>
            <w:tcW w:type="dxa" w:w="6048"/>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If ongoing use can be shown, seek narrowly tailored order for non-use/non-disclosure, return/destruction and certification, preservation, and neutral forensic inspection. Identify specific information and control measures. Do not seek a blanket employment/competition bar based solely on Jantzen’s knowledge.</w:t>
            </w:r>
          </w:p>
        </w:tc>
        <w:tc>
          <w:tcPr>
            <w:tcW w:type="dxa" w:w="2952"/>
            <w:vAlign w:val="center"/>
            <w:tcMar>
              <w:top w:w="70" w:type="dxa"/>
              <w:start w:w="85" w:type="dxa"/>
              <w:bottom w:w="70" w:type="dxa"/>
              <w:end w:w="85" w:type="dxa"/>
            </w:tcMar>
            <w:shd w:fill="F4F7FA"/>
            <w:tcBorders>
              <w:top w:val="single" w:sz="4" w:color="D5DEE8"/>
              <w:left w:val="single" w:sz="4" w:color="D5DEE8"/>
              <w:bottom w:val="single" w:sz="4" w:color="D5DEE8"/>
              <w:right w:val="single" w:sz="4" w:color="D5DEE8"/>
              <w:insideH w:val="single" w:sz="4" w:color="D5DEE8"/>
              <w:insideV w:val="single" w:sz="4" w:color="D5DEE8"/>
            </w:tcBorders>
          </w:tcPr>
          <w:p>
            <w:pPr>
              <w:spacing w:after="0" w:line="240" w:lineRule="auto"/>
            </w:pPr>
            <w:r/>
            <w:r>
              <w:rPr>
                <w:rFonts w:ascii="Aptos" w:hAnsi="Aptos"/>
                <w:b w:val="0"/>
                <w:sz w:val="15"/>
              </w:rPr>
              <w:t>Improve likelihood of equitable relief under contract/DTSA/OUTSA while avoiding a restraint broader than trade-secret law permits.</w:t>
            </w:r>
          </w:p>
        </w:tc>
      </w:tr>
    </w:tbl>
    <w:p>
      <w:pPr>
        <w:widowControl/>
        <w:spacing w:after="0"/>
      </w:pPr>
    </w:p>
    <w:p>
      <w:pPr>
        <w:pStyle w:val="Heading1"/>
        <w:widowControl/>
      </w:pPr>
      <w:r>
        <w:t>7. Overall posture and recommended framing</w:t>
      </w:r>
    </w:p>
    <w:p>
      <w:pPr>
        <w:widowControl/>
      </w:pPr>
      <w:r>
        <w:t>Lead with the straightforward written-contract story: Greenleaf selected an immediate exit after its own counsel explained the actual contractual path and fee; it then stopped supplying Cascade and began selling directly while the agreement remained operative. Treat the 2021 minimum shortfall as a serious but fact-dependent defense, not something dismissed as categorically waived. The hiring clause and contemporaneous recruiting record are strong independent contractual leverage.</w:t>
      </w:r>
    </w:p>
    <w:p>
      <w:pPr>
        <w:widowControl/>
      </w:pPr>
      <w:r>
        <w:t>Frame trade-secret liability as a focused circumstantial case that requires forensic corroboration, not as established fact. The best theory is that Greenleaf recruited a key employee for the account/pricing network, Jantzen secretly exfiltrated the exact restricted files shortly before departure, Greenleaf built a direct operation unusually quickly, and its pricing group identified apparent replication. The case will turn on whether that sequence is supported by Greenleaf-side artifacts and customer evidence, and whether Cascade can differentiate protectable confidential compilations from skills, experience, public information, and data Greenleaf was contractually permitted to receive.</w:t>
      </w:r>
    </w:p>
    <w:p>
      <w:pPr>
        <w:widowControl/>
      </w:pPr>
      <w:r>
        <w:t>For damages, present the $22.52m report total as a preliminary claim, not a floor. Separate (i) contract lost profits, (ii) any fee claim in the alternative, (iii) provable stranded investment, and (iv) trade-secret loss/royalty or defendant enrichment; explicitly map overlaps and avoid duplicate recovery under contract, tort, trade-secret, and restitution theories. Preserve statutory enhancements, fees, and tailored equitable relief as contingent remedies. Reassess valuation after source data and forensic discovery; the current record does not support a reliable settlement range.</w:t>
      </w:r>
    </w:p>
    <w:tbl>
      <w:tblPr>
        <w:tblW w:type="auto" w:w="0"/>
        <w:jc w:val="center"/>
        <w:tblLook w:firstColumn="1" w:firstRow="1" w:lastColumn="0" w:lastRow="0" w:noHBand="0" w:noVBand="1" w:val="04A0"/>
      </w:tblPr>
      <w:tblGrid>
        <w:gridCol w:w="9994"/>
      </w:tblGrid>
      <w:tr>
        <w:tc>
          <w:tcPr>
            <w:tcW w:type="dxa" w:w="9994"/>
            <w:shd w:fill="E8F0F8"/>
            <w:tcMar>
              <w:top w:w="120" w:type="dxa"/>
              <w:start w:w="145" w:type="dxa"/>
              <w:bottom w:w="120" w:type="dxa"/>
              <w:end w:w="145" w:type="dxa"/>
            </w:tcMar>
          </w:tcPr>
          <w:p>
            <w:pPr>
              <w:spacing w:after="60"/>
            </w:pPr>
            <w:r/>
            <w:r>
              <w:rPr>
                <w:b/>
                <w:color w:val="17365D"/>
                <w:sz w:val="19"/>
              </w:rPr>
              <w:t>Assessment in one sentence</w:t>
            </w:r>
          </w:p>
          <w:p>
            <w:pPr>
              <w:spacing w:after="0" w:line="247" w:lineRule="auto"/>
            </w:pPr>
            <w:r>
              <w:rPr>
                <w:sz w:val="18"/>
              </w:rPr>
              <w:t>Cascade appears strongest on the defective convenience termination, post-notice supply cessation/direct sales, and targeted hiring; its trade-secret claim has compelling circumstantial indicators but needs a direct transfer/use link, and damages require substantial refinement to withstand a serious challenge.</w:t>
            </w:r>
          </w:p>
        </w:tc>
      </w:tr>
    </w:tbl>
    <w:p>
      <w:pPr>
        <w:widowControl/>
        <w:spacing w:after="0"/>
      </w:pPr>
    </w:p>
    <w:sectPr w:rsidR="00FC693F" w:rsidRPr="0006063C" w:rsidSect="00034616">
      <w:headerReference w:type="default" r:id="rId9"/>
      <w:footerReference w:type="default" r:id="rId10"/>
      <w:pgSz w:w="12240" w:h="15840"/>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CASE ASSESSMENT  |  Cascade Distribution Holdings, LLC v. Greenleaf Organics, Inc.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6"/>
      </w:rPr>
      <w:t>CONFIDENTIAL • DRAFT FOR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