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RIDGELINE WINTERS LLP</w:t>
      </w:r>
    </w:p>
    <w:p>
      <w:pPr>
        <w:jc w:val="center"/>
      </w:pPr>
      <w:r>
        <w:rPr>
          <w:b/>
          <w:sz w:val="26"/>
        </w:rPr>
        <w:t>MEMORANDUM — CASE ASSESSMENT</w:t>
      </w:r>
    </w:p>
    <w:tbl>
      <w:tblPr>
        <w:tblStyle w:val="TableGrid"/>
        <w:tblW w:type="auto" w:w="0"/>
        <w:tblLook w:firstColumn="1" w:firstRow="1" w:lastColumn="0" w:lastRow="0" w:noHBand="0" w:noVBand="1" w:val="04A0"/>
      </w:tblPr>
      <w:tblGrid>
        <w:gridCol w:w="4680"/>
        <w:gridCol w:w="4680"/>
      </w:tblGrid>
      <w:tr>
        <w:tc>
          <w:tcPr>
            <w:tcW w:type="dxa" w:w="1440"/>
            <w:shd w:val="clear" w:color="auto" w:fill="D9E2F3"/>
          </w:tcPr>
          <w:p>
            <w:r/>
            <w:r>
              <w:rPr>
                <w:b/>
                <w:sz w:val="19"/>
              </w:rPr>
            </w:r>
          </w:p>
        </w:tc>
        <w:tc>
          <w:tcPr>
            <w:tcW w:type="dxa" w:w="7920"/>
            <w:shd w:val="clear" w:color="auto" w:fill="D9E2F3"/>
          </w:tcPr>
          <w:p>
            <w:r/>
            <w:r>
              <w:rPr>
                <w:b/>
                <w:sz w:val="19"/>
              </w:rPr>
            </w:r>
          </w:p>
        </w:tc>
      </w:tr>
      <w:tr>
        <w:tc>
          <w:tcPr>
            <w:tcW w:type="dxa" w:w="1440"/>
          </w:tcPr>
          <w:p>
            <w:r/>
            <w:r>
              <w:rPr>
                <w:sz w:val="19"/>
              </w:rPr>
              <w:t>TO:</w:t>
            </w:r>
          </w:p>
        </w:tc>
        <w:tc>
          <w:tcPr>
            <w:tcW w:type="dxa" w:w="7920"/>
          </w:tcPr>
          <w:p>
            <w:r/>
            <w:r>
              <w:rPr>
                <w:sz w:val="19"/>
              </w:rPr>
              <w:t>Sandra Okafor, Partner</w:t>
            </w:r>
          </w:p>
        </w:tc>
      </w:tr>
      <w:tr>
        <w:tc>
          <w:tcPr>
            <w:tcW w:type="dxa" w:w="1440"/>
          </w:tcPr>
          <w:p>
            <w:r/>
            <w:r>
              <w:rPr>
                <w:sz w:val="19"/>
              </w:rPr>
              <w:t>FROM:</w:t>
            </w:r>
          </w:p>
        </w:tc>
        <w:tc>
          <w:tcPr>
            <w:tcW w:type="dxa" w:w="7920"/>
          </w:tcPr>
          <w:p>
            <w:r/>
            <w:r>
              <w:rPr>
                <w:sz w:val="19"/>
              </w:rPr>
              <w:t>Litigation Team</w:t>
            </w:r>
          </w:p>
        </w:tc>
      </w:tr>
      <w:tr>
        <w:tc>
          <w:tcPr>
            <w:tcW w:type="dxa" w:w="1440"/>
          </w:tcPr>
          <w:p>
            <w:r/>
            <w:r>
              <w:rPr>
                <w:sz w:val="19"/>
              </w:rPr>
              <w:t>CC:</w:t>
            </w:r>
          </w:p>
        </w:tc>
        <w:tc>
          <w:tcPr>
            <w:tcW w:type="dxa" w:w="7920"/>
          </w:tcPr>
          <w:p>
            <w:r/>
            <w:r>
              <w:rPr>
                <w:sz w:val="19"/>
              </w:rPr>
              <w:t>File — Greenleaf Organics, Inc. (do not forward to client until partner review, see §9.4)</w:t>
            </w:r>
          </w:p>
        </w:tc>
      </w:tr>
      <w:tr>
        <w:tc>
          <w:tcPr>
            <w:tcW w:type="dxa" w:w="1440"/>
          </w:tcPr>
          <w:p>
            <w:r/>
            <w:r>
              <w:rPr>
                <w:sz w:val="19"/>
              </w:rPr>
              <w:t>DATE:</w:t>
            </w:r>
          </w:p>
        </w:tc>
        <w:tc>
          <w:tcPr>
            <w:tcW w:type="dxa" w:w="7920"/>
          </w:tcPr>
          <w:p>
            <w:r/>
            <w:r>
              <w:rPr>
                <w:sz w:val="19"/>
              </w:rPr>
              <w:t>April 2024 (prepared after receipt of D. Hyun-Park email compilation dated April 18, 2024)</w:t>
            </w:r>
          </w:p>
        </w:tc>
      </w:tr>
      <w:tr>
        <w:tc>
          <w:tcPr>
            <w:tcW w:type="dxa" w:w="1440"/>
          </w:tcPr>
          <w:p>
            <w:r/>
            <w:r>
              <w:rPr>
                <w:sz w:val="19"/>
              </w:rPr>
              <w:t>RE:</w:t>
            </w:r>
          </w:p>
        </w:tc>
        <w:tc>
          <w:tcPr>
            <w:tcW w:type="dxa" w:w="7920"/>
          </w:tcPr>
          <w:p>
            <w:r/>
            <w:r>
              <w:rPr>
                <w:sz w:val="19"/>
              </w:rPr>
              <w:t>Cascade Distribution Holdings, LLC v. Greenleaf Organics, Inc., No. 3:24-cv-00891-HZ (D. Or.) — Initial Case Assessment, Exposure Analysis, and Recommended Strategy</w:t>
            </w:r>
          </w:p>
        </w:tc>
      </w:tr>
    </w:tbl>
    <w:p/>
    <w:p>
      <w:pPr>
        <w:pStyle w:val="Heading1"/>
      </w:pPr>
      <w:r>
        <w:t>1. Executive Summary</w:t>
      </w:r>
    </w:p>
    <w:p>
      <w:pPr>
        <w:spacing w:after="120"/>
      </w:pPr>
      <w:r>
        <w:t>We represent Defendant Greenleaf Organics, Inc. ("Greenleaf"). Cascade Distribution Holdings, LLC ("Cascade") sues for breach of contract, tortious interference, trade secret misappropriation (OUTSA and DTSA), and unjust enrichment, and claims $22,521,312.50 in compensatory damages plus up to $9.6 million in exemplary damages, punitive damages, fees, and an injunction. This memo reviews the complaint, the March 15, 2019 Exclusive Distribution Agreement (the "Agreement"), the September 8, 2023 termination letter, Cascade's September 15, 2023 rejection letter, Cascade's IT forensic memo, Tyler Jantzen's 2017 Cascade employment agreement, the Bridger Valuation Group preliminary damages report, and the internal Greenleaf email set that Greenleaf's General Counsel forwarded to us.</w:t>
      </w:r>
    </w:p>
    <w:p>
      <w:pPr>
        <w:spacing w:after="120"/>
      </w:pPr>
      <w:r>
        <w:t xml:space="preserve">Bottom line: </w:t>
      </w:r>
    </w:p>
    <w:p>
      <w:pPr>
        <w:pStyle w:val="ListBullet"/>
      </w:pPr>
      <w:r>
        <w:rPr>
          <w:b/>
        </w:rPr>
        <w:t>Liability on contract:</w:t>
      </w:r>
      <w:r>
        <w:t xml:space="preserve"> Greenleaf's contract liability is close to certain. The September 8 letter does not meet the Agreement's own requirements for a valid termination. Section 9.2 says a notice that fails those requirements is "void and of no effect." The letter also cannot work as a non-renewal notice under Section 3.2, because that section requires a notice to say expressly that it is one. So the Agreement renewed automatically through March 14, 2025. Greenleaf then stopped shipping on October 2, 2023, sold directly to retailers in Cascade's exclusive Territory (Section 2.2), and hired a Covered Employee in breach of Section 11.3. We see no credible defense to breach on these facts. The fight is over damages.</w:t>
      </w:r>
    </w:p>
    <w:p>
      <w:pPr>
        <w:pStyle w:val="ListBullet"/>
      </w:pPr>
      <w:r>
        <w:rPr>
          <w:b/>
        </w:rPr>
        <w:t>Trade secret exposure:</w:t>
      </w:r>
      <w:r>
        <w:t xml:space="preserve"> This is our most serious risk. Cascade's forensic evidence shows Jantzen emailed the pricing model, the 1,847-account master list, and route data to his personal Gmail on October 15, 2023. Greenleaf's own documents are damaging. On November 15, 2023, the VP of Sales wrote that Jantzen's pricing "looks suspiciously similar" to Cascade's and that retailers called the tiers "identical." The CEO replied, "Don't put stuff like that in email." Jantzen's October 20, 2023 email ("I didn't bring any Cascade files with me") is contradicted by the forensic record. It was also sent from a Greenleaf account 11 days before his last day at Cascade. None of these three emails is privileged.</w:t>
      </w:r>
    </w:p>
    <w:p>
      <w:pPr>
        <w:pStyle w:val="ListBullet"/>
      </w:pPr>
      <w:r>
        <w:rPr>
          <w:b/>
        </w:rPr>
        <w:t>Damages:</w:t>
      </w:r>
      <w:r>
        <w:t xml:space="preserve"> Bridger's $22.5M figure is inflated and can be attacked on several fronts. (a) It claims both the termination fee and full-term lost profits, which are legally inconsistent remedies. (b) It projects volume from a Year 4 peak that Cascade's actual Year 5 run-rate does not support. (c) It stacks reliance-type infrastructure losses on top of expectation damages. (d) It measures trade secret 'loss' by development cost and the acquisition cost of every account, which overlaps with lost profits. Our preliminary view is that a realistic range of compensatory recovery is roughly $3M–$14M. The upside risk (willful exemplary damages, punitive damages, fee-shifting) is about $20M–$30M in a bad trial outcome.</w:t>
      </w:r>
    </w:p>
    <w:p>
      <w:pPr>
        <w:pStyle w:val="ListBullet"/>
      </w:pPr>
      <w:r>
        <w:rPr>
          <w:b/>
        </w:rPr>
        <w:t>Recommended course:</w:t>
      </w:r>
      <w:r>
        <w:t xml:space="preserve"> (1) Immediately widen the litigation hold and preserve Jantzen's personal Gmail and devices. (2) Commission an independent forensic sweep of Greenleaf systems and quarantine any Cascade material. (3) Retain separate counsel for Jantzen. (4) Treat Mr. Hyun-Park as a fact witness who should not direct the defense. (5) File a targeted Rule 12 motion against the tort, unjust enrichment, and punitive damages claims. (6) Retain a rebuttal damages expert. (7) Seriously consider an early, well-supported resolution before depositions of Ellison, Brennan, and Jantzen.</w:t>
      </w:r>
    </w:p>
    <w:p>
      <w:pPr>
        <w:pStyle w:val="Heading1"/>
      </w:pPr>
      <w:r>
        <w:t>2. Parties, Counsel, and Posture</w:t>
      </w:r>
    </w:p>
    <w:tbl>
      <w:tblPr>
        <w:tblStyle w:val="TableGrid"/>
        <w:tblW w:type="auto" w:w="0"/>
        <w:tblLook w:firstColumn="1" w:firstRow="1" w:lastColumn="0" w:lastRow="0" w:noHBand="0" w:noVBand="1" w:val="04A0"/>
      </w:tblPr>
      <w:tblGrid>
        <w:gridCol w:w="4680"/>
        <w:gridCol w:w="4680"/>
      </w:tblGrid>
      <w:tr>
        <w:tc>
          <w:tcPr>
            <w:tcW w:type="dxa" w:w="2304"/>
            <w:shd w:val="clear" w:color="auto" w:fill="D9E2F3"/>
          </w:tcPr>
          <w:p>
            <w:r/>
            <w:r>
              <w:rPr>
                <w:b/>
                <w:sz w:val="19"/>
              </w:rPr>
              <w:t>Item</w:t>
            </w:r>
          </w:p>
        </w:tc>
        <w:tc>
          <w:tcPr>
            <w:tcW w:type="dxa" w:w="7056"/>
            <w:shd w:val="clear" w:color="auto" w:fill="D9E2F3"/>
          </w:tcPr>
          <w:p>
            <w:r/>
            <w:r>
              <w:rPr>
                <w:b/>
                <w:sz w:val="19"/>
              </w:rPr>
              <w:t>Detail</w:t>
            </w:r>
          </w:p>
        </w:tc>
      </w:tr>
      <w:tr>
        <w:tc>
          <w:tcPr>
            <w:tcW w:type="dxa" w:w="2304"/>
          </w:tcPr>
          <w:p>
            <w:r/>
            <w:r>
              <w:rPr>
                <w:sz w:val="19"/>
              </w:rPr>
              <w:t>Plaintiff</w:t>
            </w:r>
          </w:p>
        </w:tc>
        <w:tc>
          <w:tcPr>
            <w:tcW w:type="dxa" w:w="7056"/>
          </w:tcPr>
          <w:p>
            <w:r/>
            <w:r>
              <w:rPr>
                <w:sz w:val="19"/>
              </w:rPr>
              <w:t>Cascade Distribution Holdings, LLC (Delaware LLC; Seattle, WA). ~$620M revenue; ~4,200 retail accounts. CEO Frank Dermott; CFO Wendy Trang. Counsel: Mitchell Voss, Thorngate &amp; Voss LLP.</w:t>
            </w:r>
          </w:p>
        </w:tc>
      </w:tr>
      <w:tr>
        <w:tc>
          <w:tcPr>
            <w:tcW w:type="dxa" w:w="2304"/>
          </w:tcPr>
          <w:p>
            <w:r/>
            <w:r>
              <w:rPr>
                <w:sz w:val="19"/>
              </w:rPr>
              <w:t>Defendant (our client)</w:t>
            </w:r>
          </w:p>
        </w:tc>
        <w:tc>
          <w:tcPr>
            <w:tcW w:type="dxa" w:w="7056"/>
          </w:tcPr>
          <w:p>
            <w:r/>
            <w:r>
              <w:rPr>
                <w:sz w:val="19"/>
              </w:rPr>
              <w:t>Greenleaf Organics, Inc. (Oregon corp.; Portland). ~$185M revenue (FY2024). CEO Margot Ellison; GC David Hyun-Park; VP Sales Rachel Brennan.</w:t>
            </w:r>
          </w:p>
        </w:tc>
      </w:tr>
      <w:tr>
        <w:tc>
          <w:tcPr>
            <w:tcW w:type="dxa" w:w="2304"/>
          </w:tcPr>
          <w:p>
            <w:r/>
            <w:r>
              <w:rPr>
                <w:sz w:val="19"/>
              </w:rPr>
              <w:t>Key non-party</w:t>
            </w:r>
          </w:p>
        </w:tc>
        <w:tc>
          <w:tcPr>
            <w:tcW w:type="dxa" w:w="7056"/>
          </w:tcPr>
          <w:p>
            <w:r/>
            <w:r>
              <w:rPr>
                <w:sz w:val="19"/>
              </w:rPr>
              <w:t>Tyler Jantzen. Cascade Regional Sales Manager (OR/NorCal) June 1, 2017 – Oct. 31, 2023; Greenleaf Director of Distribution effective Nov. 1, 2023. Cascade has reserved the right to name him (Compl. ¶8).</w:t>
            </w:r>
          </w:p>
        </w:tc>
      </w:tr>
      <w:tr>
        <w:tc>
          <w:tcPr>
            <w:tcW w:type="dxa" w:w="2304"/>
          </w:tcPr>
          <w:p>
            <w:r/>
            <w:r>
              <w:rPr>
                <w:sz w:val="19"/>
              </w:rPr>
              <w:t>Court</w:t>
            </w:r>
          </w:p>
        </w:tc>
        <w:tc>
          <w:tcPr>
            <w:tcW w:type="dxa" w:w="7056"/>
          </w:tcPr>
          <w:p>
            <w:r/>
            <w:r>
              <w:rPr>
                <w:sz w:val="19"/>
              </w:rPr>
              <w:t>U.S. District Court, D. Or., Portland Division. Federal question jurisdiction rests on the DTSA claim; the state claims are supplemental (28 U.S.C. § 1367).</w:t>
            </w:r>
          </w:p>
        </w:tc>
      </w:tr>
      <w:tr>
        <w:tc>
          <w:tcPr>
            <w:tcW w:type="dxa" w:w="2304"/>
          </w:tcPr>
          <w:p>
            <w:r/>
            <w:r>
              <w:rPr>
                <w:sz w:val="19"/>
              </w:rPr>
              <w:t>Filed</w:t>
            </w:r>
          </w:p>
        </w:tc>
        <w:tc>
          <w:tcPr>
            <w:tcW w:type="dxa" w:w="7056"/>
          </w:tcPr>
          <w:p>
            <w:r/>
            <w:r>
              <w:rPr>
                <w:sz w:val="19"/>
              </w:rPr>
              <w:t>April 12, 2024. Jury demanded. Responsive pleading due 21 days after service (FRCP 12(a)). Confirm the service date and calendar the deadline now, or negotiate a stipulated extension.</w:t>
            </w:r>
          </w:p>
        </w:tc>
      </w:tr>
      <w:tr>
        <w:tc>
          <w:tcPr>
            <w:tcW w:type="dxa" w:w="2304"/>
          </w:tcPr>
          <w:p>
            <w:r/>
            <w:r>
              <w:rPr>
                <w:sz w:val="19"/>
              </w:rPr>
              <w:t>Governing law / forum</w:t>
            </w:r>
          </w:p>
        </w:tc>
        <w:tc>
          <w:tcPr>
            <w:tcW w:type="dxa" w:w="7056"/>
          </w:tcPr>
          <w:p>
            <w:r/>
            <w:r>
              <w:rPr>
                <w:sz w:val="19"/>
              </w:rPr>
              <w:t>Agreement: Oregon law (§17.1); exclusive forum in Multnomah County Circuit Court or D. Or. (§15.3). Jantzen employment agreement: Washington law, King County forum (§§12.1–12.2).</w:t>
            </w:r>
          </w:p>
        </w:tc>
      </w:tr>
    </w:tbl>
    <w:p/>
    <w:p>
      <w:pPr>
        <w:pStyle w:val="Heading1"/>
      </w:pPr>
      <w:r>
        <w:t>3. Chronology of Key Events</w:t>
      </w:r>
    </w:p>
    <w:tbl>
      <w:tblPr>
        <w:tblStyle w:val="TableGrid"/>
        <w:tblW w:type="auto" w:w="0"/>
        <w:tblLook w:firstColumn="1" w:firstRow="1" w:lastColumn="0" w:lastRow="0" w:noHBand="0" w:noVBand="1" w:val="04A0"/>
      </w:tblPr>
      <w:tblGrid>
        <w:gridCol w:w="3120"/>
        <w:gridCol w:w="3120"/>
        <w:gridCol w:w="3120"/>
      </w:tblGrid>
      <w:tr>
        <w:tc>
          <w:tcPr>
            <w:tcW w:type="dxa" w:w="1728"/>
            <w:shd w:val="clear" w:color="auto" w:fill="D9E2F3"/>
          </w:tcPr>
          <w:p>
            <w:r/>
            <w:r>
              <w:rPr>
                <w:b/>
                <w:sz w:val="19"/>
              </w:rPr>
              <w:t>Date</w:t>
            </w:r>
          </w:p>
        </w:tc>
        <w:tc>
          <w:tcPr>
            <w:tcW w:type="dxa" w:w="4752"/>
            <w:shd w:val="clear" w:color="auto" w:fill="D9E2F3"/>
          </w:tcPr>
          <w:p>
            <w:r/>
            <w:r>
              <w:rPr>
                <w:b/>
                <w:sz w:val="19"/>
              </w:rPr>
              <w:t>Event</w:t>
            </w:r>
          </w:p>
        </w:tc>
        <w:tc>
          <w:tcPr>
            <w:tcW w:type="dxa" w:w="2880"/>
            <w:shd w:val="clear" w:color="auto" w:fill="D9E2F3"/>
          </w:tcPr>
          <w:p>
            <w:r/>
            <w:r>
              <w:rPr>
                <w:b/>
                <w:sz w:val="19"/>
              </w:rPr>
              <w:t>Source / Significance</w:t>
            </w:r>
          </w:p>
        </w:tc>
      </w:tr>
      <w:tr>
        <w:tc>
          <w:tcPr>
            <w:tcW w:type="dxa" w:w="1728"/>
          </w:tcPr>
          <w:p>
            <w:r/>
            <w:r>
              <w:rPr>
                <w:sz w:val="19"/>
              </w:rPr>
              <w:t>June 1, 2017</w:t>
            </w:r>
          </w:p>
        </w:tc>
        <w:tc>
          <w:tcPr>
            <w:tcW w:type="dxa" w:w="4752"/>
          </w:tcPr>
          <w:p>
            <w:r/>
            <w:r>
              <w:rPr>
                <w:sz w:val="19"/>
              </w:rPr>
              <w:t>Jantzen joins Cascade; signs employment agreement with confidentiality, 12-month non-compete, 18-month customer/employee non-solicit, and a ban on personal-email transfers (§6.5).</w:t>
            </w:r>
          </w:p>
        </w:tc>
        <w:tc>
          <w:tcPr>
            <w:tcW w:type="dxa" w:w="2880"/>
          </w:tcPr>
          <w:p>
            <w:r/>
            <w:r>
              <w:rPr>
                <w:sz w:val="19"/>
              </w:rPr>
              <w:t>Jantzen Emp. Agmt.</w:t>
            </w:r>
          </w:p>
        </w:tc>
      </w:tr>
      <w:tr>
        <w:tc>
          <w:tcPr>
            <w:tcW w:type="dxa" w:w="1728"/>
          </w:tcPr>
          <w:p>
            <w:r/>
            <w:r>
              <w:rPr>
                <w:sz w:val="19"/>
              </w:rPr>
              <w:t>Mar. 15, 2019</w:t>
            </w:r>
          </w:p>
        </w:tc>
        <w:tc>
          <w:tcPr>
            <w:tcW w:type="dxa" w:w="4752"/>
          </w:tcPr>
          <w:p>
            <w:r/>
            <w:r>
              <w:rPr>
                <w:sz w:val="19"/>
              </w:rPr>
              <w:t>Agreement executed. Initial Term runs to Mar. 14, 2024; auto-renews for 1-year terms.</w:t>
            </w:r>
          </w:p>
        </w:tc>
        <w:tc>
          <w:tcPr>
            <w:tcW w:type="dxa" w:w="2880"/>
          </w:tcPr>
          <w:p>
            <w:r/>
            <w:r>
              <w:rPr>
                <w:sz w:val="19"/>
              </w:rPr>
              <w:t>Agmt. §§3.1–3.2</w:t>
            </w:r>
          </w:p>
        </w:tc>
      </w:tr>
      <w:tr>
        <w:tc>
          <w:tcPr>
            <w:tcW w:type="dxa" w:w="1728"/>
          </w:tcPr>
          <w:p>
            <w:r/>
            <w:r>
              <w:rPr>
                <w:sz w:val="19"/>
              </w:rPr>
              <w:t>Year 2 (Mar. 2020–Mar. 2021)</w:t>
            </w:r>
          </w:p>
        </w:tc>
        <w:tc>
          <w:tcPr>
            <w:tcW w:type="dxa" w:w="4752"/>
          </w:tcPr>
          <w:p>
            <w:r/>
            <w:r>
              <w:rPr>
                <w:sz w:val="19"/>
              </w:rPr>
              <w:t>Cascade buys $26.8M against a $29.4M minimum ($2.6M shortfall).</w:t>
            </w:r>
          </w:p>
        </w:tc>
        <w:tc>
          <w:tcPr>
            <w:tcW w:type="dxa" w:w="2880"/>
          </w:tcPr>
          <w:p>
            <w:r/>
            <w:r>
              <w:rPr>
                <w:sz w:val="19"/>
              </w:rPr>
              <w:t>Bridger Ex. A</w:t>
            </w:r>
          </w:p>
        </w:tc>
      </w:tr>
      <w:tr>
        <w:tc>
          <w:tcPr>
            <w:tcW w:type="dxa" w:w="1728"/>
          </w:tcPr>
          <w:p>
            <w:r/>
            <w:r>
              <w:rPr>
                <w:sz w:val="19"/>
              </w:rPr>
              <w:t>Apr. 5, 2021</w:t>
            </w:r>
          </w:p>
        </w:tc>
        <w:tc>
          <w:tcPr>
            <w:tcW w:type="dxa" w:w="4752"/>
          </w:tcPr>
          <w:p>
            <w:r/>
            <w:r>
              <w:rPr>
                <w:sz w:val="19"/>
              </w:rPr>
              <w:t>Greenleaf sends written notice of breach for the Year 2 shortfall. Cascade responds citing force majeure. Greenleaf does not pursue the issue.</w:t>
            </w:r>
          </w:p>
        </w:tc>
        <w:tc>
          <w:tcPr>
            <w:tcW w:type="dxa" w:w="2880"/>
          </w:tcPr>
          <w:p>
            <w:r/>
            <w:r>
              <w:rPr>
                <w:sz w:val="19"/>
              </w:rPr>
              <w:t>Hyun-Park email 9/5/23. The complaint (¶20) omits that notice was sent.</w:t>
            </w:r>
          </w:p>
        </w:tc>
      </w:tr>
      <w:tr>
        <w:tc>
          <w:tcPr>
            <w:tcW w:type="dxa" w:w="1728"/>
          </w:tcPr>
          <w:p>
            <w:r/>
            <w:r>
              <w:rPr>
                <w:sz w:val="19"/>
              </w:rPr>
              <w:t>Aug. 3, 2023</w:t>
            </w:r>
          </w:p>
        </w:tc>
        <w:tc>
          <w:tcPr>
            <w:tcW w:type="dxa" w:w="4752"/>
          </w:tcPr>
          <w:p>
            <w:r/>
            <w:r>
              <w:rPr>
                <w:sz w:val="19"/>
              </w:rPr>
              <w:t>Ellison meets Jantzen at the NW natural products expo; follow-up calls follow.</w:t>
            </w:r>
          </w:p>
        </w:tc>
        <w:tc>
          <w:tcPr>
            <w:tcW w:type="dxa" w:w="2880"/>
          </w:tcPr>
          <w:p>
            <w:r/>
            <w:r>
              <w:rPr>
                <w:sz w:val="19"/>
              </w:rPr>
              <w:t>Ellison email 8/10/23; Compl. ¶30</w:t>
            </w:r>
          </w:p>
        </w:tc>
      </w:tr>
      <w:tr>
        <w:tc>
          <w:tcPr>
            <w:tcW w:type="dxa" w:w="1728"/>
          </w:tcPr>
          <w:p>
            <w:r/>
            <w:r>
              <w:rPr>
                <w:sz w:val="19"/>
              </w:rPr>
              <w:t>Aug. 10, 2023</w:t>
            </w:r>
          </w:p>
        </w:tc>
        <w:tc>
          <w:tcPr>
            <w:tcW w:type="dxa" w:w="4752"/>
          </w:tcPr>
          <w:p>
            <w:r/>
            <w:r>
              <w:rPr>
                <w:sz w:val="19"/>
              </w:rPr>
              <w:t>Ellison to Hyun-Park: Jantzen can "bring the whole playbook"; "plug and play Cascade's network"; "keep it quiet."</w:t>
            </w:r>
          </w:p>
        </w:tc>
        <w:tc>
          <w:tcPr>
            <w:tcW w:type="dxa" w:w="2880"/>
          </w:tcPr>
          <w:p>
            <w:r/>
            <w:r>
              <w:rPr>
                <w:sz w:val="19"/>
              </w:rPr>
              <w:t>Internal email. Highly damaging; privilege contested (§7).</w:t>
            </w:r>
          </w:p>
        </w:tc>
      </w:tr>
      <w:tr>
        <w:tc>
          <w:tcPr>
            <w:tcW w:type="dxa" w:w="1728"/>
          </w:tcPr>
          <w:p>
            <w:r/>
            <w:r>
              <w:rPr>
                <w:sz w:val="19"/>
              </w:rPr>
              <w:t>Sept. 5, 2023</w:t>
            </w:r>
          </w:p>
        </w:tc>
        <w:tc>
          <w:tcPr>
            <w:tcW w:type="dxa" w:w="4752"/>
          </w:tcPr>
          <w:p>
            <w:r/>
            <w:r>
              <w:rPr>
                <w:sz w:val="19"/>
              </w:rPr>
              <w:t>Hyun-Park lays out the convenience option (12 months + ~$5.37M fee) and a cause-based option (stale Year 2 shortfall), and flags the waiver risk.</w:t>
            </w:r>
          </w:p>
        </w:tc>
        <w:tc>
          <w:tcPr>
            <w:tcW w:type="dxa" w:w="2880"/>
          </w:tcPr>
          <w:p>
            <w:r/>
            <w:r>
              <w:rPr>
                <w:sz w:val="19"/>
              </w:rPr>
              <w:t>Internal email (privileged legal advice)</w:t>
            </w:r>
          </w:p>
        </w:tc>
      </w:tr>
      <w:tr>
        <w:tc>
          <w:tcPr>
            <w:tcW w:type="dxa" w:w="1728"/>
          </w:tcPr>
          <w:p>
            <w:r/>
            <w:r>
              <w:rPr>
                <w:sz w:val="19"/>
              </w:rPr>
              <w:t>Sept. 7, 2023</w:t>
            </w:r>
          </w:p>
        </w:tc>
        <w:tc>
          <w:tcPr>
            <w:tcW w:type="dxa" w:w="4752"/>
          </w:tcPr>
          <w:p>
            <w:r/>
            <w:r>
              <w:rPr>
                <w:sz w:val="19"/>
              </w:rPr>
              <w:t>Ellison rejects the cause route; directs a convenience letter; "I don't want to pay the termination fee — we'll fight about it if we have to."</w:t>
            </w:r>
          </w:p>
        </w:tc>
        <w:tc>
          <w:tcPr>
            <w:tcW w:type="dxa" w:w="2880"/>
          </w:tcPr>
          <w:p>
            <w:r/>
            <w:r>
              <w:rPr>
                <w:sz w:val="19"/>
              </w:rPr>
              <w:t>Internal email. Central to the 'willful misconduct' fight under §16.2.</w:t>
            </w:r>
          </w:p>
        </w:tc>
      </w:tr>
      <w:tr>
        <w:tc>
          <w:tcPr>
            <w:tcW w:type="dxa" w:w="1728"/>
          </w:tcPr>
          <w:p>
            <w:r/>
            <w:r>
              <w:rPr>
                <w:sz w:val="19"/>
              </w:rPr>
              <w:t>Sept. 8, 2023</w:t>
            </w:r>
          </w:p>
        </w:tc>
        <w:tc>
          <w:tcPr>
            <w:tcW w:type="dxa" w:w="4752"/>
          </w:tcPr>
          <w:p>
            <w:r/>
            <w:r>
              <w:rPr>
                <w:sz w:val="19"/>
              </w:rPr>
              <w:t>Greenleaf letter terminates "for convenience" under §9.2 "effective immediately"; no effective date 12 months out; no fee acknowledgment.</w:t>
            </w:r>
          </w:p>
        </w:tc>
        <w:tc>
          <w:tcPr>
            <w:tcW w:type="dxa" w:w="2880"/>
          </w:tcPr>
          <w:p>
            <w:r/>
            <w:r>
              <w:rPr>
                <w:sz w:val="19"/>
              </w:rPr>
              <w:t>Termination letter</w:t>
            </w:r>
          </w:p>
        </w:tc>
      </w:tr>
      <w:tr>
        <w:tc>
          <w:tcPr>
            <w:tcW w:type="dxa" w:w="1728"/>
          </w:tcPr>
          <w:p>
            <w:r/>
            <w:r>
              <w:rPr>
                <w:sz w:val="19"/>
              </w:rPr>
              <w:t>Sept. 15, 2023</w:t>
            </w:r>
          </w:p>
        </w:tc>
        <w:tc>
          <w:tcPr>
            <w:tcW w:type="dxa" w:w="4752"/>
          </w:tcPr>
          <w:p>
            <w:r/>
            <w:r>
              <w:rPr>
                <w:sz w:val="19"/>
              </w:rPr>
              <w:t>Voss letter rejects the termination and notes that no non-renewal notice has been received; demands performance by Sept. 29.</w:t>
            </w:r>
          </w:p>
        </w:tc>
        <w:tc>
          <w:tcPr>
            <w:tcW w:type="dxa" w:w="2880"/>
          </w:tcPr>
          <w:p>
            <w:r/>
            <w:r>
              <w:rPr>
                <w:sz w:val="19"/>
              </w:rPr>
              <w:t>Rejection letter</w:t>
            </w:r>
          </w:p>
        </w:tc>
      </w:tr>
      <w:tr>
        <w:tc>
          <w:tcPr>
            <w:tcW w:type="dxa" w:w="1728"/>
          </w:tcPr>
          <w:p>
            <w:r/>
            <w:r>
              <w:rPr>
                <w:sz w:val="19"/>
              </w:rPr>
              <w:t>Sept. 16, 2023</w:t>
            </w:r>
          </w:p>
        </w:tc>
        <w:tc>
          <w:tcPr>
            <w:tcW w:type="dxa" w:w="4752"/>
          </w:tcPr>
          <w:p>
            <w:r/>
            <w:r>
              <w:rPr>
                <w:sz w:val="19"/>
              </w:rPr>
              <w:t>Last day for non-renewal notice (180 days before Mar. 14, 2024). No §3.2 notice sent.</w:t>
            </w:r>
          </w:p>
        </w:tc>
        <w:tc>
          <w:tcPr>
            <w:tcW w:type="dxa" w:w="2880"/>
          </w:tcPr>
          <w:p>
            <w:r/>
            <w:r>
              <w:rPr>
                <w:sz w:val="19"/>
              </w:rPr>
              <w:t>Agmt. §3.2</w:t>
            </w:r>
          </w:p>
        </w:tc>
      </w:tr>
      <w:tr>
        <w:tc>
          <w:tcPr>
            <w:tcW w:type="dxa" w:w="1728"/>
          </w:tcPr>
          <w:p>
            <w:r/>
            <w:r>
              <w:rPr>
                <w:sz w:val="19"/>
              </w:rPr>
              <w:t>Oct. 2, 2023</w:t>
            </w:r>
          </w:p>
        </w:tc>
        <w:tc>
          <w:tcPr>
            <w:tcW w:type="dxa" w:w="4752"/>
          </w:tcPr>
          <w:p>
            <w:r/>
            <w:r>
              <w:rPr>
                <w:sz w:val="19"/>
              </w:rPr>
              <w:t>Greenleaf stops shipping to Cascade and starts direct-to-retail shipments in the Territory.</w:t>
            </w:r>
          </w:p>
        </w:tc>
        <w:tc>
          <w:tcPr>
            <w:tcW w:type="dxa" w:w="2880"/>
          </w:tcPr>
          <w:p>
            <w:r/>
            <w:r>
              <w:rPr>
                <w:sz w:val="19"/>
              </w:rPr>
              <w:t>Compl. ¶44</w:t>
            </w:r>
          </w:p>
        </w:tc>
      </w:tr>
      <w:tr>
        <w:tc>
          <w:tcPr>
            <w:tcW w:type="dxa" w:w="1728"/>
          </w:tcPr>
          <w:p>
            <w:r/>
            <w:r>
              <w:rPr>
                <w:sz w:val="19"/>
              </w:rPr>
              <w:t>Oct. 10–15, 2023</w:t>
            </w:r>
          </w:p>
        </w:tc>
        <w:tc>
          <w:tcPr>
            <w:tcW w:type="dxa" w:w="4752"/>
          </w:tcPr>
          <w:p>
            <w:r/>
            <w:r>
              <w:rPr>
                <w:sz w:val="19"/>
              </w:rPr>
              <w:t>Jantzen accesses the Cascade pricing share 17 times (baseline 2–3 per week).</w:t>
            </w:r>
          </w:p>
        </w:tc>
        <w:tc>
          <w:tcPr>
            <w:tcW w:type="dxa" w:w="2880"/>
          </w:tcPr>
          <w:p>
            <w:r/>
            <w:r>
              <w:rPr>
                <w:sz w:val="19"/>
              </w:rPr>
              <w:t>Forensic memo §3</w:t>
            </w:r>
          </w:p>
        </w:tc>
      </w:tr>
      <w:tr>
        <w:tc>
          <w:tcPr>
            <w:tcW w:type="dxa" w:w="1728"/>
          </w:tcPr>
          <w:p>
            <w:r/>
            <w:r>
              <w:rPr>
                <w:sz w:val="19"/>
              </w:rPr>
              <w:t>Oct. 15, 2023, 9:47 PM</w:t>
            </w:r>
          </w:p>
        </w:tc>
        <w:tc>
          <w:tcPr>
            <w:tcW w:type="dxa" w:w="4752"/>
          </w:tcPr>
          <w:p>
            <w:r/>
            <w:r>
              <w:rPr>
                <w:sz w:val="19"/>
              </w:rPr>
              <w:t>Jantzen emails three files (14.3 MB) to his personal Gmail and checks receipt 5 minutes later.</w:t>
            </w:r>
          </w:p>
        </w:tc>
        <w:tc>
          <w:tcPr>
            <w:tcW w:type="dxa" w:w="2880"/>
          </w:tcPr>
          <w:p>
            <w:r/>
            <w:r>
              <w:rPr>
                <w:sz w:val="19"/>
              </w:rPr>
              <w:t>Forensic memo §2</w:t>
            </w:r>
          </w:p>
        </w:tc>
      </w:tr>
      <w:tr>
        <w:tc>
          <w:tcPr>
            <w:tcW w:type="dxa" w:w="1728"/>
          </w:tcPr>
          <w:p>
            <w:r/>
            <w:r>
              <w:rPr>
                <w:sz w:val="19"/>
              </w:rPr>
              <w:t>Oct. 20, 2023</w:t>
            </w:r>
          </w:p>
        </w:tc>
        <w:tc>
          <w:tcPr>
            <w:tcW w:type="dxa" w:w="4752"/>
          </w:tcPr>
          <w:p>
            <w:r/>
            <w:r>
              <w:rPr>
                <w:sz w:val="19"/>
              </w:rPr>
              <w:t>Jantzen, from a @greenleaforganics.com account, reports on the Greenleaf direct-distribution rollout: "I didn't bring any Cascade files with me."</w:t>
            </w:r>
          </w:p>
        </w:tc>
        <w:tc>
          <w:tcPr>
            <w:tcW w:type="dxa" w:w="2880"/>
          </w:tcPr>
          <w:p>
            <w:r/>
            <w:r>
              <w:rPr>
                <w:sz w:val="19"/>
              </w:rPr>
              <w:t>Internal email. Shows pre-hire work for Greenleaf and a statement contradicted by forensics.</w:t>
            </w:r>
          </w:p>
        </w:tc>
      </w:tr>
      <w:tr>
        <w:tc>
          <w:tcPr>
            <w:tcW w:type="dxa" w:w="1728"/>
          </w:tcPr>
          <w:p>
            <w:r/>
            <w:r>
              <w:rPr>
                <w:sz w:val="19"/>
              </w:rPr>
              <w:t>Oct. 25 / 28 / 31, 2023</w:t>
            </w:r>
          </w:p>
        </w:tc>
        <w:tc>
          <w:tcPr>
            <w:tcW w:type="dxa" w:w="4752"/>
          </w:tcPr>
          <w:p>
            <w:r/>
            <w:r>
              <w:rPr>
                <w:sz w:val="19"/>
              </w:rPr>
              <w:t>Jantzen resigns / signs separation agreement / last day; laptop returned.</w:t>
            </w:r>
          </w:p>
        </w:tc>
        <w:tc>
          <w:tcPr>
            <w:tcW w:type="dxa" w:w="2880"/>
          </w:tcPr>
          <w:p>
            <w:r/>
            <w:r>
              <w:rPr>
                <w:sz w:val="19"/>
              </w:rPr>
              <w:t>Forensic memo §1</w:t>
            </w:r>
          </w:p>
        </w:tc>
      </w:tr>
      <w:tr>
        <w:tc>
          <w:tcPr>
            <w:tcW w:type="dxa" w:w="1728"/>
          </w:tcPr>
          <w:p>
            <w:r/>
            <w:r>
              <w:rPr>
                <w:sz w:val="19"/>
              </w:rPr>
              <w:t>Nov. 1, 2023</w:t>
            </w:r>
          </w:p>
        </w:tc>
        <w:tc>
          <w:tcPr>
            <w:tcW w:type="dxa" w:w="4752"/>
          </w:tcPr>
          <w:p>
            <w:r/>
            <w:r>
              <w:rPr>
                <w:sz w:val="19"/>
              </w:rPr>
              <w:t>Jantzen formally starts as Greenleaf Director of Distribution.</w:t>
            </w:r>
          </w:p>
        </w:tc>
        <w:tc>
          <w:tcPr>
            <w:tcW w:type="dxa" w:w="2880"/>
          </w:tcPr>
          <w:p>
            <w:r/>
            <w:r>
              <w:rPr>
                <w:sz w:val="19"/>
              </w:rPr>
              <w:t>Compl. ¶53</w:t>
            </w:r>
          </w:p>
        </w:tc>
      </w:tr>
      <w:tr>
        <w:tc>
          <w:tcPr>
            <w:tcW w:type="dxa" w:w="1728"/>
          </w:tcPr>
          <w:p>
            <w:r/>
            <w:r>
              <w:rPr>
                <w:sz w:val="19"/>
              </w:rPr>
              <w:t>Nov. 15, 2023</w:t>
            </w:r>
          </w:p>
        </w:tc>
        <w:tc>
          <w:tcPr>
            <w:tcW w:type="dxa" w:w="4752"/>
          </w:tcPr>
          <w:p>
            <w:r/>
            <w:r>
              <w:rPr>
                <w:sz w:val="19"/>
              </w:rPr>
              <w:t>Brennan: pricing "suspiciously similar"; retailers say tiers are "identical"; transition "almost too smooth."</w:t>
            </w:r>
          </w:p>
        </w:tc>
        <w:tc>
          <w:tcPr>
            <w:tcW w:type="dxa" w:w="2880"/>
          </w:tcPr>
          <w:p>
            <w:r/>
            <w:r>
              <w:rPr>
                <w:sz w:val="19"/>
              </w:rPr>
              <w:t>Internal email (not privileged)</w:t>
            </w:r>
          </w:p>
        </w:tc>
      </w:tr>
      <w:tr>
        <w:tc>
          <w:tcPr>
            <w:tcW w:type="dxa" w:w="1728"/>
          </w:tcPr>
          <w:p>
            <w:r/>
            <w:r>
              <w:rPr>
                <w:sz w:val="19"/>
              </w:rPr>
              <w:t>Nov. 18, 2023</w:t>
            </w:r>
          </w:p>
        </w:tc>
        <w:tc>
          <w:tcPr>
            <w:tcW w:type="dxa" w:w="4752"/>
          </w:tcPr>
          <w:p>
            <w:r/>
            <w:r>
              <w:rPr>
                <w:sz w:val="19"/>
              </w:rPr>
              <w:t>Ellison: "Don't put stuff like that in email. Talk to me in person."</w:t>
            </w:r>
          </w:p>
        </w:tc>
        <w:tc>
          <w:tcPr>
            <w:tcW w:type="dxa" w:w="2880"/>
          </w:tcPr>
          <w:p>
            <w:r/>
            <w:r>
              <w:rPr>
                <w:sz w:val="19"/>
              </w:rPr>
              <w:t>Internal email (not privileged). Risk of a consciousness-of-guilt inference.</w:t>
            </w:r>
          </w:p>
        </w:tc>
      </w:tr>
      <w:tr>
        <w:tc>
          <w:tcPr>
            <w:tcW w:type="dxa" w:w="1728"/>
          </w:tcPr>
          <w:p>
            <w:r/>
            <w:r>
              <w:rPr>
                <w:sz w:val="19"/>
              </w:rPr>
              <w:t>Nov. 20, 2023</w:t>
            </w:r>
          </w:p>
        </w:tc>
        <w:tc>
          <w:tcPr>
            <w:tcW w:type="dxa" w:w="4752"/>
          </w:tcPr>
          <w:p>
            <w:r/>
            <w:r>
              <w:rPr>
                <w:sz w:val="19"/>
              </w:rPr>
              <w:t>Cascade forensic memo; Cascade demands return of its information (per Compl. ¶71).</w:t>
            </w:r>
          </w:p>
        </w:tc>
        <w:tc>
          <w:tcPr>
            <w:tcW w:type="dxa" w:w="2880"/>
          </w:tcPr>
          <w:p>
            <w:r/>
            <w:r>
              <w:rPr>
                <w:sz w:val="19"/>
              </w:rPr>
              <w:t>Forensic memo; Compl.</w:t>
            </w:r>
          </w:p>
        </w:tc>
      </w:tr>
      <w:tr>
        <w:tc>
          <w:tcPr>
            <w:tcW w:type="dxa" w:w="1728"/>
          </w:tcPr>
          <w:p>
            <w:r/>
            <w:r>
              <w:rPr>
                <w:sz w:val="19"/>
              </w:rPr>
              <w:t>Jan. 2024</w:t>
            </w:r>
          </w:p>
        </w:tc>
        <w:tc>
          <w:tcPr>
            <w:tcW w:type="dxa" w:w="4752"/>
          </w:tcPr>
          <w:p>
            <w:r/>
            <w:r>
              <w:rPr>
                <w:sz w:val="19"/>
              </w:rPr>
              <w:t>Greenleaf litigation hold implemented. Cascade's purchase orders continue to be rejected through January.</w:t>
            </w:r>
          </w:p>
        </w:tc>
        <w:tc>
          <w:tcPr>
            <w:tcW w:type="dxa" w:w="2880"/>
          </w:tcPr>
          <w:p>
            <w:r/>
            <w:r>
              <w:rPr>
                <w:sz w:val="19"/>
              </w:rPr>
              <w:t>Hyun-Park email; Compl. ¶45</w:t>
            </w:r>
          </w:p>
        </w:tc>
      </w:tr>
      <w:tr>
        <w:tc>
          <w:tcPr>
            <w:tcW w:type="dxa" w:w="1728"/>
          </w:tcPr>
          <w:p>
            <w:r/>
            <w:r>
              <w:rPr>
                <w:sz w:val="19"/>
              </w:rPr>
              <w:t>Feb. 1 / Mar. 15, 2024</w:t>
            </w:r>
          </w:p>
        </w:tc>
        <w:tc>
          <w:tcPr>
            <w:tcW w:type="dxa" w:w="4752"/>
          </w:tcPr>
          <w:p>
            <w:r/>
            <w:r>
              <w:rPr>
                <w:sz w:val="19"/>
              </w:rPr>
              <w:t>Mediation demand / mediation session (Janet Polzin, Pacific Mediation Services). No resolution.</w:t>
            </w:r>
          </w:p>
        </w:tc>
        <w:tc>
          <w:tcPr>
            <w:tcW w:type="dxa" w:w="2880"/>
          </w:tcPr>
          <w:p>
            <w:r/>
            <w:r>
              <w:rPr>
                <w:sz w:val="19"/>
              </w:rPr>
              <w:t>Compl. ¶14</w:t>
            </w:r>
          </w:p>
        </w:tc>
      </w:tr>
      <w:tr>
        <w:tc>
          <w:tcPr>
            <w:tcW w:type="dxa" w:w="1728"/>
          </w:tcPr>
          <w:p>
            <w:r/>
            <w:r>
              <w:rPr>
                <w:sz w:val="19"/>
              </w:rPr>
              <w:t>Mar. 28, 2024</w:t>
            </w:r>
          </w:p>
        </w:tc>
        <w:tc>
          <w:tcPr>
            <w:tcW w:type="dxa" w:w="4752"/>
          </w:tcPr>
          <w:p>
            <w:r/>
            <w:r>
              <w:rPr>
                <w:sz w:val="19"/>
              </w:rPr>
              <w:t>Bridger preliminary damages report dated.</w:t>
            </w:r>
          </w:p>
        </w:tc>
        <w:tc>
          <w:tcPr>
            <w:tcW w:type="dxa" w:w="2880"/>
          </w:tcPr>
          <w:p>
            <w:r/>
            <w:r>
              <w:rPr>
                <w:sz w:val="19"/>
              </w:rPr>
              <w:t>Bridger report</w:t>
            </w:r>
          </w:p>
        </w:tc>
      </w:tr>
      <w:tr>
        <w:tc>
          <w:tcPr>
            <w:tcW w:type="dxa" w:w="1728"/>
          </w:tcPr>
          <w:p>
            <w:r/>
            <w:r>
              <w:rPr>
                <w:sz w:val="19"/>
              </w:rPr>
              <w:t>Apr. 12, 2024</w:t>
            </w:r>
          </w:p>
        </w:tc>
        <w:tc>
          <w:tcPr>
            <w:tcW w:type="dxa" w:w="4752"/>
          </w:tcPr>
          <w:p>
            <w:r/>
            <w:r>
              <w:rPr>
                <w:sz w:val="19"/>
              </w:rPr>
              <w:t>Complaint filed.</w:t>
            </w:r>
          </w:p>
        </w:tc>
        <w:tc>
          <w:tcPr>
            <w:tcW w:type="dxa" w:w="2880"/>
          </w:tcPr>
          <w:p>
            <w:r/>
            <w:r>
              <w:rPr>
                <w:sz w:val="19"/>
              </w:rPr>
              <w:t>Complaint</w:t>
            </w:r>
          </w:p>
        </w:tc>
      </w:tr>
      <w:tr>
        <w:tc>
          <w:tcPr>
            <w:tcW w:type="dxa" w:w="1728"/>
          </w:tcPr>
          <w:p>
            <w:r/>
            <w:r>
              <w:rPr>
                <w:sz w:val="19"/>
              </w:rPr>
              <w:t>Mar. 14, 2025</w:t>
            </w:r>
          </w:p>
        </w:tc>
        <w:tc>
          <w:tcPr>
            <w:tcW w:type="dxa" w:w="4752"/>
          </w:tcPr>
          <w:p>
            <w:r/>
            <w:r>
              <w:rPr>
                <w:sz w:val="19"/>
              </w:rPr>
              <w:t>End of the (automatically renewed) Renewal Term 1.</w:t>
            </w:r>
          </w:p>
        </w:tc>
        <w:tc>
          <w:tcPr>
            <w:tcW w:type="dxa" w:w="2880"/>
          </w:tcPr>
          <w:p>
            <w:r/>
            <w:r>
              <w:rPr>
                <w:sz w:val="19"/>
              </w:rPr>
              <w:t>Agmt. §3.2</w:t>
            </w:r>
          </w:p>
        </w:tc>
      </w:tr>
    </w:tbl>
    <w:p/>
    <w:p>
      <w:pPr>
        <w:pStyle w:val="Heading1"/>
      </w:pPr>
      <w:r>
        <w:t>4. Claim-by-Claim Assessment</w:t>
      </w:r>
    </w:p>
    <w:p>
      <w:pPr>
        <w:pStyle w:val="Heading2"/>
      </w:pPr>
      <w:r>
        <w:t>4.1 First Cause of Action — Breach of Contract</w:t>
      </w:r>
    </w:p>
    <w:p>
      <w:pPr>
        <w:spacing w:after="120"/>
      </w:pPr>
      <w:r>
        <w:t>Assessment: HIGH liability risk (we estimate an 85–90% likelihood that Cascade establishes breach). The real contest is over damages and the application of Section 16.</w:t>
      </w:r>
    </w:p>
    <w:p>
      <w:pPr>
        <w:spacing w:after="120"/>
      </w:pPr>
      <w:r>
        <w:rPr>
          <w:b/>
        </w:rPr>
        <w:t>(a) The termination was void.</w:t>
      </w:r>
      <w:r/>
    </w:p>
    <w:p>
      <w:pPr>
        <w:spacing w:after="120"/>
      </w:pPr>
      <w:r>
        <w:t>Section 9.2 requires a convenience notice to (i) expressly reference §9.2, (ii) specify an effective date no earlier than 12 months after the notice, and (iii) acknowledge the obligation to pay the Termination Fee. It then states that failing to comply "shall render any purported termination for convenience void and of no effect, and this Agreement shall continue in full force and effect." The September 8 letter satisfies (i) only. It was effective "immediately." It did not mention the fee, and it said Greenleaf considered "all other financial obligations … fully addressed." Section 17.12 (no construction against the drafter) and the arm's-length recital in §16.3 leave us no ambiguity argument.</w:t>
      </w:r>
    </w:p>
    <w:p>
      <w:pPr>
        <w:spacing w:after="120"/>
      </w:pPr>
      <w:r>
        <w:rPr>
          <w:b/>
        </w:rPr>
        <w:t>(b) Automatic renewal through March 14, 2025.</w:t>
      </w:r>
      <w:r/>
    </w:p>
    <w:p>
      <w:pPr>
        <w:spacing w:after="120"/>
      </w:pPr>
      <w:r>
        <w:t>Section 3.2 requires a non-renewal notice to "expressly state that it is a notice of non-renewal under this Section 3.2" and to be delivered under §17.6. The September 8 letter does neither. It is very unlikely a court will treat the letter as a non-renewal notice by implication. Note that the complaint's own discussion of this point (¶41) is internally muddled: it says the letter was 'eight days before' the deadline, which cuts against Cascade. The express-statement requirement in §3.2 still resolves the point in Cascade's favor. Timing: Cascade's rejection letter arrived on September 15, one day before the deadline, and pointedly noted that no non-renewal notice had been received. There was a one-day window. Greenleaf did not use it.</w:t>
      </w:r>
    </w:p>
    <w:p>
      <w:pPr>
        <w:spacing w:after="120"/>
      </w:pPr>
      <w:r>
        <w:rPr>
          <w:b/>
        </w:rPr>
        <w:t>(c) Additional breaches (clear on the record).</w:t>
      </w:r>
      <w:r/>
    </w:p>
    <w:p>
      <w:pPr>
        <w:pStyle w:val="ListBullet"/>
      </w:pPr>
      <w:r>
        <w:rPr>
          <w:b/>
        </w:rPr>
        <w:t>Supply —</w:t>
      </w:r>
      <w:r>
        <w:t xml:space="preserve"> Cessation of all shipments on October 2, 2023, and rejection of orders through January 2024 (§7.1). This is a repudiation.</w:t>
      </w:r>
    </w:p>
    <w:p>
      <w:pPr>
        <w:pStyle w:val="ListBullet"/>
      </w:pPr>
      <w:r>
        <w:rPr>
          <w:b/>
        </w:rPr>
        <w:t>Exclusivity —</w:t>
      </w:r>
      <w:r>
        <w:t xml:space="preserve"> Direct distribution to retailers in the Territory (§2.2). The complaint does not list this as a separate breach in ¶87, but it pleads the facts (¶¶44, 99). Expect an amendment.</w:t>
      </w:r>
    </w:p>
    <w:p>
      <w:pPr>
        <w:pStyle w:val="ListBullet"/>
      </w:pPr>
      <w:r>
        <w:rPr>
          <w:b/>
        </w:rPr>
        <w:t>Non-solicitation —</w:t>
      </w:r>
      <w:r>
        <w:t xml:space="preserve"> Jantzen was a "Covered Employee" (§11.2: sales/account managers materially involved within the prior 12 months). Section 11.3 bars soliciting or hiring such an employee "regardless of whether the Covered Employee initiates the contact." Neither §11.4 exception applies: he resigned, and there was no general job posting. The complaint misquotes §11.3 (it uses an older-style 'involved in the performance' formulation), but the actual text is broader and worse for us. Section 11.5 allows injunctive relief without bond.</w:t>
      </w:r>
    </w:p>
    <w:p>
      <w:pPr>
        <w:pStyle w:val="ListBullet"/>
      </w:pPr>
      <w:r>
        <w:rPr>
          <w:b/>
        </w:rPr>
        <w:t>Confidentiality —</w:t>
      </w:r>
      <w:r>
        <w:t xml:space="preserve"> The complaint's theory under §12 is weaker than it looks (see §5.3 below). Also, the complaint cites '§12.4' for return/destruction; that obligation is actually in §12.2, and §12.4 covers equitable relief.</w:t>
      </w:r>
    </w:p>
    <w:p>
      <w:pPr>
        <w:spacing w:after="120"/>
      </w:pPr>
      <w:r>
        <w:rPr>
          <w:b/>
        </w:rPr>
        <w:t>(d) Defenses available and their strength.</w:t>
      </w:r>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D9E2F3"/>
          </w:tcPr>
          <w:p>
            <w:r/>
            <w:r>
              <w:rPr>
                <w:b/>
                <w:sz w:val="19"/>
              </w:rPr>
              <w:t>Defense</w:t>
            </w:r>
          </w:p>
        </w:tc>
        <w:tc>
          <w:tcPr>
            <w:tcW w:type="dxa" w:w="1728"/>
            <w:shd w:val="clear" w:color="auto" w:fill="D9E2F3"/>
          </w:tcPr>
          <w:p>
            <w:r/>
            <w:r>
              <w:rPr>
                <w:b/>
                <w:sz w:val="19"/>
              </w:rPr>
              <w:t>Strength</w:t>
            </w:r>
          </w:p>
        </w:tc>
        <w:tc>
          <w:tcPr>
            <w:tcW w:type="dxa" w:w="5040"/>
            <w:shd w:val="clear" w:color="auto" w:fill="D9E2F3"/>
          </w:tcPr>
          <w:p>
            <w:r/>
            <w:r>
              <w:rPr>
                <w:b/>
                <w:sz w:val="19"/>
              </w:rPr>
              <w:t>Comment</w:t>
            </w:r>
          </w:p>
        </w:tc>
      </w:tr>
      <w:tr>
        <w:tc>
          <w:tcPr>
            <w:tcW w:type="dxa" w:w="2592"/>
          </w:tcPr>
          <w:p>
            <w:r/>
            <w:r>
              <w:rPr>
                <w:sz w:val="19"/>
              </w:rPr>
              <w:t>Termination for cause based on the Year 2 shortfall</w:t>
            </w:r>
          </w:p>
        </w:tc>
        <w:tc>
          <w:tcPr>
            <w:tcW w:type="dxa" w:w="1728"/>
          </w:tcPr>
          <w:p>
            <w:r/>
            <w:r>
              <w:rPr>
                <w:sz w:val="19"/>
              </w:rPr>
              <w:t>Weak / strategically dangerous</w:t>
            </w:r>
          </w:p>
        </w:tc>
        <w:tc>
          <w:tcPr>
            <w:tcW w:type="dxa" w:w="5040"/>
          </w:tcPr>
          <w:p>
            <w:r/>
            <w:r>
              <w:rPr>
                <w:sz w:val="19"/>
              </w:rPr>
              <w:t>Section 17.4 (written-waiver requirement; no waiver by non-enforcement) and the April 5, 2021 breach notice help. But §9.1 cause termination requires notice, a 30-day cure period, and then a separate 60-day notice. None of that happened in 2023, and §9.1 says that noncompliance renders the termination 'void.' Force majeure (§14.1 expressly lists pandemics) likely excuses the shortfall. Ellison herself rejected this route in writing, and Hyun-Park's email records the waiver risk. Raising it now invites discovery into the 'scrutiny into our own performance' Ellison feared (see §6.4).</w:t>
            </w:r>
          </w:p>
        </w:tc>
      </w:tr>
      <w:tr>
        <w:tc>
          <w:tcPr>
            <w:tcW w:type="dxa" w:w="2592"/>
          </w:tcPr>
          <w:p>
            <w:r/>
            <w:r>
              <w:rPr>
                <w:sz w:val="19"/>
              </w:rPr>
              <w:t>Letter operated as a non-renewal notice</w:t>
            </w:r>
          </w:p>
        </w:tc>
        <w:tc>
          <w:tcPr>
            <w:tcW w:type="dxa" w:w="1728"/>
          </w:tcPr>
          <w:p>
            <w:r/>
            <w:r>
              <w:rPr>
                <w:sz w:val="19"/>
              </w:rPr>
              <w:t>Weak</w:t>
            </w:r>
          </w:p>
        </w:tc>
        <w:tc>
          <w:tcPr>
            <w:tcW w:type="dxa" w:w="5040"/>
          </w:tcPr>
          <w:p>
            <w:r/>
            <w:r>
              <w:rPr>
                <w:sz w:val="19"/>
              </w:rPr>
              <w:t>Defeated by the express-statement requirement in §3.2.</w:t>
            </w:r>
          </w:p>
        </w:tc>
      </w:tr>
      <w:tr>
        <w:tc>
          <w:tcPr>
            <w:tcW w:type="dxa" w:w="2592"/>
          </w:tcPr>
          <w:p>
            <w:r/>
            <w:r>
              <w:rPr>
                <w:sz w:val="19"/>
              </w:rPr>
              <w:t>Cascade's prior material breach excused performance</w:t>
            </w:r>
          </w:p>
        </w:tc>
        <w:tc>
          <w:tcPr>
            <w:tcW w:type="dxa" w:w="1728"/>
          </w:tcPr>
          <w:p>
            <w:r/>
            <w:r>
              <w:rPr>
                <w:sz w:val="19"/>
              </w:rPr>
              <w:t>Weak</w:t>
            </w:r>
          </w:p>
        </w:tc>
        <w:tc>
          <w:tcPr>
            <w:tcW w:type="dxa" w:w="5040"/>
          </w:tcPr>
          <w:p>
            <w:r/>
            <w:r>
              <w:rPr>
                <w:sz w:val="19"/>
              </w:rPr>
              <w:t>Cascade was on pace to exceed the Year 5 minimum (~$36M annualized against $34.03M). There is no evidence of Cascade nonperformance in 2023.</w:t>
            </w:r>
          </w:p>
        </w:tc>
      </w:tr>
      <w:tr>
        <w:tc>
          <w:tcPr>
            <w:tcW w:type="dxa" w:w="2592"/>
          </w:tcPr>
          <w:p>
            <w:r/>
            <w:r>
              <w:rPr>
                <w:sz w:val="19"/>
              </w:rPr>
              <w:t>Failure of condition precedent (§15)</w:t>
            </w:r>
          </w:p>
        </w:tc>
        <w:tc>
          <w:tcPr>
            <w:tcW w:type="dxa" w:w="1728"/>
          </w:tcPr>
          <w:p>
            <w:r/>
            <w:r>
              <w:rPr>
                <w:sz w:val="19"/>
              </w:rPr>
              <w:t>Moderate procedurally; low value</w:t>
            </w:r>
          </w:p>
        </w:tc>
        <w:tc>
          <w:tcPr>
            <w:tcW w:type="dxa" w:w="5040"/>
          </w:tcPr>
          <w:p>
            <w:r/>
            <w:r>
              <w:rPr>
                <w:sz w:val="19"/>
              </w:rPr>
              <w:t>See §4.6. Could support a stay but will not defeat the claims.</w:t>
            </w:r>
          </w:p>
        </w:tc>
      </w:tr>
      <w:tr>
        <w:tc>
          <w:tcPr>
            <w:tcW w:type="dxa" w:w="2592"/>
          </w:tcPr>
          <w:p>
            <w:r/>
            <w:r>
              <w:rPr>
                <w:sz w:val="19"/>
              </w:rPr>
              <w:t>Damages limitations (§16.2), least-costly performance, mitigation</w:t>
            </w:r>
          </w:p>
        </w:tc>
        <w:tc>
          <w:tcPr>
            <w:tcW w:type="dxa" w:w="1728"/>
          </w:tcPr>
          <w:p>
            <w:r/>
            <w:r>
              <w:rPr>
                <w:sz w:val="19"/>
              </w:rPr>
              <w:t>Moderate to strong</w:t>
            </w:r>
          </w:p>
        </w:tc>
        <w:tc>
          <w:tcPr>
            <w:tcW w:type="dxa" w:w="5040"/>
          </w:tcPr>
          <w:p>
            <w:r/>
            <w:r>
              <w:rPr>
                <w:sz w:val="19"/>
              </w:rPr>
              <w:t>This is where we should focus. See §5.</w:t>
            </w:r>
          </w:p>
        </w:tc>
      </w:tr>
    </w:tbl>
    <w:p/>
    <w:p>
      <w:pPr>
        <w:pStyle w:val="Heading2"/>
      </w:pPr>
      <w:r>
        <w:t>4.2 Second Cause of Action — Tortious Interference with Business Relationships</w:t>
      </w:r>
    </w:p>
    <w:p>
      <w:pPr>
        <w:spacing w:after="120"/>
      </w:pPr>
      <w:r>
        <w:t>Assessment: LOW-TO-MODERATE risk. Good candidate for a motion to dismiss.</w:t>
      </w:r>
    </w:p>
    <w:p>
      <w:pPr>
        <w:pStyle w:val="ListBullet"/>
      </w:pPr>
      <w:r>
        <w:rPr>
          <w:b/>
        </w:rPr>
        <w:t>OUTSA displacement:</w:t>
      </w:r>
      <w:r>
        <w:t xml:space="preserve"> ORS 646.473 displaces conflicting tort and restitutionary remedies based on misappropriation of a trade secret. The 'improper means' pleaded (¶¶100(a), 103) is mainly the alleged misappropriation. To the extent the claim rests on that, it is displaced.</w:t>
      </w:r>
    </w:p>
    <w:p>
      <w:pPr>
        <w:pStyle w:val="ListBullet"/>
      </w:pPr>
      <w:r>
        <w:rPr>
          <w:b/>
        </w:rPr>
        <w:t>Remaining improper-means theory:</w:t>
      </w:r>
      <w:r>
        <w:t xml:space="preserve"> What remains is breach of contract (§11.3) and competition for retail accounts. Under Oregon's intentional-interference standard, a breach of contract is generally not an 'improper means' by itself, and Greenleaf had an economic interest in selling its own products to retailers. Cascade must also plead damage beyond the contract loss and a relationship with a third party. The retailers buy Greenleaf products, so Greenleaf is hardly a stranger to those relationships.</w:t>
      </w:r>
    </w:p>
    <w:p>
      <w:pPr>
        <w:pStyle w:val="ListBullet"/>
      </w:pPr>
      <w:r>
        <w:rPr>
          <w:b/>
        </w:rPr>
        <w:t>Punitive damages:</w:t>
      </w:r>
      <w:r>
        <w:t xml:space="preserve"> Oregon requires leave of court before punitive damages may be pleaded (ORS 31.725), and D. Or. judges have split on whether that rule applies in federal court. It must also be proved by clear and convincing evidence (ORS 31.730). Move to strike ¶106 and prayer (b), subject to research on current D. Or. authority.</w:t>
      </w:r>
    </w:p>
    <w:p>
      <w:pPr>
        <w:pStyle w:val="ListBullet"/>
      </w:pPr>
      <w:r>
        <w:rPr>
          <w:b/>
        </w:rPr>
        <w:t>Unpleaded interference-with-contract claim:</w:t>
      </w:r>
      <w:r>
        <w:t xml:space="preserve"> This is a latent risk. Jantzen's employment agreement contains a customer non-solicit (§8.2) and a non-compete that covers 'suppliers' of Cascade (§7.1). Cascade has not yet pleaded that Greenleaf interfered with the Jantzen contract, but the Oct. 20 email and Ellison's recruitment make that claim easy to add. (Enforceability questions: Washington RCW 49.62 salary thresholds and notice requirements; Oregon ORS 653.295 if Oregon law governs an Oregon-based employee. Research required.)</w:t>
      </w:r>
    </w:p>
    <w:p>
      <w:pPr>
        <w:pStyle w:val="Heading2"/>
      </w:pPr>
      <w:r>
        <w:t>4.3 Third Cause of Action — Trade Secret Misappropriation (OUTSA / DTSA)</w:t>
      </w:r>
    </w:p>
    <w:p>
      <w:pPr>
        <w:spacing w:after="120"/>
      </w:pPr>
      <w:r>
        <w:t>Assessment: MODERATE-TO-HIGH risk (we estimate a 60–75% likelihood of a misappropriation finding against Greenleaf). This is the claim most likely to drive fees, exemplary damages, and injunctive relief, and the one that most damages Greenleaf's credibility with a jury.</w:t>
      </w:r>
    </w:p>
    <w:p>
      <w:pPr>
        <w:spacing w:after="120"/>
      </w:pPr>
      <w:r>
        <w:rPr>
          <w:b/>
        </w:rPr>
        <w:t>(a) Trade secret status.</w:t>
      </w:r>
      <w:r/>
    </w:p>
    <w:p>
      <w:pPr>
        <w:spacing w:after="120"/>
      </w:pPr>
      <w:r>
        <w:t>The pricing model and master account list (labeled 'Confidential — Restricted,' with 3+ years of purchase history, contract terms, and profitability data) are likely protectable. Jantzen's claim that he used 'publicly available retailer directories' may cover names and addresses, but it does not cover purchase histories, contract terms, and margin structures. Cascade's secrecy measures (classification policy, confidentiality agreements, access logging, a contractual ban on personal-email transfer) look reasonable. The route optimization PDF ('Confidential — Internal') is the weakest item: it is a Q3 snapshot, and it has little obvious value to a manufacturer building its own logistics.</w:t>
      </w:r>
    </w:p>
    <w:p>
      <w:pPr>
        <w:spacing w:after="120"/>
      </w:pPr>
      <w:r>
        <w:rPr>
          <w:b/>
        </w:rPr>
        <w:t>(b) Acquisition by improper means (Jantzen).</w:t>
      </w:r>
      <w:r/>
    </w:p>
    <w:p>
      <w:pPr>
        <w:spacing w:after="120"/>
      </w:pPr>
      <w:r>
        <w:t>The forensic record is strong. It shows a sharp spike in access, the after-hours email, the 'Files' subject line with no body text, a check of Gmail five minutes later, and a direct violation of his employment agreement's §6.5. Possible attacks: the complaint says the laptop was reviewed 'prior to its return on October 30,' but the forensic memo says it was returned October 31 and reviewed starting November 2. The October 14 save of the account file changed its metadata, and 'content changes … could not be determined.' These are cross-examination points, not defenses.</w:t>
      </w:r>
    </w:p>
    <w:p>
      <w:pPr>
        <w:spacing w:after="120"/>
      </w:pPr>
      <w:r>
        <w:rPr>
          <w:b/>
        </w:rPr>
        <w:t>(c) Greenleaf's knowledge and use (the key question).</w:t>
      </w:r>
      <w:r/>
    </w:p>
    <w:p>
      <w:pPr>
        <w:spacing w:after="120"/>
      </w:pPr>
      <w:r>
        <w:t>There is no direct evidence yet that the files reached Greenleaf systems. The circumstantial case is strong, however:</w:t>
      </w:r>
    </w:p>
    <w:p>
      <w:pPr>
        <w:pStyle w:val="ListBullet"/>
      </w:pPr>
      <w:r>
        <w:t xml:space="preserve"> Ellison's 'whole playbook' / 'plug and play Cascade's network' email (Aug. 10), sent before the transfer. Cascade will argue this shows Greenleaf expected or encouraged misappropriation.</w:t>
      </w:r>
    </w:p>
    <w:p>
      <w:pPr>
        <w:pStyle w:val="ListBullet"/>
      </w:pPr>
      <w:r>
        <w:t xml:space="preserve"> Jantzen was doing Greenleaf work, on a Greenleaf email account, by October 20, before his Cascade departure. That supports aiding a breach of the duty of loyalty and imputes his knowledge to Greenleaf.</w:t>
      </w:r>
    </w:p>
    <w:p>
      <w:pPr>
        <w:pStyle w:val="ListBullet"/>
      </w:pPr>
      <w:r>
        <w:t xml:space="preserve"> Brennan's November 15 email: pricing tiers 'identical'; a sophisticated model ready 'within weeks' when building one normally takes months. This is not privileged, and it comes from a 20-year distribution veteran who is Greenleaf's own VP of Sales.</w:t>
      </w:r>
    </w:p>
    <w:p>
      <w:pPr>
        <w:pStyle w:val="ListBullet"/>
      </w:pPr>
      <w:r>
        <w:t xml:space="preserve"> Ellison's November 18 reply ('Don't put stuff like that in email') invites a consciousness-of-guilt argument. It also suggests Greenleaf took no remedial action after an internal red flag, which supports 'willful and malicious' conduct and defeats any argument that Greenleaf acquired the information innocently.</w:t>
      </w:r>
    </w:p>
    <w:p>
      <w:pPr>
        <w:pStyle w:val="ListBullet"/>
      </w:pPr>
      <w:r>
        <w:t xml:space="preserve"> Jantzen's false exculpatory statement ('I didn't bring any Cascade files') will damage his credibility and, by extension, Greenleaf's.</w:t>
      </w:r>
    </w:p>
    <w:p>
      <w:pPr>
        <w:spacing w:after="120"/>
      </w:pPr>
      <w:r>
        <w:rPr>
          <w:b/>
        </w:rPr>
        <w:t>(d) Remedies exposure.</w:t>
      </w:r>
      <w:r/>
    </w:p>
    <w:p>
      <w:pPr>
        <w:spacing w:after="120"/>
      </w:pPr>
      <w:r>
        <w:t>Actual loss and/or unjust enrichment, or a reasonable royalty (18 U.S.C. § 1836(b)(3)(B); ORS 646.465). Exemplary damages up to 2x for willful and malicious misappropriation (18 U.S.C. § 1836(b)(3)(C); OUTSA's exemplary-damages provision). Attorney fees (18 U.S.C. § 1836(b)(3)(D); OUTSA fee provision, which we believe is ORS 646.467; the complaint cites ORS 646.465(2)–(3) and should be checked). Injunction (ORS 646.463; § 1836(b)(3)(A)). Note an inconsistency between Cascade's documents: the complaint says exemplary damages could add $9.6M (2x $4.8M), while Bridger caveat (c) says 'up to an additional $4.8M.' The statutes cap exemplary damages at twice the award, so the complaint's figure is the correct maximum.</w:t>
      </w:r>
    </w:p>
    <w:p>
      <w:pPr>
        <w:spacing w:after="120"/>
      </w:pPr>
      <w:r>
        <w:rPr>
          <w:b/>
        </w:rPr>
        <w:t>(e) Injunction posture.</w:t>
      </w:r>
      <w:r/>
    </w:p>
    <w:p>
      <w:pPr>
        <w:spacing w:after="120"/>
      </w:pPr>
      <w:r>
        <w:t>Cascade has not sought a TRO or preliminary injunction, even though it had the forensic findings in November 2023. That five-month delay undercuts its claim of irreparable harm. Even so, a proactive remediation program (§9) is the best way to defeat injunctive relief and reduce any finding of 'willful' conduct going forward.</w:t>
      </w:r>
    </w:p>
    <w:p>
      <w:pPr>
        <w:pStyle w:val="Heading2"/>
      </w:pPr>
      <w:r>
        <w:t>4.4 Fourth Cause of Action — Unjust Enrichment</w:t>
      </w:r>
    </w:p>
    <w:p>
      <w:pPr>
        <w:spacing w:after="120"/>
      </w:pPr>
      <w:r>
        <w:t>Assessment: LOW risk. Where a valid express contract governs the subject matter, Oregon law generally bars a quasi-contract claim. Cascade pleads this claim in the alternative (¶127), but the Agreement's validity is undisputed. To the extent the claim rests on trade secrets, OUTSA displaces it (ORS 646.473). The $22.5M restitution demand simply repeats the contract and trade secret damages; it is not a separate measure of Greenleaf's benefit. Move to dismiss, or at least expect it to be limited to duplicate relief.</w:t>
      </w:r>
    </w:p>
    <w:p>
      <w:pPr>
        <w:pStyle w:val="Heading2"/>
      </w:pPr>
      <w:r>
        <w:t>4.5 Section 16 Limitation of Liability — Pivotal Issue</w:t>
      </w:r>
    </w:p>
    <w:p>
      <w:pPr>
        <w:spacing w:after="120"/>
      </w:pPr>
      <w:r>
        <w:t>Section 16.2 excludes consequential damages, 'including but not limited to lost profits, loss of business, loss of goodwill.' It carves out 'willful misconduct or misappropriation of Confidential Information.' Every dollar of Cascade's lost-profit theory depends on one of those exceptions, or on characterizing lost profits under a distribution contract as direct damages.</w:t>
      </w:r>
    </w:p>
    <w:p>
      <w:pPr>
        <w:pStyle w:val="ListBullet"/>
      </w:pPr>
      <w:r>
        <w:rPr>
          <w:b/>
        </w:rPr>
        <w:t>Misappropriation exception — a good argument for us:</w:t>
      </w:r>
      <w:r>
        <w:t xml:space="preserve"> 'Confidential Information' is defined as information 'disclosed by one Party to the other Party in connection with this Agreement.' Cascade's internal pricing model, customer database, and route analyses were never disclosed to Greenleaf under the Agreement. They were allegedly taken by an employee. There is a strong textual argument that neither Section 12 nor the misappropriation carve-out is triggered. (Cascade will reply that Greenleaf is bound by §12 regardless, and that the definition's 'without limiting' list covers these categories.)</w:t>
      </w:r>
    </w:p>
    <w:p>
      <w:pPr>
        <w:pStyle w:val="ListBullet"/>
      </w:pPr>
      <w:r>
        <w:rPr>
          <w:b/>
        </w:rPr>
        <w:t>Willful misconduct exception — difficult:</w:t>
      </w:r>
      <w:r>
        <w:t xml:space="preserve"> This is the harder fight. Ellison's 'I don't want to pay the termination fee — we'll fight about it if we have to' and 'the sooner we cut Cascade out, the sooner we start capturing their margin' are strong evidence of a deliberate, knowing breach. Our best arguments: (i) 'willful misconduct' in a limitation clause should mean something more than an intentional breach of contract; otherwise every deliberate termination dispute would fall outside the clause and make §16.3's 'essential element of the bargain' meaningless. (ii) Greenleaf acted on a good-faith, if mistaken, view of its exit rights. That argument is weakened because Hyun-Park's advice spelled out the 12-month and fee requirements, and it would put privilege at issue (§7). Our estimate: 55–65% likelihood a court finds the willful-misconduct exception applies to the termination-related damages.</w:t>
      </w:r>
    </w:p>
    <w:p>
      <w:pPr>
        <w:pStyle w:val="ListBullet"/>
      </w:pPr>
      <w:r>
        <w:rPr>
          <w:b/>
        </w:rPr>
        <w:t>Direct vs. consequential characterization:</w:t>
      </w:r>
      <w:r>
        <w:t xml:space="preserve"> Many courts treat lost profits on the contract itself as direct, 'general' damages. Here, however, §16.2 names lost profits expressly, which helps us. Research is needed on Oregon authority.</w:t>
      </w:r>
    </w:p>
    <w:p>
      <w:pPr>
        <w:pStyle w:val="ListBullet"/>
      </w:pPr>
      <w:r>
        <w:rPr>
          <w:b/>
        </w:rPr>
        <w:t>§16.1 cap:</w:t>
      </w:r>
      <w:r>
        <w:t xml:space="preserve"> The cap equals purchases in the two preceding contract years (Years 3–4 = $71.6M). It is not a practical constraint.</w:t>
      </w:r>
    </w:p>
    <w:p>
      <w:pPr>
        <w:pStyle w:val="ListBullet"/>
      </w:pPr>
      <w:r>
        <w:rPr>
          <w:b/>
        </w:rPr>
        <w:t>§15.4 fee-shifting:</w:t>
      </w:r>
      <w:r>
        <w:t xml:space="preserve"> Section 15.4 gives the prevailing party its fees, expert fees, and costs. Cascade will likely be the prevailing party on the contract claim, so fee exposure on the contract claim exists independent of the trade secret statutes. ORS 20.096 makes the clause reciprocal in any event.</w:t>
      </w:r>
    </w:p>
    <w:p>
      <w:pPr>
        <w:pStyle w:val="Heading2"/>
      </w:pPr>
      <w:r>
        <w:t>4.6 Conditions Precedent — Section 15</w:t>
      </w:r>
    </w:p>
    <w:p>
      <w:pPr>
        <w:spacing w:after="120"/>
      </w:pPr>
      <w:r>
        <w:t>Section 15.1 requires good-faith negotiations between senior executives: a meeting within 15 days of written notice and at least 30 days of negotiation. Section 15.3 allows litigation only if the dispute is 'not resolved through mediation within sixty (60) days of the commencement of the mediation process.' The complaint does not allege compliance with §15.1. If the 'commencement' of mediation was the March 15, 2024 session, suit was premature until about May 14, 2024. If it was the February 1 demand, the April 12 filing was timely (71 days). This point supports a stay or leverage in negotiating the schedule, but it is curable and courts rarely dismiss on it. Note also that §15.5 exempts injunctive claims under Sections 11 and 12 from these prerequisites.</w:t>
      </w:r>
    </w:p>
    <w:p>
      <w:pPr>
        <w:pStyle w:val="Heading1"/>
      </w:pPr>
      <w:r>
        <w:t>5. Critique of the Bridger Damages Report ($22,521,312.50)</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D9E2F3"/>
          </w:tcPr>
          <w:p>
            <w:r/>
            <w:r>
              <w:rPr>
                <w:b/>
                <w:sz w:val="19"/>
              </w:rPr>
              <w:t>Category</w:t>
            </w:r>
          </w:p>
        </w:tc>
        <w:tc>
          <w:tcPr>
            <w:tcW w:type="dxa" w:w="1440"/>
            <w:shd w:val="clear" w:color="auto" w:fill="D9E2F3"/>
          </w:tcPr>
          <w:p>
            <w:r/>
            <w:r>
              <w:rPr>
                <w:b/>
                <w:sz w:val="19"/>
              </w:rPr>
              <w:t>Claimed</w:t>
            </w:r>
          </w:p>
        </w:tc>
        <w:tc>
          <w:tcPr>
            <w:tcW w:type="dxa" w:w="4176"/>
            <w:shd w:val="clear" w:color="auto" w:fill="D9E2F3"/>
          </w:tcPr>
          <w:p>
            <w:r/>
            <w:r>
              <w:rPr>
                <w:b/>
                <w:sz w:val="19"/>
              </w:rPr>
              <w:t>Principal Defects</w:t>
            </w:r>
          </w:p>
        </w:tc>
        <w:tc>
          <w:tcPr>
            <w:tcW w:type="dxa" w:w="2304"/>
            <w:shd w:val="clear" w:color="auto" w:fill="D9E2F3"/>
          </w:tcPr>
          <w:p>
            <w:r/>
            <w:r>
              <w:rPr>
                <w:b/>
                <w:sz w:val="19"/>
              </w:rPr>
              <w:t>Defense-Adjusted View</w:t>
            </w:r>
          </w:p>
        </w:tc>
      </w:tr>
      <w:tr>
        <w:tc>
          <w:tcPr>
            <w:tcW w:type="dxa" w:w="1440"/>
          </w:tcPr>
          <w:p>
            <w:r/>
            <w:r>
              <w:rPr>
                <w:sz w:val="19"/>
              </w:rPr>
              <w:t>A. Lost profits</w:t>
            </w:r>
          </w:p>
        </w:tc>
        <w:tc>
          <w:tcPr>
            <w:tcW w:type="dxa" w:w="1440"/>
          </w:tcPr>
          <w:p>
            <w:r/>
            <w:r>
              <w:rPr>
                <w:sz w:val="19"/>
              </w:rPr>
              <w:t>$10,501,312.50</w:t>
            </w:r>
          </w:p>
        </w:tc>
        <w:tc>
          <w:tcPr>
            <w:tcW w:type="dxa" w:w="4176"/>
          </w:tcPr>
          <w:p>
            <w:r/>
            <w:r>
              <w:rPr>
                <w:sz w:val="19"/>
              </w:rPr>
              <w:t>(1) Projects from the Year 4 peak × 1.05 ($40.0M/yr). Cascade's actual Year 5 purchases were $19.7M through ~Oct. 1 (about 200 days), which annualizes to about $36.0M, roughly 10% below Bridger's base. (2) Uses the same 1.05 factor for Year 5 and the renewal year; this is internally inconsistent but helps us. (3) The report calls the 18% figure 'net of variable costs' in one place and 'gross distribution margin' in another; fixed and semi-fixed costs avoided (e.g., the 8 dedicated sales reps required by §4.2, warehouse labor, the three dedicated trucks) are not deducted. (4) No mitigation offset for replacement brands sold through the same 4,200 accounts. (5) No discount to present value. (6) The full amount depends on the §16.2 exception.</w:t>
            </w:r>
          </w:p>
        </w:tc>
        <w:tc>
          <w:tcPr>
            <w:tcW w:type="dxa" w:w="2304"/>
          </w:tcPr>
          <w:p>
            <w:r/>
            <w:r>
              <w:rPr>
                <w:sz w:val="19"/>
              </w:rPr>
              <w:t>Run-rate at 17.5 months: ≈ $9.44M before cost savings and mitigation. Least-costly-performance theory (damages end Mar. 14, 2024): ≈ $2.9M–$3.2M. If §16.2 applies without exception: arguably $0 in lost profits.</w:t>
            </w:r>
          </w:p>
        </w:tc>
      </w:tr>
      <w:tr>
        <w:tc>
          <w:tcPr>
            <w:tcW w:type="dxa" w:w="1440"/>
          </w:tcPr>
          <w:p>
            <w:r/>
            <w:r>
              <w:rPr>
                <w:sz w:val="19"/>
              </w:rPr>
              <w:t>B. Termination fee</w:t>
            </w:r>
          </w:p>
        </w:tc>
        <w:tc>
          <w:tcPr>
            <w:tcW w:type="dxa" w:w="1440"/>
          </w:tcPr>
          <w:p>
            <w:r/>
            <w:r>
              <w:rPr>
                <w:sz w:val="19"/>
              </w:rPr>
              <w:t>$5,370,000</w:t>
            </w:r>
          </w:p>
        </w:tc>
        <w:tc>
          <w:tcPr>
            <w:tcW w:type="dxa" w:w="4176"/>
          </w:tcPr>
          <w:p>
            <w:r/>
            <w:r>
              <w:rPr>
                <w:sz w:val="19"/>
              </w:rPr>
              <w:t>Legally inconsistent with Category A. The fee is owed only as the price of a valid convenience termination, and it falls due 30 days after the 'effective date of termination.' Cascade's (correct) position is that the termination was void. Under that theory there is no effective date and no fee. Bridger's 'regardless of whether … effective' rationale conflicts with the plain text of §9.2 and gives double recovery. Under the alternative theory (valid termination), damages would be the fee plus margin during the 12-month notice period only (≈ Oct. 2, 2023 – Sept. 8, 2024), not through March 2025.</w:t>
            </w:r>
          </w:p>
        </w:tc>
        <w:tc>
          <w:tcPr>
            <w:tcW w:type="dxa" w:w="2304"/>
          </w:tcPr>
          <w:p>
            <w:r/>
            <w:r>
              <w:rPr>
                <w:sz w:val="19"/>
              </w:rPr>
              <w:t>$0 under the void theory. Cascade must elect. Its better alternative is ≈ $5.37M fee + ≈ $6.7M notice-period margin ≈ $12.1M, which exceeds the void-theory total. Expect Cascade to pivot to this alternative; our rebuttal is §9.2's 'void and of no effect' language, which Cascade itself invoked.</w:t>
            </w:r>
          </w:p>
        </w:tc>
      </w:tr>
      <w:tr>
        <w:tc>
          <w:tcPr>
            <w:tcW w:type="dxa" w:w="1440"/>
          </w:tcPr>
          <w:p>
            <w:r/>
            <w:r>
              <w:rPr>
                <w:sz w:val="19"/>
              </w:rPr>
              <w:t>C. Infrastructure</w:t>
            </w:r>
          </w:p>
        </w:tc>
        <w:tc>
          <w:tcPr>
            <w:tcW w:type="dxa" w:w="1440"/>
          </w:tcPr>
          <w:p>
            <w:r/>
            <w:r>
              <w:rPr>
                <w:sz w:val="19"/>
              </w:rPr>
              <w:t>$1,850,000</w:t>
            </w:r>
          </w:p>
        </w:tc>
        <w:tc>
          <w:tcPr>
            <w:tcW w:type="dxa" w:w="4176"/>
          </w:tcPr>
          <w:p>
            <w:r/>
            <w:r>
              <w:rPr>
                <w:sz w:val="19"/>
              </w:rPr>
              <w:t>(1) These are reliance costs incurred to earn the very profits claimed in A; recovering both is double recovery. (2) Section 4.5 made the investment Cascade's own obligation, and the benefit of that investment is already reflected in the margin. (3) The 'replacement cost less 35% functional depreciation' approach is unsupported; Bridger rejects its own book value of $288K. (4) Refrigerated trucks, cold storage, and warehouse space are generic, redeployable assets. Bridger asserts, without analysis, that they have no alternative use. (5) Descriptions conflict: the complaint says 'branded vehicles … marketing materials' while Bridger lists '3 refrigerated trucks.' (6) The straight-line calculation assumes all $3.2M was spent in March 2019.</w:t>
            </w:r>
          </w:p>
        </w:tc>
        <w:tc>
          <w:tcPr>
            <w:tcW w:type="dxa" w:w="2304"/>
          </w:tcPr>
          <w:p>
            <w:r/>
            <w:r>
              <w:rPr>
                <w:sz w:val="19"/>
              </w:rPr>
              <w:t>$0 (duplicative). At most, the $288K book value, less salvage/redeployment value.</w:t>
            </w:r>
          </w:p>
        </w:tc>
      </w:tr>
      <w:tr>
        <w:tc>
          <w:tcPr>
            <w:tcW w:type="dxa" w:w="1440"/>
          </w:tcPr>
          <w:p>
            <w:r/>
            <w:r>
              <w:rPr>
                <w:sz w:val="19"/>
              </w:rPr>
              <w:t>D. Trade secrets</w:t>
            </w:r>
          </w:p>
        </w:tc>
        <w:tc>
          <w:tcPr>
            <w:tcW w:type="dxa" w:w="1440"/>
          </w:tcPr>
          <w:p>
            <w:r/>
            <w:r>
              <w:rPr>
                <w:sz w:val="19"/>
              </w:rPr>
              <w:t>$4,800,000</w:t>
            </w:r>
          </w:p>
        </w:tc>
        <w:tc>
          <w:tcPr>
            <w:tcW w:type="dxa" w:w="4176"/>
          </w:tcPr>
          <w:p>
            <w:r/>
            <w:r>
              <w:rPr>
                <w:sz w:val="19"/>
              </w:rPr>
              <w:t>(1) Development cost and customer acquisition cost measure what Cascade spent, not what it lost or what Greenleaf gained. Cascade still has all three assets. (2) The customer list is valued as if all 1,847 accounts were lost, but Cascade still services those retailers for other brands (4,200 accounts overall). (3) Lost Greenleaf-product margin is already counted in Category A (double counting). (4) The $1,570/account 'industry benchmark' is unsourced. (5) The route PDF is a quarterly snapshot. (6) The pricing model covers all product lines, not just Greenleaf.</w:t>
            </w:r>
          </w:p>
        </w:tc>
        <w:tc>
          <w:tcPr>
            <w:tcW w:type="dxa" w:w="2304"/>
          </w:tcPr>
          <w:p>
            <w:r/>
            <w:r>
              <w:rPr>
                <w:sz w:val="19"/>
              </w:rPr>
              <w:t>More defensible measures: Greenleaf's avoided development cost (a head-start measure, perhaps months of pricing work) or a reasonable royalty. Illustratively $0.5M–$2.0M before any exemplary multiplier.</w:t>
            </w:r>
          </w:p>
        </w:tc>
      </w:tr>
      <w:tr>
        <w:tc>
          <w:tcPr>
            <w:tcW w:type="dxa" w:w="1440"/>
          </w:tcPr>
          <w:p>
            <w:r/>
            <w:r>
              <w:rPr>
                <w:sz w:val="19"/>
              </w:rPr>
              <w:t>Total</w:t>
            </w:r>
          </w:p>
        </w:tc>
        <w:tc>
          <w:tcPr>
            <w:tcW w:type="dxa" w:w="1440"/>
          </w:tcPr>
          <w:p>
            <w:r/>
            <w:r>
              <w:rPr>
                <w:sz w:val="19"/>
              </w:rPr>
              <w:t>$22,521,312.50</w:t>
            </w:r>
          </w:p>
        </w:tc>
        <w:tc>
          <w:tcPr>
            <w:tcW w:type="dxa" w:w="4176"/>
          </w:tcPr>
          <w:p>
            <w:r/>
            <w:r>
              <w:rPr>
                <w:sz w:val="19"/>
              </w:rPr>
              <w:t>Stacks inconsistent remedies (A + B), duplicative reliance (C), and overlapping trade secret loss (D).</w:t>
            </w:r>
          </w:p>
        </w:tc>
        <w:tc>
          <w:tcPr>
            <w:tcW w:type="dxa" w:w="2304"/>
          </w:tcPr>
          <w:p>
            <w:r/>
            <w:r>
              <w:rPr>
                <w:sz w:val="19"/>
              </w:rPr>
              <w:t>See the exposure scenarios in §8.</w:t>
            </w:r>
          </w:p>
        </w:tc>
      </w:tr>
    </w:tbl>
    <w:p/>
    <w:p>
      <w:pPr>
        <w:spacing w:after="120"/>
      </w:pPr>
      <w:r>
        <w:rPr>
          <w:b/>
        </w:rPr>
        <w:t>Report integrity issues for Daubert / cross-examination:</w:t>
      </w:r>
      <w:r/>
    </w:p>
    <w:p>
      <w:pPr>
        <w:pStyle w:val="ListBullet"/>
      </w:pPr>
      <w:r>
        <w:t xml:space="preserve"> The report is dated March 28, 2024, yet lists among the materials reviewed 'The Complaint filed April 12, 2024.' Either the report was revised after its stated date without disclosure, or it was coordinated with the pleading. Either way, this is a strong impeachment point. Demand all drafts and communications with counsel to the extent FRCP 26(b)(4) allows (facts, data, and assumptions provided by counsel are discoverable).</w:t>
      </w:r>
    </w:p>
    <w:p>
      <w:pPr>
        <w:pStyle w:val="ListBullet"/>
      </w:pPr>
      <w:r>
        <w:t xml:space="preserve"> The report's figures match the complaint to the penny. Bridger 'defer[s] to counsel' on §16.2 and the renewal, and assumption 7 is 'all facts as represented by counsel are accurate.' That is advocacy rather than independent analysis.</w:t>
      </w:r>
    </w:p>
    <w:p>
      <w:pPr>
        <w:pStyle w:val="ListBullet"/>
      </w:pPr>
      <w:r>
        <w:t xml:space="preserve"> The report's exemplary-damages caveat ($4.8M) conflicts with the complaint ($9.6M).</w:t>
      </w:r>
    </w:p>
    <w:p>
      <w:pPr>
        <w:pStyle w:val="Heading1"/>
      </w:pPr>
      <w:r>
        <w:t>6. Evidentiary Assessment and Record Discrepancies</w:t>
      </w:r>
    </w:p>
    <w:p>
      <w:pPr>
        <w:pStyle w:val="Heading2"/>
      </w:pPr>
      <w:r>
        <w:t>6.1 Most damaging Greenleaf documents</w:t>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D9E2F3"/>
          </w:tcPr>
          <w:p>
            <w:r/>
            <w:r>
              <w:rPr>
                <w:b/>
                <w:sz w:val="19"/>
              </w:rPr>
              <w:t>Document</w:t>
            </w:r>
          </w:p>
        </w:tc>
        <w:tc>
          <w:tcPr>
            <w:tcW w:type="dxa" w:w="3312"/>
            <w:shd w:val="clear" w:color="auto" w:fill="D9E2F3"/>
          </w:tcPr>
          <w:p>
            <w:r/>
            <w:r>
              <w:rPr>
                <w:b/>
                <w:sz w:val="19"/>
              </w:rPr>
              <w:t>Harm</w:t>
            </w:r>
          </w:p>
        </w:tc>
        <w:tc>
          <w:tcPr>
            <w:tcW w:type="dxa" w:w="3744"/>
            <w:shd w:val="clear" w:color="auto" w:fill="D9E2F3"/>
          </w:tcPr>
          <w:p>
            <w:r/>
            <w:r>
              <w:rPr>
                <w:b/>
                <w:sz w:val="19"/>
              </w:rPr>
              <w:t>Privilege status (preliminary)</w:t>
            </w:r>
          </w:p>
        </w:tc>
      </w:tr>
      <w:tr>
        <w:tc>
          <w:tcPr>
            <w:tcW w:type="dxa" w:w="2304"/>
          </w:tcPr>
          <w:p>
            <w:r/>
            <w:r>
              <w:rPr>
                <w:sz w:val="19"/>
              </w:rPr>
              <w:t>Ellison → Hyun-Park, Aug. 10, 2023</w:t>
            </w:r>
          </w:p>
        </w:tc>
        <w:tc>
          <w:tcPr>
            <w:tcW w:type="dxa" w:w="3312"/>
          </w:tcPr>
          <w:p>
            <w:r/>
            <w:r>
              <w:rPr>
                <w:sz w:val="19"/>
              </w:rPr>
              <w:t>'Whole playbook'; 'plug and play Cascade's network'; 'keep it quiet.'</w:t>
            </w:r>
          </w:p>
        </w:tc>
        <w:tc>
          <w:tcPr>
            <w:tcW w:type="dxa" w:w="3744"/>
          </w:tcPr>
          <w:p>
            <w:r/>
            <w:r>
              <w:rPr>
                <w:sz w:val="19"/>
              </w:rPr>
              <w:t>Arguable. It asks the GC to 'look into any contract issues' (a request for legal advice), but much of the content is business narrative. Under the Ninth Circuit's 'primary purpose' test (In re Grand Jury, 2021), it is contestable. There is also crime-fraud risk if Cascade makes a prima facie showing that the hire was planned to obtain trade secrets.</w:t>
            </w:r>
          </w:p>
        </w:tc>
      </w:tr>
      <w:tr>
        <w:tc>
          <w:tcPr>
            <w:tcW w:type="dxa" w:w="2304"/>
          </w:tcPr>
          <w:p>
            <w:r/>
            <w:r>
              <w:rPr>
                <w:sz w:val="19"/>
              </w:rPr>
              <w:t>Hyun-Park → Ellison, Sept. 5, 2023</w:t>
            </w:r>
          </w:p>
        </w:tc>
        <w:tc>
          <w:tcPr>
            <w:tcW w:type="dxa" w:w="3312"/>
          </w:tcPr>
          <w:p>
            <w:r/>
            <w:r>
              <w:rPr>
                <w:sz w:val="19"/>
              </w:rPr>
              <w:t>Shows the GC understood the 12-month and fee requirements and that the cause theory was 'risky' with waiver exposure.</w:t>
            </w:r>
          </w:p>
        </w:tc>
        <w:tc>
          <w:tcPr>
            <w:tcW w:type="dxa" w:w="3744"/>
          </w:tcPr>
          <w:p>
            <w:r/>
            <w:r>
              <w:rPr>
                <w:sz w:val="19"/>
              </w:rPr>
              <w:t>Strong privilege claim (legal advice). It will be waived if Greenleaf relies on good faith or advice of counsel to rebut 'willful misconduct.'</w:t>
            </w:r>
          </w:p>
        </w:tc>
      </w:tr>
      <w:tr>
        <w:tc>
          <w:tcPr>
            <w:tcW w:type="dxa" w:w="2304"/>
          </w:tcPr>
          <w:p>
            <w:r/>
            <w:r>
              <w:rPr>
                <w:sz w:val="19"/>
              </w:rPr>
              <w:t>Ellison → Hyun-Park, Sept. 7, 2023</w:t>
            </w:r>
          </w:p>
        </w:tc>
        <w:tc>
          <w:tcPr>
            <w:tcW w:type="dxa" w:w="3312"/>
          </w:tcPr>
          <w:p>
            <w:r/>
            <w:r>
              <w:rPr>
                <w:sz w:val="19"/>
              </w:rPr>
              <w:t>'I don't want to pay the termination fee — we'll fight about it'; 'capturing their margin.'</w:t>
            </w:r>
          </w:p>
        </w:tc>
        <w:tc>
          <w:tcPr>
            <w:tcW w:type="dxa" w:w="3744"/>
          </w:tcPr>
          <w:p>
            <w:r/>
            <w:r>
              <w:rPr>
                <w:sz w:val="19"/>
              </w:rPr>
              <w:t>Moderate. It responds to legal advice and directs counsel to draft, but it is largely a business decision. Same at-issue waiver and crime-fraud risks.</w:t>
            </w:r>
          </w:p>
        </w:tc>
      </w:tr>
      <w:tr>
        <w:tc>
          <w:tcPr>
            <w:tcW w:type="dxa" w:w="2304"/>
          </w:tcPr>
          <w:p>
            <w:r/>
            <w:r>
              <w:rPr>
                <w:sz w:val="19"/>
              </w:rPr>
              <w:t>Jantzen → Ellison, Oct. 20, 2023</w:t>
            </w:r>
          </w:p>
        </w:tc>
        <w:tc>
          <w:tcPr>
            <w:tcW w:type="dxa" w:w="3312"/>
          </w:tcPr>
          <w:p>
            <w:r/>
            <w:r>
              <w:rPr>
                <w:sz w:val="19"/>
              </w:rPr>
              <w:t>Pre-hire Greenleaf work; a false denial.</w:t>
            </w:r>
          </w:p>
        </w:tc>
        <w:tc>
          <w:tcPr>
            <w:tcW w:type="dxa" w:w="3744"/>
          </w:tcPr>
          <w:p>
            <w:r/>
            <w:r>
              <w:rPr>
                <w:sz w:val="19"/>
              </w:rPr>
              <w:t>Not privileged. Must be produced.</w:t>
            </w:r>
          </w:p>
        </w:tc>
      </w:tr>
      <w:tr>
        <w:tc>
          <w:tcPr>
            <w:tcW w:type="dxa" w:w="2304"/>
          </w:tcPr>
          <w:p>
            <w:r/>
            <w:r>
              <w:rPr>
                <w:sz w:val="19"/>
              </w:rPr>
              <w:t>Brennan → Ellison, Nov. 15, 2023</w:t>
            </w:r>
          </w:p>
        </w:tc>
        <w:tc>
          <w:tcPr>
            <w:tcW w:type="dxa" w:w="3312"/>
          </w:tcPr>
          <w:p>
            <w:r/>
            <w:r>
              <w:rPr>
                <w:sz w:val="19"/>
              </w:rPr>
              <w:t>'Identical' pricing tiers; 'almost too smooth.'</w:t>
            </w:r>
          </w:p>
        </w:tc>
        <w:tc>
          <w:tcPr>
            <w:tcW w:type="dxa" w:w="3744"/>
          </w:tcPr>
          <w:p>
            <w:r/>
            <w:r>
              <w:rPr>
                <w:sz w:val="19"/>
              </w:rPr>
              <w:t>Not privileged (no lawyer; business communication). Must be produced.</w:t>
            </w:r>
          </w:p>
        </w:tc>
      </w:tr>
      <w:tr>
        <w:tc>
          <w:tcPr>
            <w:tcW w:type="dxa" w:w="2304"/>
          </w:tcPr>
          <w:p>
            <w:r/>
            <w:r>
              <w:rPr>
                <w:sz w:val="19"/>
              </w:rPr>
              <w:t>Ellison → Brennan, Nov. 18, 2023</w:t>
            </w:r>
          </w:p>
        </w:tc>
        <w:tc>
          <w:tcPr>
            <w:tcW w:type="dxa" w:w="3312"/>
          </w:tcPr>
          <w:p>
            <w:r/>
            <w:r>
              <w:rPr>
                <w:sz w:val="19"/>
              </w:rPr>
              <w:t>'Don't put stuff like that in email.'</w:t>
            </w:r>
          </w:p>
        </w:tc>
        <w:tc>
          <w:tcPr>
            <w:tcW w:type="dxa" w:w="3744"/>
          </w:tcPr>
          <w:p>
            <w:r/>
            <w:r>
              <w:rPr>
                <w:sz w:val="19"/>
              </w:rPr>
              <w:t>Not privileged. Must be produced.</w:t>
            </w:r>
          </w:p>
        </w:tc>
      </w:tr>
    </w:tbl>
    <w:p/>
    <w:p>
      <w:pPr>
        <w:spacing w:after="120"/>
      </w:pPr>
      <w:r>
        <w:t>Forwarding these emails to outside counsel with a 'Privileged &amp; Confidential' banner does not make pre-existing business communications privileged. Federal privilege law (FRE 501) governs, because the case includes a federal claim and the state claims are supplemental.</w:t>
      </w:r>
    </w:p>
    <w:p>
      <w:pPr>
        <w:spacing w:after="120"/>
      </w:pPr>
      <w:r>
        <w:rPr>
          <w:b/>
        </w:rPr>
        <w:t xml:space="preserve">A notable signal: </w:t>
      </w:r>
      <w:r/>
    </w:p>
    <w:p>
      <w:pPr>
        <w:spacing w:after="120"/>
      </w:pPr>
      <w:r>
        <w:t>Complaint ¶¶32–34 and ¶67 describe the Aug. 10, Sept. 5, Sept. 7, and Nov. 15 emails 'on information and belief,' with near-verbatim quotations, before any discovery. Cascade appears to have a source inside Greenleaf, or the emails have already been disclosed. We need to find out, discreetly and lawfully, how Cascade learned their contents. Possibilities include a current or former employee (Brennan raised the concern internally and was told not to write it down), a forwarded message, or a device. This bears on FRE 502 and clawback, and on how we handle whistleblower-protected employees. We must not retaliate against, or appear to retaliate against, any employee.</w:t>
      </w:r>
    </w:p>
    <w:p>
      <w:pPr>
        <w:spacing w:after="120"/>
      </w:pPr>
      <w:r>
        <w:t>Where the complaint mischaracterizes the record, this helps us: ¶33 suggests Greenleaf tried to 'characterize the termination as cause-based.' In fact Ellison rejected that approach and the letter invoked §9.2. This is a minor point, and correcting it would require disclosing privileged material.</w:t>
      </w:r>
    </w:p>
    <w:p>
      <w:pPr>
        <w:pStyle w:val="Heading2"/>
      </w:pPr>
      <w:r>
        <w:t>6.2 Cascade's evidence — strengths and gaps</w:t>
      </w:r>
    </w:p>
    <w:p>
      <w:pPr>
        <w:pStyle w:val="ListBullet"/>
      </w:pPr>
      <w:r>
        <w:rPr>
          <w:b/>
        </w:rPr>
        <w:t>Strengths:</w:t>
      </w:r>
      <w:r>
        <w:t xml:space="preserve"> The forensic chain is solid: FTK image, SHA-256 verification, Exchange message ID and tracking number, and SMTP delivery logs.</w:t>
      </w:r>
    </w:p>
    <w:p>
      <w:pPr>
        <w:pStyle w:val="ListBullet"/>
      </w:pPr>
      <w:r>
        <w:rPr>
          <w:b/>
        </w:rPr>
        <w:t>Gaps:</w:t>
      </w:r>
      <w:r>
        <w:t xml:space="preserve"> No direct evidence yet that the files reached Greenleaf. The 'retail buyers reported identical tiers' allegation (¶66) is hearsay until those buyers are identified. The dates for the laptop return and review conflict (complaint ¶64 vs. forensic memo §1). The October 14 metadata change is unexplained. The trade secret damages have no causal link to use.</w:t>
      </w:r>
    </w:p>
    <w:p>
      <w:pPr>
        <w:pStyle w:val="Heading2"/>
      </w:pPr>
      <w:r>
        <w:t>6.3 Other record discrepancies to note</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D9E2F3"/>
          </w:tcPr>
          <w:p>
            <w:r/>
            <w:r>
              <w:rPr>
                <w:b/>
                <w:sz w:val="19"/>
              </w:rPr>
              <w:t>Issue</w:t>
            </w:r>
          </w:p>
        </w:tc>
        <w:tc>
          <w:tcPr>
            <w:tcW w:type="dxa" w:w="3168"/>
            <w:shd w:val="clear" w:color="auto" w:fill="D9E2F3"/>
          </w:tcPr>
          <w:p>
            <w:r/>
            <w:r>
              <w:rPr>
                <w:b/>
                <w:sz w:val="19"/>
              </w:rPr>
              <w:t>Documents</w:t>
            </w:r>
          </w:p>
        </w:tc>
        <w:tc>
          <w:tcPr>
            <w:tcW w:type="dxa" w:w="3312"/>
            <w:shd w:val="clear" w:color="auto" w:fill="D9E2F3"/>
          </w:tcPr>
          <w:p>
            <w:r/>
            <w:r>
              <w:rPr>
                <w:b/>
                <w:sz w:val="19"/>
              </w:rPr>
              <w:t>Significance</w:t>
            </w:r>
          </w:p>
        </w:tc>
      </w:tr>
      <w:tr>
        <w:tc>
          <w:tcPr>
            <w:tcW w:type="dxa" w:w="2880"/>
          </w:tcPr>
          <w:p>
            <w:r/>
            <w:r>
              <w:rPr>
                <w:sz w:val="19"/>
              </w:rPr>
              <w:t>Exclusivity cited as '§4.1'</w:t>
            </w:r>
          </w:p>
        </w:tc>
        <w:tc>
          <w:tcPr>
            <w:tcW w:type="dxa" w:w="3168"/>
          </w:tcPr>
          <w:p>
            <w:r/>
            <w:r>
              <w:rPr>
                <w:sz w:val="19"/>
              </w:rPr>
              <w:t>Compl. ¶18 vs. Agmt. §§2.1–2.2</w:t>
            </w:r>
          </w:p>
        </w:tc>
        <w:tc>
          <w:tcPr>
            <w:tcW w:type="dxa" w:w="3312"/>
          </w:tcPr>
          <w:p>
            <w:r/>
            <w:r>
              <w:rPr>
                <w:sz w:val="19"/>
              </w:rPr>
              <w:t>Drafting error; §4.1 covers Cascade's distribution services.</w:t>
            </w:r>
          </w:p>
        </w:tc>
      </w:tr>
      <w:tr>
        <w:tc>
          <w:tcPr>
            <w:tcW w:type="dxa" w:w="2880"/>
          </w:tcPr>
          <w:p>
            <w:r/>
            <w:r>
              <w:rPr>
                <w:sz w:val="19"/>
              </w:rPr>
              <w:t>Return/destroy cited as '§12.4'</w:t>
            </w:r>
          </w:p>
        </w:tc>
        <w:tc>
          <w:tcPr>
            <w:tcW w:type="dxa" w:w="3168"/>
          </w:tcPr>
          <w:p>
            <w:r/>
            <w:r>
              <w:rPr>
                <w:sz w:val="19"/>
              </w:rPr>
              <w:t>Compl. ¶¶24, 87(f) vs. Agmt. §12.2</w:t>
            </w:r>
          </w:p>
        </w:tc>
        <w:tc>
          <w:tcPr>
            <w:tcW w:type="dxa" w:w="3312"/>
          </w:tcPr>
          <w:p>
            <w:r/>
            <w:r>
              <w:rPr>
                <w:sz w:val="19"/>
              </w:rPr>
              <w:t>Drafting error. Note that §12.2 also permits an archival copy.</w:t>
            </w:r>
          </w:p>
        </w:tc>
      </w:tr>
      <w:tr>
        <w:tc>
          <w:tcPr>
            <w:tcW w:type="dxa" w:w="2880"/>
          </w:tcPr>
          <w:p>
            <w:r/>
            <w:r>
              <w:rPr>
                <w:sz w:val="19"/>
              </w:rPr>
              <w:t>§11.3 quoted inaccurately</w:t>
            </w:r>
          </w:p>
        </w:tc>
        <w:tc>
          <w:tcPr>
            <w:tcW w:type="dxa" w:w="3168"/>
          </w:tcPr>
          <w:p>
            <w:r/>
            <w:r>
              <w:rPr>
                <w:sz w:val="19"/>
              </w:rPr>
              <w:t>Compl. ¶23 vs. Agmt. §§11.2–11.3</w:t>
            </w:r>
          </w:p>
        </w:tc>
        <w:tc>
          <w:tcPr>
            <w:tcW w:type="dxa" w:w="3312"/>
          </w:tcPr>
          <w:p>
            <w:r/>
            <w:r>
              <w:rPr>
                <w:sz w:val="19"/>
              </w:rPr>
              <w:t>The actual clause is broader (hire/engage; 'regardless of who initiates').</w:t>
            </w:r>
          </w:p>
        </w:tc>
      </w:tr>
      <w:tr>
        <w:tc>
          <w:tcPr>
            <w:tcW w:type="dxa" w:w="2880"/>
          </w:tcPr>
          <w:p>
            <w:r/>
            <w:r>
              <w:rPr>
                <w:sz w:val="19"/>
              </w:rPr>
              <w:t>Notice provision cited as '§16.1'; Territory cited as 'Exhibit A'</w:t>
            </w:r>
          </w:p>
        </w:tc>
        <w:tc>
          <w:tcPr>
            <w:tcW w:type="dxa" w:w="3168"/>
          </w:tcPr>
          <w:p>
            <w:r/>
            <w:r>
              <w:rPr>
                <w:sz w:val="19"/>
              </w:rPr>
              <w:t>Rejection letter vs. Agmt. §17.6 / Exhibit B</w:t>
            </w:r>
          </w:p>
        </w:tc>
        <w:tc>
          <w:tcPr>
            <w:tcW w:type="dxa" w:w="3312"/>
          </w:tcPr>
          <w:p>
            <w:r/>
            <w:r>
              <w:rPr>
                <w:sz w:val="19"/>
              </w:rPr>
              <w:t>Sloppiness by Cascade's counsel; no substantive effect.</w:t>
            </w:r>
          </w:p>
        </w:tc>
      </w:tr>
      <w:tr>
        <w:tc>
          <w:tcPr>
            <w:tcW w:type="dxa" w:w="2880"/>
          </w:tcPr>
          <w:p>
            <w:r/>
            <w:r>
              <w:rPr>
                <w:sz w:val="19"/>
              </w:rPr>
              <w:t>Governing law cited as '§15.3'</w:t>
            </w:r>
          </w:p>
        </w:tc>
        <w:tc>
          <w:tcPr>
            <w:tcW w:type="dxa" w:w="3168"/>
          </w:tcPr>
          <w:p>
            <w:r/>
            <w:r>
              <w:rPr>
                <w:sz w:val="19"/>
              </w:rPr>
              <w:t>Compl. ¶27 vs. Agmt. §17.1</w:t>
            </w:r>
          </w:p>
        </w:tc>
        <w:tc>
          <w:tcPr>
            <w:tcW w:type="dxa" w:w="3312"/>
          </w:tcPr>
          <w:p>
            <w:r/>
            <w:r>
              <w:rPr>
                <w:sz w:val="19"/>
              </w:rPr>
              <w:t>Drafting error.</w:t>
            </w:r>
          </w:p>
        </w:tc>
      </w:tr>
      <w:tr>
        <w:tc>
          <w:tcPr>
            <w:tcW w:type="dxa" w:w="2880"/>
          </w:tcPr>
          <w:p>
            <w:r/>
            <w:r>
              <w:rPr>
                <w:sz w:val="19"/>
              </w:rPr>
              <w:t>Jantzen 'led' the direct team on Oct. 2 but was hired Nov. 1</w:t>
            </w:r>
          </w:p>
        </w:tc>
        <w:tc>
          <w:tcPr>
            <w:tcW w:type="dxa" w:w="3168"/>
          </w:tcPr>
          <w:p>
            <w:r/>
            <w:r>
              <w:rPr>
                <w:sz w:val="19"/>
              </w:rPr>
              <w:t>Compl. ¶44</w:t>
            </w:r>
          </w:p>
        </w:tc>
        <w:tc>
          <w:tcPr>
            <w:tcW w:type="dxa" w:w="3312"/>
          </w:tcPr>
          <w:p>
            <w:r/>
            <w:r>
              <w:rPr>
                <w:sz w:val="19"/>
              </w:rPr>
              <w:t>Looks inconsistent, but our own Oct. 20 email corroborates pre-hire work. Do not highlight this.</w:t>
            </w:r>
          </w:p>
        </w:tc>
      </w:tr>
      <w:tr>
        <w:tc>
          <w:tcPr>
            <w:tcW w:type="dxa" w:w="2880"/>
          </w:tcPr>
          <w:p>
            <w:r/>
            <w:r>
              <w:rPr>
                <w:sz w:val="19"/>
              </w:rPr>
              <w:t>Year 2 remedy 'never pursued'</w:t>
            </w:r>
          </w:p>
        </w:tc>
        <w:tc>
          <w:tcPr>
            <w:tcW w:type="dxa" w:w="3168"/>
          </w:tcPr>
          <w:p>
            <w:r/>
            <w:r>
              <w:rPr>
                <w:sz w:val="19"/>
              </w:rPr>
              <w:t>Compl. ¶20 vs. Hyun-Park 9/5/23</w:t>
            </w:r>
          </w:p>
        </w:tc>
        <w:tc>
          <w:tcPr>
            <w:tcW w:type="dxa" w:w="3312"/>
          </w:tcPr>
          <w:p>
            <w:r/>
            <w:r>
              <w:rPr>
                <w:sz w:val="19"/>
              </w:rPr>
              <w:t>Greenleaf did send an April 5, 2021 breach notice. Useful against the waiver narrative (§17.4).</w:t>
            </w:r>
          </w:p>
        </w:tc>
      </w:tr>
      <w:tr>
        <w:tc>
          <w:tcPr>
            <w:tcW w:type="dxa" w:w="2880"/>
          </w:tcPr>
          <w:p>
            <w:r/>
            <w:r>
              <w:rPr>
                <w:sz w:val="19"/>
              </w:rPr>
              <w:t>Expo name</w:t>
            </w:r>
          </w:p>
        </w:tc>
        <w:tc>
          <w:tcPr>
            <w:tcW w:type="dxa" w:w="3168"/>
          </w:tcPr>
          <w:p>
            <w:r/>
            <w:r>
              <w:rPr>
                <w:sz w:val="19"/>
              </w:rPr>
              <w:t>Compl. ('Pacific Northwest Natural Products Expo') vs. Ellison ('NW Natural Foods Expo')</w:t>
            </w:r>
          </w:p>
        </w:tc>
        <w:tc>
          <w:tcPr>
            <w:tcW w:type="dxa" w:w="3312"/>
          </w:tcPr>
          <w:p>
            <w:r/>
            <w:r>
              <w:rPr>
                <w:sz w:val="19"/>
              </w:rPr>
              <w:t>Immaterial.</w:t>
            </w:r>
          </w:p>
        </w:tc>
      </w:tr>
      <w:tr>
        <w:tc>
          <w:tcPr>
            <w:tcW w:type="dxa" w:w="2880"/>
          </w:tcPr>
          <w:p>
            <w:r/>
            <w:r>
              <w:rPr>
                <w:sz w:val="19"/>
              </w:rPr>
              <w:t>Thorngate &amp; Voss address</w:t>
            </w:r>
          </w:p>
        </w:tc>
        <w:tc>
          <w:tcPr>
            <w:tcW w:type="dxa" w:w="3168"/>
          </w:tcPr>
          <w:p>
            <w:r/>
            <w:r>
              <w:rPr>
                <w:sz w:val="19"/>
              </w:rPr>
              <w:t>Rejection letter (Seattle, 1400 Second Ave.) vs. complaint (900 SW Fifth Ave., Ste. 2400, Portland, which is also Ridgeline Winters' address in the rejection letter)</w:t>
            </w:r>
          </w:p>
        </w:tc>
        <w:tc>
          <w:tcPr>
            <w:tcW w:type="dxa" w:w="3312"/>
          </w:tcPr>
          <w:p>
            <w:r/>
            <w:r>
              <w:rPr>
                <w:sz w:val="19"/>
              </w:rPr>
              <w:t>Confirm the correct service and notice addresses for Cascade's counsel.</w:t>
            </w:r>
          </w:p>
        </w:tc>
      </w:tr>
      <w:tr>
        <w:tc>
          <w:tcPr>
            <w:tcW w:type="dxa" w:w="2880"/>
          </w:tcPr>
          <w:p>
            <w:r/>
            <w:r>
              <w:rPr>
                <w:sz w:val="19"/>
              </w:rPr>
              <w:t>Bridger report reviewed a complaint filed after the report's date</w:t>
            </w:r>
          </w:p>
        </w:tc>
        <w:tc>
          <w:tcPr>
            <w:tcW w:type="dxa" w:w="3168"/>
          </w:tcPr>
          <w:p>
            <w:r/>
            <w:r>
              <w:rPr>
                <w:sz w:val="19"/>
              </w:rPr>
              <w:t>Bridger §I(ix)</w:t>
            </w:r>
          </w:p>
        </w:tc>
        <w:tc>
          <w:tcPr>
            <w:tcW w:type="dxa" w:w="3312"/>
          </w:tcPr>
          <w:p>
            <w:r/>
            <w:r>
              <w:rPr>
                <w:sz w:val="19"/>
              </w:rPr>
              <w:t>Impeachment (see §5).</w:t>
            </w:r>
          </w:p>
        </w:tc>
      </w:tr>
    </w:tbl>
    <w:p/>
    <w:p>
      <w:pPr>
        <w:pStyle w:val="Heading2"/>
      </w:pPr>
      <w:r>
        <w:t>6.4 Unknowns that could change the assessment</w:t>
      </w:r>
    </w:p>
    <w:p>
      <w:pPr>
        <w:pStyle w:val="ListBullet"/>
      </w:pPr>
      <w:r>
        <w:t xml:space="preserve"> What Ellison meant by 'invite more scrutiny into our own performance.' Possible exposure includes the §2.4(b) 5% e-commerce cap, direct sales in the Territory, supply failures (§7.1), price increases (§6.1), new-product notice (§7.4), and volume-discount credits (§6.3). Interview Ellison and pull the data before we assert any counterclaim.</w:t>
      </w:r>
    </w:p>
    <w:p>
      <w:pPr>
        <w:pStyle w:val="ListBullet"/>
      </w:pPr>
      <w:r>
        <w:t xml:space="preserve"> Whether any Cascade file, or anything derived from one, exists on Greenleaf systems or on Jantzen's devices, Gmail, or cloud accounts.</w:t>
      </w:r>
    </w:p>
    <w:p>
      <w:pPr>
        <w:pStyle w:val="ListBullet"/>
      </w:pPr>
      <w:r>
        <w:t xml:space="preserve"> The content of the ~six Ellison–Jantzen communications (Aug.–Nov. 2023) and the channels used (text, personal phone).</w:t>
      </w:r>
    </w:p>
    <w:p>
      <w:pPr>
        <w:pStyle w:val="ListBullet"/>
      </w:pPr>
      <w:r>
        <w:t xml:space="preserve"> The Cascade–Jantzen separation agreement (Oct. 28, 2023). We have not seen it; it may contain certifications Jantzen signed falsely (Emp. Agmt. §11.3 exit certification).</w:t>
      </w:r>
    </w:p>
    <w:p>
      <w:pPr>
        <w:pStyle w:val="ListBullet"/>
      </w:pPr>
      <w:r>
        <w:t xml:space="preserve"> Jantzen's Greenleaf offer letter and any indemnity promised to him. When his Greenleaf email account was created. What Greenleaf's direct-distribution P&amp;L shows (this goes to unjust enrichment).</w:t>
      </w:r>
    </w:p>
    <w:p>
      <w:pPr>
        <w:pStyle w:val="ListBullet"/>
      </w:pPr>
      <w:r>
        <w:t xml:space="preserve"> Whether Greenleaf has insurance (D&amp;O, CGL 'advertising injury' is unlikely to respond, or specialty IP coverage). Give notice promptly.</w:t>
      </w:r>
    </w:p>
    <w:p>
      <w:pPr>
        <w:pStyle w:val="Heading1"/>
      </w:pPr>
      <w:r>
        <w:t>7. Privilege, Preservation, and Professional Responsibility</w:t>
      </w:r>
    </w:p>
    <w:p>
      <w:pPr>
        <w:pStyle w:val="ListBullet"/>
      </w:pPr>
      <w:r>
        <w:rPr>
          <w:b/>
        </w:rPr>
        <w:t>Preservation:</w:t>
      </w:r>
      <w:r>
        <w:t xml:space="preserve"> The hold was not implemented until January 2024, about two months after Brennan's red flag and Cascade's November 20 demand. Expand it immediately to cover Ellison, Hyun-Park, Brennan, Jantzen, and the entire direct-distribution team; personal devices and text/messaging apps used for business; Jantzen's personal Gmail (tyler.jantzen.personal@gmail.com) and any cloud accounts; and pricing-model development files with native metadata. Any loss of the Gmail copy of the October 15 files, or of the pricing model's version history, risks FRCP 37(e) sanctions, including an adverse-inference instruction. Given the Nov. 18 'talk to me in person' email, the court will look closely at any gaps.</w:t>
      </w:r>
    </w:p>
    <w:p>
      <w:pPr>
        <w:pStyle w:val="ListBullet"/>
      </w:pPr>
      <w:r>
        <w:rPr>
          <w:b/>
        </w:rPr>
        <w:t>GC as witness:</w:t>
      </w:r>
      <w:r>
        <w:t xml:space="preserve"> Mr. Hyun-Park is a percipient witness. He wrote the termination letter, gave the Sept. 5 advice, and received the Aug. 10 email. He should not direct the litigation or be the client's decision-maker on strategy. Designate another officer or a board committee. Consider whether the Ridgeline Winters attorney who received Cascade's Sept. 15, 2023 letter has any witness exposure (likely minimal).</w:t>
      </w:r>
    </w:p>
    <w:p>
      <w:pPr>
        <w:pStyle w:val="ListBullet"/>
      </w:pPr>
      <w:r>
        <w:rPr>
          <w:b/>
        </w:rPr>
        <w:t>Separate counsel for Jantzen:</w:t>
      </w:r>
      <w:r>
        <w:t xml:space="preserve"> Jantzen's interests diverge from Greenleaf's. He faces individual liability (under the DTSA and OUTSA, and on his employment agreement in King County), and his Oct. 20 statement is contradicted by the evidence. Greenleaf may want to argue that he acted outside the scope of his authority. Recommend separate counsel (Greenleaf may advance fees subject to an undertaking) and a joint-defense/common-interest agreement if appropriate. Do not interview him about the files without Upjohn warnings, and preferably only after he has his own counsel.</w:t>
      </w:r>
    </w:p>
    <w:p>
      <w:pPr>
        <w:pStyle w:val="ListBullet"/>
      </w:pPr>
      <w:r>
        <w:rPr>
          <w:b/>
        </w:rPr>
        <w:t>Candor:</w:t>
      </w:r>
      <w:r>
        <w:t xml:space="preserve"> We cannot present or rely on Jantzen's 'I didn't bring any files' account as a defense given the forensic evidence (RPC 3.3, 3.4, 4.1). Discovery responses must be complete, and the three non-privileged emails must be produced.</w:t>
      </w:r>
    </w:p>
    <w:p>
      <w:pPr>
        <w:pStyle w:val="ListBullet"/>
      </w:pPr>
      <w:r>
        <w:rPr>
          <w:b/>
        </w:rPr>
        <w:t>At-issue waiver:</w:t>
      </w:r>
      <w:r>
        <w:t xml:space="preserve"> Asserting a good-faith or advice-of-counsel defense to 'willful misconduct' would likely waive privilege over the Sept. 5 and Sept. 7 emails and related communications. Decide deliberately, and early, whether that trade is worth making. Our preliminary recommendation is not to assert it.</w:t>
      </w:r>
    </w:p>
    <w:p>
      <w:pPr>
        <w:pStyle w:val="ListBullet"/>
      </w:pPr>
      <w:r>
        <w:rPr>
          <w:b/>
        </w:rPr>
        <w:t>Privilege log / 502(d):</w:t>
      </w:r>
      <w:r>
        <w:t xml:space="preserve"> Prepare a privilege log that addresses the primary-purpose test for each entry. Negotiate a FRE 502(d) order in the protective order.</w:t>
      </w:r>
    </w:p>
    <w:p>
      <w:pPr>
        <w:pStyle w:val="Heading1"/>
      </w:pPr>
      <w:r>
        <w:t>8. Exposure Analysis (Preliminary)</w:t>
      </w:r>
    </w:p>
    <w:p>
      <w:pPr>
        <w:spacing w:after="120"/>
      </w:pPr>
      <w:r>
        <w:t>The ranges below are preliminary judgments to support strategy and reserve-setting. They are not predictions, and they will change with discovery. They exclude Greenleaf's own defense costs.</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color="auto" w:fill="D9E2F3"/>
          </w:tcPr>
          <w:p>
            <w:r/>
            <w:r>
              <w:rPr>
                <w:b/>
                <w:sz w:val="19"/>
              </w:rPr>
              <w:t>Component</w:t>
            </w:r>
          </w:p>
        </w:tc>
        <w:tc>
          <w:tcPr>
            <w:tcW w:type="dxa" w:w="2304"/>
            <w:shd w:val="clear" w:color="auto" w:fill="D9E2F3"/>
          </w:tcPr>
          <w:p>
            <w:r/>
            <w:r>
              <w:rPr>
                <w:b/>
                <w:sz w:val="19"/>
              </w:rPr>
              <w:t>Favorable to Greenleaf</w:t>
            </w:r>
          </w:p>
        </w:tc>
        <w:tc>
          <w:tcPr>
            <w:tcW w:type="dxa" w:w="2160"/>
            <w:shd w:val="clear" w:color="auto" w:fill="D9E2F3"/>
          </w:tcPr>
          <w:p>
            <w:r/>
            <w:r>
              <w:rPr>
                <w:b/>
                <w:sz w:val="19"/>
              </w:rPr>
              <w:t>Middle case</w:t>
            </w:r>
          </w:p>
        </w:tc>
        <w:tc>
          <w:tcPr>
            <w:tcW w:type="dxa" w:w="2304"/>
            <w:shd w:val="clear" w:color="auto" w:fill="D9E2F3"/>
          </w:tcPr>
          <w:p>
            <w:r/>
            <w:r>
              <w:rPr>
                <w:b/>
                <w:sz w:val="19"/>
              </w:rPr>
              <w:t>Adverse to Greenleaf</w:t>
            </w:r>
          </w:p>
        </w:tc>
      </w:tr>
      <w:tr>
        <w:tc>
          <w:tcPr>
            <w:tcW w:type="dxa" w:w="2592"/>
          </w:tcPr>
          <w:p>
            <w:r/>
            <w:r>
              <w:rPr>
                <w:sz w:val="19"/>
              </w:rPr>
              <w:t>Contract: lost profits</w:t>
            </w:r>
          </w:p>
        </w:tc>
        <w:tc>
          <w:tcPr>
            <w:tcW w:type="dxa" w:w="2304"/>
          </w:tcPr>
          <w:p>
            <w:r/>
            <w:r>
              <w:rPr>
                <w:sz w:val="19"/>
              </w:rPr>
              <w:t>$0–$3.2M (§16.2 applies, or damages end Mar. 14, 2024)</w:t>
            </w:r>
          </w:p>
        </w:tc>
        <w:tc>
          <w:tcPr>
            <w:tcW w:type="dxa" w:w="2160"/>
          </w:tcPr>
          <w:p>
            <w:r/>
            <w:r>
              <w:rPr>
                <w:sz w:val="19"/>
              </w:rPr>
              <w:t>~$7M–$9.4M (run-rate, less cost savings/mitigation)</w:t>
            </w:r>
          </w:p>
        </w:tc>
        <w:tc>
          <w:tcPr>
            <w:tcW w:type="dxa" w:w="2304"/>
          </w:tcPr>
          <w:p>
            <w:r/>
            <w:r>
              <w:rPr>
                <w:sz w:val="19"/>
              </w:rPr>
              <w:t>$10.5M (Bridger), or ~$12.1M on the fee + notice-margin alternative</w:t>
            </w:r>
          </w:p>
        </w:tc>
      </w:tr>
      <w:tr>
        <w:tc>
          <w:tcPr>
            <w:tcW w:type="dxa" w:w="2592"/>
          </w:tcPr>
          <w:p>
            <w:r/>
            <w:r>
              <w:rPr>
                <w:sz w:val="19"/>
              </w:rPr>
              <w:t>Termination fee</w:t>
            </w:r>
          </w:p>
        </w:tc>
        <w:tc>
          <w:tcPr>
            <w:tcW w:type="dxa" w:w="2304"/>
          </w:tcPr>
          <w:p>
            <w:r/>
            <w:r>
              <w:rPr>
                <w:sz w:val="19"/>
              </w:rPr>
              <w:t>$0 (void theory)</w:t>
            </w:r>
          </w:p>
        </w:tc>
        <w:tc>
          <w:tcPr>
            <w:tcW w:type="dxa" w:w="2160"/>
          </w:tcPr>
          <w:p>
            <w:r/>
            <w:r>
              <w:rPr>
                <w:sz w:val="19"/>
              </w:rPr>
              <w:t>$0 (subsumed)</w:t>
            </w:r>
          </w:p>
        </w:tc>
        <w:tc>
          <w:tcPr>
            <w:tcW w:type="dxa" w:w="2304"/>
          </w:tcPr>
          <w:p>
            <w:r/>
            <w:r>
              <w:rPr>
                <w:sz w:val="19"/>
              </w:rPr>
              <w:t>Included in the alternative above; stacking $5.37M on top is unlikely</w:t>
            </w:r>
          </w:p>
        </w:tc>
      </w:tr>
      <w:tr>
        <w:tc>
          <w:tcPr>
            <w:tcW w:type="dxa" w:w="2592"/>
          </w:tcPr>
          <w:p>
            <w:r/>
            <w:r>
              <w:rPr>
                <w:sz w:val="19"/>
              </w:rPr>
              <w:t>Infrastructure</w:t>
            </w:r>
          </w:p>
        </w:tc>
        <w:tc>
          <w:tcPr>
            <w:tcW w:type="dxa" w:w="2304"/>
          </w:tcPr>
          <w:p>
            <w:r/>
            <w:r>
              <w:rPr>
                <w:sz w:val="19"/>
              </w:rPr>
              <w:t>$0</w:t>
            </w:r>
          </w:p>
        </w:tc>
        <w:tc>
          <w:tcPr>
            <w:tcW w:type="dxa" w:w="2160"/>
          </w:tcPr>
          <w:p>
            <w:r/>
            <w:r>
              <w:rPr>
                <w:sz w:val="19"/>
              </w:rPr>
              <w:t>$0–$0.3M</w:t>
            </w:r>
          </w:p>
        </w:tc>
        <w:tc>
          <w:tcPr>
            <w:tcW w:type="dxa" w:w="2304"/>
          </w:tcPr>
          <w:p>
            <w:r/>
            <w:r>
              <w:rPr>
                <w:sz w:val="19"/>
              </w:rPr>
              <w:t>$1.85M</w:t>
            </w:r>
          </w:p>
        </w:tc>
      </w:tr>
      <w:tr>
        <w:tc>
          <w:tcPr>
            <w:tcW w:type="dxa" w:w="2592"/>
          </w:tcPr>
          <w:p>
            <w:r/>
            <w:r>
              <w:rPr>
                <w:sz w:val="19"/>
              </w:rPr>
              <w:t>Trade secrets (actual / unjust enrichment)</w:t>
            </w:r>
          </w:p>
        </w:tc>
        <w:tc>
          <w:tcPr>
            <w:tcW w:type="dxa" w:w="2304"/>
          </w:tcPr>
          <w:p>
            <w:r/>
            <w:r>
              <w:rPr>
                <w:sz w:val="19"/>
              </w:rPr>
              <w:t>$0 (no use proved)</w:t>
            </w:r>
          </w:p>
        </w:tc>
        <w:tc>
          <w:tcPr>
            <w:tcW w:type="dxa" w:w="2160"/>
          </w:tcPr>
          <w:p>
            <w:r/>
            <w:r>
              <w:rPr>
                <w:sz w:val="19"/>
              </w:rPr>
              <w:t>$0.5M–$2.0M</w:t>
            </w:r>
          </w:p>
        </w:tc>
        <w:tc>
          <w:tcPr>
            <w:tcW w:type="dxa" w:w="2304"/>
          </w:tcPr>
          <w:p>
            <w:r/>
            <w:r>
              <w:rPr>
                <w:sz w:val="19"/>
              </w:rPr>
              <w:t>$4.8M</w:t>
            </w:r>
          </w:p>
        </w:tc>
      </w:tr>
      <w:tr>
        <w:tc>
          <w:tcPr>
            <w:tcW w:type="dxa" w:w="2592"/>
          </w:tcPr>
          <w:p>
            <w:r/>
            <w:r>
              <w:rPr>
                <w:sz w:val="19"/>
              </w:rPr>
              <w:t>Exemplary (up to 2x)</w:t>
            </w:r>
          </w:p>
        </w:tc>
        <w:tc>
          <w:tcPr>
            <w:tcW w:type="dxa" w:w="2304"/>
          </w:tcPr>
          <w:p>
            <w:r/>
            <w:r>
              <w:rPr>
                <w:sz w:val="19"/>
              </w:rPr>
              <w:t>$0</w:t>
            </w:r>
          </w:p>
        </w:tc>
        <w:tc>
          <w:tcPr>
            <w:tcW w:type="dxa" w:w="2160"/>
          </w:tcPr>
          <w:p>
            <w:r/>
            <w:r>
              <w:rPr>
                <w:sz w:val="19"/>
              </w:rPr>
              <w:t>$0–$2M</w:t>
            </w:r>
          </w:p>
        </w:tc>
        <w:tc>
          <w:tcPr>
            <w:tcW w:type="dxa" w:w="2304"/>
          </w:tcPr>
          <w:p>
            <w:r/>
            <w:r>
              <w:rPr>
                <w:sz w:val="19"/>
              </w:rPr>
              <w:t>Up to $9.6M</w:t>
            </w:r>
          </w:p>
        </w:tc>
      </w:tr>
      <w:tr>
        <w:tc>
          <w:tcPr>
            <w:tcW w:type="dxa" w:w="2592"/>
          </w:tcPr>
          <w:p>
            <w:r/>
            <w:r>
              <w:rPr>
                <w:sz w:val="19"/>
              </w:rPr>
              <w:t>Punitive (tort)</w:t>
            </w:r>
          </w:p>
        </w:tc>
        <w:tc>
          <w:tcPr>
            <w:tcW w:type="dxa" w:w="2304"/>
          </w:tcPr>
          <w:p>
            <w:r/>
            <w:r>
              <w:rPr>
                <w:sz w:val="19"/>
              </w:rPr>
              <w:t>$0 (dismissed/displaced)</w:t>
            </w:r>
          </w:p>
        </w:tc>
        <w:tc>
          <w:tcPr>
            <w:tcW w:type="dxa" w:w="2160"/>
          </w:tcPr>
          <w:p>
            <w:r/>
            <w:r>
              <w:rPr>
                <w:sz w:val="19"/>
              </w:rPr>
              <w:t>$0</w:t>
            </w:r>
          </w:p>
        </w:tc>
        <w:tc>
          <w:tcPr>
            <w:tcW w:type="dxa" w:w="2304"/>
          </w:tcPr>
          <w:p>
            <w:r/>
            <w:r>
              <w:rPr>
                <w:sz w:val="19"/>
              </w:rPr>
              <w:t>Uncertain; jury-driven</w:t>
            </w:r>
          </w:p>
        </w:tc>
      </w:tr>
      <w:tr>
        <w:tc>
          <w:tcPr>
            <w:tcW w:type="dxa" w:w="2592"/>
          </w:tcPr>
          <w:p>
            <w:r/>
            <w:r>
              <w:rPr>
                <w:sz w:val="19"/>
              </w:rPr>
              <w:t>Cascade's attorney fees (§15.4; DTSA/OUTSA)</w:t>
            </w:r>
          </w:p>
        </w:tc>
        <w:tc>
          <w:tcPr>
            <w:tcW w:type="dxa" w:w="2304"/>
          </w:tcPr>
          <w:p>
            <w:r/>
            <w:r>
              <w:rPr>
                <w:sz w:val="19"/>
              </w:rPr>
              <w:t>$0 (if Greenleaf prevails on key issues)</w:t>
            </w:r>
          </w:p>
        </w:tc>
        <w:tc>
          <w:tcPr>
            <w:tcW w:type="dxa" w:w="2160"/>
          </w:tcPr>
          <w:p>
            <w:r/>
            <w:r>
              <w:rPr>
                <w:sz w:val="19"/>
              </w:rPr>
              <w:t>$1M–$2M</w:t>
            </w:r>
          </w:p>
        </w:tc>
        <w:tc>
          <w:tcPr>
            <w:tcW w:type="dxa" w:w="2304"/>
          </w:tcPr>
          <w:p>
            <w:r/>
            <w:r>
              <w:rPr>
                <w:sz w:val="19"/>
              </w:rPr>
              <w:t>$2.5M–$4M through trial</w:t>
            </w:r>
          </w:p>
        </w:tc>
      </w:tr>
      <w:tr>
        <w:tc>
          <w:tcPr>
            <w:tcW w:type="dxa" w:w="2592"/>
          </w:tcPr>
          <w:p>
            <w:r/>
            <w:r>
              <w:rPr>
                <w:sz w:val="19"/>
              </w:rPr>
              <w:t>Prejudgment interest (ORS 82.010, 9% on ascertainable sums)</w:t>
            </w:r>
          </w:p>
        </w:tc>
        <w:tc>
          <w:tcPr>
            <w:tcW w:type="dxa" w:w="2304"/>
          </w:tcPr>
          <w:p>
            <w:r/>
            <w:r>
              <w:rPr>
                <w:sz w:val="19"/>
              </w:rPr>
              <w:t>Minimal</w:t>
            </w:r>
          </w:p>
        </w:tc>
        <w:tc>
          <w:tcPr>
            <w:tcW w:type="dxa" w:w="2160"/>
          </w:tcPr>
          <w:p>
            <w:r/>
            <w:r>
              <w:rPr>
                <w:sz w:val="19"/>
              </w:rPr>
              <w:t>Modest</w:t>
            </w:r>
          </w:p>
        </w:tc>
        <w:tc>
          <w:tcPr>
            <w:tcW w:type="dxa" w:w="2304"/>
          </w:tcPr>
          <w:p>
            <w:r/>
            <w:r>
              <w:rPr>
                <w:sz w:val="19"/>
              </w:rPr>
              <w:t>Material on liquidated components</w:t>
            </w:r>
          </w:p>
        </w:tc>
      </w:tr>
      <w:tr>
        <w:tc>
          <w:tcPr>
            <w:tcW w:type="dxa" w:w="2592"/>
          </w:tcPr>
          <w:p>
            <w:r/>
            <w:r>
              <w:rPr>
                <w:sz w:val="19"/>
              </w:rPr>
              <w:t>Approximate total</w:t>
            </w:r>
          </w:p>
        </w:tc>
        <w:tc>
          <w:tcPr>
            <w:tcW w:type="dxa" w:w="2304"/>
          </w:tcPr>
          <w:p>
            <w:r/>
            <w:r>
              <w:rPr>
                <w:sz w:val="19"/>
              </w:rPr>
              <w:t>≈ $0–$4M</w:t>
            </w:r>
          </w:p>
        </w:tc>
        <w:tc>
          <w:tcPr>
            <w:tcW w:type="dxa" w:w="2160"/>
          </w:tcPr>
          <w:p>
            <w:r/>
            <w:r>
              <w:rPr>
                <w:sz w:val="19"/>
              </w:rPr>
              <w:t>≈ $9M–$15M</w:t>
            </w:r>
          </w:p>
        </w:tc>
        <w:tc>
          <w:tcPr>
            <w:tcW w:type="dxa" w:w="2304"/>
          </w:tcPr>
          <w:p>
            <w:r/>
            <w:r>
              <w:rPr>
                <w:sz w:val="19"/>
              </w:rPr>
              <w:t>≈ $25M–$35M+</w:t>
            </w:r>
          </w:p>
        </w:tc>
      </w:tr>
    </w:tbl>
    <w:p/>
    <w:p>
      <w:pPr>
        <w:spacing w:after="120"/>
      </w:pPr>
      <w:r>
        <w:t>Non-monetary exposure: an injunction affecting Greenleaf's direct-distribution pricing and, potentially, Jantzen's role (§11.5 and trade secret remedies). Reputational harm with retail partners. Depositions of the CEO about the 'don't put stuff like that in email' exchange.</w:t>
      </w:r>
    </w:p>
    <w:p>
      <w:pPr>
        <w:pStyle w:val="Heading1"/>
      </w:pPr>
      <w:r>
        <w:t>9. Recommended Strategy and Next Steps</w:t>
      </w:r>
    </w:p>
    <w:p>
      <w:pPr>
        <w:pStyle w:val="Heading2"/>
      </w:pPr>
      <w:r>
        <w:t>9.1 Immediate (next 7–14 days)</w:t>
      </w:r>
    </w:p>
    <w:tbl>
      <w:tblPr>
        <w:tblStyle w:val="TableGrid"/>
        <w:tblW w:type="auto" w:w="0"/>
        <w:tblLook w:firstColumn="1" w:firstRow="1" w:lastColumn="0" w:lastRow="0" w:noHBand="0" w:noVBand="1" w:val="04A0"/>
      </w:tblPr>
      <w:tblGrid>
        <w:gridCol w:w="3120"/>
        <w:gridCol w:w="3120"/>
        <w:gridCol w:w="3120"/>
      </w:tblGrid>
      <w:tr>
        <w:tc>
          <w:tcPr>
            <w:tcW w:type="dxa" w:w="432"/>
            <w:shd w:val="clear" w:color="auto" w:fill="D9E2F3"/>
          </w:tcPr>
          <w:p>
            <w:r/>
            <w:r>
              <w:rPr>
                <w:b/>
                <w:sz w:val="19"/>
              </w:rPr>
              <w:t>#</w:t>
            </w:r>
          </w:p>
        </w:tc>
        <w:tc>
          <w:tcPr>
            <w:tcW w:type="dxa" w:w="5472"/>
            <w:shd w:val="clear" w:color="auto" w:fill="D9E2F3"/>
          </w:tcPr>
          <w:p>
            <w:r/>
            <w:r>
              <w:rPr>
                <w:b/>
                <w:sz w:val="19"/>
              </w:rPr>
              <w:t>Action</w:t>
            </w:r>
          </w:p>
        </w:tc>
        <w:tc>
          <w:tcPr>
            <w:tcW w:type="dxa" w:w="3456"/>
            <w:shd w:val="clear" w:color="auto" w:fill="D9E2F3"/>
          </w:tcPr>
          <w:p>
            <w:r/>
            <w:r>
              <w:rPr>
                <w:b/>
                <w:sz w:val="19"/>
              </w:rPr>
              <w:t>Purpose</w:t>
            </w:r>
          </w:p>
        </w:tc>
      </w:tr>
      <w:tr>
        <w:tc>
          <w:tcPr>
            <w:tcW w:type="dxa" w:w="432"/>
          </w:tcPr>
          <w:p>
            <w:r/>
            <w:r>
              <w:rPr>
                <w:sz w:val="19"/>
              </w:rPr>
              <w:t>1</w:t>
            </w:r>
          </w:p>
        </w:tc>
        <w:tc>
          <w:tcPr>
            <w:tcW w:type="dxa" w:w="5472"/>
          </w:tcPr>
          <w:p>
            <w:r/>
            <w:r>
              <w:rPr>
                <w:sz w:val="19"/>
              </w:rPr>
              <w:t>Confirm the service date; calendar the response deadline; seek a stipulated 30-day extension.</w:t>
            </w:r>
          </w:p>
        </w:tc>
        <w:tc>
          <w:tcPr>
            <w:tcW w:type="dxa" w:w="3456"/>
          </w:tcPr>
          <w:p>
            <w:r/>
            <w:r>
              <w:rPr>
                <w:sz w:val="19"/>
              </w:rPr>
              <w:t>Protect against default; buy time for investigation.</w:t>
            </w:r>
          </w:p>
        </w:tc>
      </w:tr>
      <w:tr>
        <w:tc>
          <w:tcPr>
            <w:tcW w:type="dxa" w:w="432"/>
          </w:tcPr>
          <w:p>
            <w:r/>
            <w:r>
              <w:rPr>
                <w:sz w:val="19"/>
              </w:rPr>
              <w:t>2</w:t>
            </w:r>
          </w:p>
        </w:tc>
        <w:tc>
          <w:tcPr>
            <w:tcW w:type="dxa" w:w="5472"/>
          </w:tcPr>
          <w:p>
            <w:r/>
            <w:r>
              <w:rPr>
                <w:sz w:val="19"/>
              </w:rPr>
              <w:t>Issue a supplemental litigation hold (including personal devices and Jantzen's Gmail/cloud) and send preservation instructions to Jantzen through his counsel.</w:t>
            </w:r>
          </w:p>
        </w:tc>
        <w:tc>
          <w:tcPr>
            <w:tcW w:type="dxa" w:w="3456"/>
          </w:tcPr>
          <w:p>
            <w:r/>
            <w:r>
              <w:rPr>
                <w:sz w:val="19"/>
              </w:rPr>
              <w:t>Avoid FRCP 37(e) sanctions.</w:t>
            </w:r>
          </w:p>
        </w:tc>
      </w:tr>
      <w:tr>
        <w:tc>
          <w:tcPr>
            <w:tcW w:type="dxa" w:w="432"/>
          </w:tcPr>
          <w:p>
            <w:r/>
            <w:r>
              <w:rPr>
                <w:sz w:val="19"/>
              </w:rPr>
              <w:t>3</w:t>
            </w:r>
          </w:p>
        </w:tc>
        <w:tc>
          <w:tcPr>
            <w:tcW w:type="dxa" w:w="5472"/>
          </w:tcPr>
          <w:p>
            <w:r/>
            <w:r>
              <w:rPr>
                <w:sz w:val="19"/>
              </w:rPr>
              <w:t>Retain an independent forensic firm under privilege to search Greenleaf systems, the direct-distribution pricing files, and Jantzen's devices for the three files or derivatives (hashes are available from Cascade's memo). Quarantine anything found.</w:t>
            </w:r>
          </w:p>
        </w:tc>
        <w:tc>
          <w:tcPr>
            <w:tcW w:type="dxa" w:w="3456"/>
          </w:tcPr>
          <w:p>
            <w:r/>
            <w:r>
              <w:rPr>
                <w:sz w:val="19"/>
              </w:rPr>
              <w:t>Learn the truth before Cascade does; build a remediation record.</w:t>
            </w:r>
          </w:p>
        </w:tc>
      </w:tr>
      <w:tr>
        <w:tc>
          <w:tcPr>
            <w:tcW w:type="dxa" w:w="432"/>
          </w:tcPr>
          <w:p>
            <w:r/>
            <w:r>
              <w:rPr>
                <w:sz w:val="19"/>
              </w:rPr>
              <w:t>4</w:t>
            </w:r>
          </w:p>
        </w:tc>
        <w:tc>
          <w:tcPr>
            <w:tcW w:type="dxa" w:w="5472"/>
          </w:tcPr>
          <w:p>
            <w:r/>
            <w:r>
              <w:rPr>
                <w:sz w:val="19"/>
              </w:rPr>
              <w:t>Retain separate counsel for Jantzen; consider a common-interest agreement.</w:t>
            </w:r>
          </w:p>
        </w:tc>
        <w:tc>
          <w:tcPr>
            <w:tcW w:type="dxa" w:w="3456"/>
          </w:tcPr>
          <w:p>
            <w:r/>
            <w:r>
              <w:rPr>
                <w:sz w:val="19"/>
              </w:rPr>
              <w:t>Manage conflict; protect Greenleaf.</w:t>
            </w:r>
          </w:p>
        </w:tc>
      </w:tr>
      <w:tr>
        <w:tc>
          <w:tcPr>
            <w:tcW w:type="dxa" w:w="432"/>
          </w:tcPr>
          <w:p>
            <w:r/>
            <w:r>
              <w:rPr>
                <w:sz w:val="19"/>
              </w:rPr>
              <w:t>5</w:t>
            </w:r>
          </w:p>
        </w:tc>
        <w:tc>
          <w:tcPr>
            <w:tcW w:type="dxa" w:w="5472"/>
          </w:tcPr>
          <w:p>
            <w:r/>
            <w:r>
              <w:rPr>
                <w:sz w:val="19"/>
              </w:rPr>
              <w:t>Designate a non-witness client representative (not Mr. Hyun-Park) and brief the board or audit committee.</w:t>
            </w:r>
          </w:p>
        </w:tc>
        <w:tc>
          <w:tcPr>
            <w:tcW w:type="dxa" w:w="3456"/>
          </w:tcPr>
          <w:p>
            <w:r/>
            <w:r>
              <w:rPr>
                <w:sz w:val="19"/>
              </w:rPr>
              <w:t>Governance and privilege hygiene.</w:t>
            </w:r>
          </w:p>
        </w:tc>
      </w:tr>
      <w:tr>
        <w:tc>
          <w:tcPr>
            <w:tcW w:type="dxa" w:w="432"/>
          </w:tcPr>
          <w:p>
            <w:r/>
            <w:r>
              <w:rPr>
                <w:sz w:val="19"/>
              </w:rPr>
              <w:t>6</w:t>
            </w:r>
          </w:p>
        </w:tc>
        <w:tc>
          <w:tcPr>
            <w:tcW w:type="dxa" w:w="5472"/>
          </w:tcPr>
          <w:p>
            <w:r/>
            <w:r>
              <w:rPr>
                <w:sz w:val="19"/>
              </w:rPr>
              <w:t>Tender notice to all potentially applicable insurers.</w:t>
            </w:r>
          </w:p>
        </w:tc>
        <w:tc>
          <w:tcPr>
            <w:tcW w:type="dxa" w:w="3456"/>
          </w:tcPr>
          <w:p>
            <w:r/>
            <w:r>
              <w:rPr>
                <w:sz w:val="19"/>
              </w:rPr>
              <w:t>Preserve coverage.</w:t>
            </w:r>
          </w:p>
        </w:tc>
      </w:tr>
      <w:tr>
        <w:tc>
          <w:tcPr>
            <w:tcW w:type="dxa" w:w="432"/>
          </w:tcPr>
          <w:p>
            <w:r/>
            <w:r>
              <w:rPr>
                <w:sz w:val="19"/>
              </w:rPr>
              <w:t>7</w:t>
            </w:r>
          </w:p>
        </w:tc>
        <w:tc>
          <w:tcPr>
            <w:tcW w:type="dxa" w:w="5472"/>
          </w:tcPr>
          <w:p>
            <w:r/>
            <w:r>
              <w:rPr>
                <w:sz w:val="19"/>
              </w:rPr>
              <w:t>Privileged interviews (with Upjohn warnings) of Ellison, Brennan, and direct-distribution staff; collect the Ellison–Jantzen communications.</w:t>
            </w:r>
          </w:p>
        </w:tc>
        <w:tc>
          <w:tcPr>
            <w:tcW w:type="dxa" w:w="3456"/>
          </w:tcPr>
          <w:p>
            <w:r/>
            <w:r>
              <w:rPr>
                <w:sz w:val="19"/>
              </w:rPr>
              <w:t>Close the factual gaps in §6.4.</w:t>
            </w:r>
          </w:p>
        </w:tc>
      </w:tr>
    </w:tbl>
    <w:p/>
    <w:p>
      <w:pPr>
        <w:pStyle w:val="Heading2"/>
      </w:pPr>
      <w:r>
        <w:t>9.2 Pleadings stage</w:t>
      </w:r>
    </w:p>
    <w:p>
      <w:pPr>
        <w:pStyle w:val="ListBullet"/>
      </w:pPr>
      <w:r>
        <w:t xml:space="preserve"> Partial motion to dismiss / strike: (i) tortious interference (OUTSA displacement; no independent improper means); (ii) unjust enrichment (express contract; displacement); (iii) punitive damages (ORS 31.725 leave requirement, subject to research on the D. Or. split); (iv) the §12 contract theory (the information was not 'Confidential Information' disclosed under the Agreement). Consider whether to raise §15 non-compliance as a stay request or an affirmative defense rather than a motion. Its leverage value is modest.</w:t>
      </w:r>
    </w:p>
    <w:p>
      <w:pPr>
        <w:pStyle w:val="ListBullet"/>
      </w:pPr>
      <w:r>
        <w:t xml:space="preserve"> Answer: admit the undeniable facts (letter, cessation of shipments, hire) to preserve credibility. Assert affirmative defenses: §16.2 limitation; failure to mitigate; offset; election of remedies / double recovery; failure of conditions precedent (§15.1); OUTSA displacement. Do not plead advice of counsel. Do not plead the Year 2 cause theory unless the performance investigation clears it.</w:t>
      </w:r>
    </w:p>
    <w:p>
      <w:pPr>
        <w:pStyle w:val="ListBullet"/>
      </w:pPr>
      <w:r>
        <w:t xml:space="preserve"> Counterclaim (Year 2 shortfall damages, ~$2.6M in lost purchases × Greenleaf's margin; within the 6-year limitations period under ORS 12.080): hold for now. It is weak given force majeure and invites scrutiny of Greenleaf's own performance. Revisit after the §6.4 investigation.</w:t>
      </w:r>
    </w:p>
    <w:p>
      <w:pPr>
        <w:pStyle w:val="Heading2"/>
      </w:pPr>
      <w:r>
        <w:t>9.3 Remediation to limit trade secret exposure</w:t>
      </w:r>
    </w:p>
    <w:p>
      <w:pPr>
        <w:spacing w:after="120"/>
      </w:pPr>
      <w:r>
        <w:t>If the forensic sweep confirms that Cascade material or derivatives exist, recommend the following: (a) quarantine and certify destruction or return under a stipulated protocol; (b) independently rebuild the direct-distribution pricing with a clean-room team and documentation (the §1 'independent development' exception requires 'contemporaneous written records'); (c) wall Jantzen off from pricing; and (d) offer a stipulated order covering these steps. This reduces or eliminates the need for injunctive relief, limits damages under a head-start theory, and weakens the 'willful and malicious' finding for the period after the lawsuit.</w:t>
      </w:r>
    </w:p>
    <w:p>
      <w:pPr>
        <w:pStyle w:val="Heading2"/>
      </w:pPr>
      <w:r>
        <w:t>9.4 Discovery and experts</w:t>
      </w:r>
    </w:p>
    <w:p>
      <w:pPr>
        <w:pStyle w:val="ListBullet"/>
      </w:pPr>
      <w:r>
        <w:t xml:space="preserve"> Retain a rebuttal damages expert (forensic accountant with distribution-industry experience). Tasks: Year 5 run-rate, fixed-cost savings, mitigation through replacement brands, the least-costly-performance scenario, a head-start / reasonable royalty model, and infrastructure redeployment.</w:t>
      </w:r>
    </w:p>
    <w:p>
      <w:pPr>
        <w:pStyle w:val="ListBullet"/>
      </w:pPr>
      <w:r>
        <w:t xml:space="preserve"> Priority discovery to Cascade: Year 5 monthly purchases; SKU-level margin data; replacement-brand sales to the same accounts after October 2023; infrastructure asset registers and current use; development records for the pricing model and route tool; the retail buyers behind ¶66; the Jantzen separation agreement and exit certification; Bridger drafts and data, and counsel communications to the extent discoverable; and how Cascade obtained Greenleaf's internal emails.</w:t>
      </w:r>
    </w:p>
    <w:p>
      <w:pPr>
        <w:pStyle w:val="ListBullet"/>
      </w:pPr>
      <w:r>
        <w:t xml:space="preserve"> Protective order with an attorneys'-eyes-only tier (both sides' pricing data) and a FRE 502(d) clause.</w:t>
      </w:r>
    </w:p>
    <w:p>
      <w:pPr>
        <w:pStyle w:val="Heading2"/>
      </w:pPr>
      <w:r>
        <w:t>9.5 Resolution strategy</w:t>
      </w:r>
    </w:p>
    <w:p>
      <w:pPr>
        <w:spacing w:after="120"/>
      </w:pPr>
      <w:r>
        <w:t>The combination of near-certain contract liability, the Brennan and Ellison emails, and two-way fee exposure makes this case a poor candidate for trial. Our preliminary recommendation is to (i) complete the forensic sweep and remediation first, so that Greenleaf can credibly represent that no Cascade material remains in use; (ii) win what we can on the Rule 12 motion; and (iii) re-engage mediator Polzin (or a magistrate judge settlement conference) before Ellison, Brennan, and Jantzen are deposed. A defensible settlement framework is the 12-month-notice economics Greenleaf would have borne under a proper §9.2 termination, discounted for the §16.2, mitigation, and least-costly-performance arguments, plus a modest trade secret component and a stipulated remediation order. We will refine a recommended authority range once the rebuttal expert has run the numbers. We also caution the client that Cascade's valid-termination alternative (fee plus notice-period margin, about $12.1M) sets a realistic anchor for Cascade's position.</w:t>
      </w:r>
    </w:p>
    <w:p>
      <w:pPr>
        <w:spacing w:after="120"/>
      </w:pPr>
      <w:r>
        <w:t>Communication with the client should be careful and candid. The internal emails are, in Mr. Hyun-Park's words, cause for being 'uneasy.' Greenleaf's leadership needs to understand before discovery begins that the Brennan and Ellison November emails will be produced, and that no one may delete, alter, or 'clean up' any record.</w:t>
      </w:r>
    </w:p>
    <w:p>
      <w:pPr>
        <w:pStyle w:val="Heading1"/>
      </w:pPr>
      <w:r>
        <w:t>10. Open Legal Research Items</w:t>
      </w:r>
    </w:p>
    <w:p>
      <w:pPr>
        <w:pStyle w:val="ListBullet"/>
      </w:pPr>
      <w:r>
        <w:t>Oregon law on whether 'willful misconduct' in a limitation-of-liability clause covers a deliberate breach of contract, and whether lost profits under a distribution contract are direct or consequential damages where the clause lists them expressly.</w:t>
      </w:r>
    </w:p>
    <w:p>
      <w:pPr>
        <w:pStyle w:val="ListBullet"/>
      </w:pPr>
      <w:r>
        <w:t>Least-costly-performance / alternative-performance doctrine under Oregon law, applied to an unexercised non-renewal right when the repudiation occurred before the notice deadline.</w:t>
      </w:r>
    </w:p>
    <w:p>
      <w:pPr>
        <w:pStyle w:val="ListBullet"/>
      </w:pPr>
      <w:r>
        <w:t>Scope of ORS 646.473 displacement for interference and unjust-enrichment claims; current D. Or. authority.</w:t>
      </w:r>
    </w:p>
    <w:p>
      <w:pPr>
        <w:pStyle w:val="ListBullet"/>
      </w:pPr>
      <w:r>
        <w:t>Whether ORS 31.725 (leave to plead punitive damages) applies in D. Or. federal proceedings.</w:t>
      </w:r>
    </w:p>
    <w:p>
      <w:pPr>
        <w:pStyle w:val="ListBullet"/>
      </w:pPr>
      <w:r>
        <w:t>Correct OUTSA citations for exemplary damages and fees (ORS 646.465 / 646.467), and the interaction of OUTSA and DTSA remedies (no double recovery).</w:t>
      </w:r>
    </w:p>
    <w:p>
      <w:pPr>
        <w:pStyle w:val="ListBullet"/>
      </w:pPr>
      <w:r>
        <w:t>Enforceability of Jantzen's non-compete and customer non-solicit under RCW 49.62 and ORS 653.295, and the choice-of-law analysis (this bears on a likely amended interference-with-contract claim).</w:t>
      </w:r>
    </w:p>
    <w:p>
      <w:pPr>
        <w:pStyle w:val="ListBullet"/>
      </w:pPr>
      <w:r>
        <w:t>Primary-purpose privilege test and the crime-fraud standard (Ninth Circuit) as applied to the Aug. 10 and Sept. 7 emails.</w:t>
      </w:r>
    </w:p>
    <w:p>
      <w:pPr>
        <w:pStyle w:val="ListBullet"/>
      </w:pPr>
      <w:r>
        <w:t>Whether the §15.3 60-day period runs from the mediation demand or the mediation session, and the remedy for premature filing.</w:t>
      </w:r>
    </w:p>
    <w:p>
      <w:pPr>
        <w:pStyle w:val="Heading1"/>
      </w:pPr>
      <w:r>
        <w:t>Appendix A — Key Contract Provisions</w:t>
      </w:r>
    </w:p>
    <w:tbl>
      <w:tblPr>
        <w:tblStyle w:val="TableGrid"/>
        <w:tblW w:type="auto" w:w="0"/>
        <w:tblLook w:firstColumn="1" w:firstRow="1" w:lastColumn="0" w:lastRow="0" w:noHBand="0" w:noVBand="1" w:val="04A0"/>
      </w:tblPr>
      <w:tblGrid>
        <w:gridCol w:w="3120"/>
        <w:gridCol w:w="3120"/>
        <w:gridCol w:w="3120"/>
      </w:tblGrid>
      <w:tr>
        <w:tc>
          <w:tcPr>
            <w:tcW w:type="dxa" w:w="1296"/>
            <w:shd w:val="clear" w:color="auto" w:fill="D9E2F3"/>
          </w:tcPr>
          <w:p>
            <w:r/>
            <w:r>
              <w:rPr>
                <w:b/>
                <w:sz w:val="19"/>
              </w:rPr>
              <w:t>Section</w:t>
            </w:r>
          </w:p>
        </w:tc>
        <w:tc>
          <w:tcPr>
            <w:tcW w:type="dxa" w:w="4608"/>
            <w:shd w:val="clear" w:color="auto" w:fill="D9E2F3"/>
          </w:tcPr>
          <w:p>
            <w:r/>
            <w:r>
              <w:rPr>
                <w:b/>
                <w:sz w:val="19"/>
              </w:rPr>
              <w:t>Substance</w:t>
            </w:r>
          </w:p>
        </w:tc>
        <w:tc>
          <w:tcPr>
            <w:tcW w:type="dxa" w:w="3456"/>
            <w:shd w:val="clear" w:color="auto" w:fill="D9E2F3"/>
          </w:tcPr>
          <w:p>
            <w:r/>
            <w:r>
              <w:rPr>
                <w:b/>
                <w:sz w:val="19"/>
              </w:rPr>
              <w:t>Why it matters</w:t>
            </w:r>
          </w:p>
        </w:tc>
      </w:tr>
      <w:tr>
        <w:tc>
          <w:tcPr>
            <w:tcW w:type="dxa" w:w="1296"/>
          </w:tcPr>
          <w:p>
            <w:r/>
            <w:r>
              <w:rPr>
                <w:sz w:val="19"/>
              </w:rPr>
              <w:t>§2.2</w:t>
            </w:r>
          </w:p>
        </w:tc>
        <w:tc>
          <w:tcPr>
            <w:tcW w:type="dxa" w:w="4608"/>
          </w:tcPr>
          <w:p>
            <w:r/>
            <w:r>
              <w:rPr>
                <w:sz w:val="19"/>
              </w:rPr>
              <w:t>No direct distribution to retail accounts in the Territory during the Term.</w:t>
            </w:r>
          </w:p>
        </w:tc>
        <w:tc>
          <w:tcPr>
            <w:tcW w:type="dxa" w:w="3456"/>
          </w:tcPr>
          <w:p>
            <w:r/>
            <w:r>
              <w:rPr>
                <w:sz w:val="19"/>
              </w:rPr>
              <w:t>Clear breach from Oct. 2, 2023.</w:t>
            </w:r>
          </w:p>
        </w:tc>
      </w:tr>
      <w:tr>
        <w:tc>
          <w:tcPr>
            <w:tcW w:type="dxa" w:w="1296"/>
          </w:tcPr>
          <w:p>
            <w:r/>
            <w:r>
              <w:rPr>
                <w:sz w:val="19"/>
              </w:rPr>
              <w:t>§3.2</w:t>
            </w:r>
          </w:p>
        </w:tc>
        <w:tc>
          <w:tcPr>
            <w:tcW w:type="dxa" w:w="4608"/>
          </w:tcPr>
          <w:p>
            <w:r/>
            <w:r>
              <w:rPr>
                <w:sz w:val="19"/>
              </w:rPr>
              <w:t>Auto-renewal; a non-renewal notice must expressly invoke §3.2, 180 days before term end.</w:t>
            </w:r>
          </w:p>
        </w:tc>
        <w:tc>
          <w:tcPr>
            <w:tcW w:type="dxa" w:w="3456"/>
          </w:tcPr>
          <w:p>
            <w:r/>
            <w:r>
              <w:rPr>
                <w:sz w:val="19"/>
              </w:rPr>
              <w:t>Renewal through Mar. 14, 2025.</w:t>
            </w:r>
          </w:p>
        </w:tc>
      </w:tr>
      <w:tr>
        <w:tc>
          <w:tcPr>
            <w:tcW w:type="dxa" w:w="1296"/>
          </w:tcPr>
          <w:p>
            <w:r/>
            <w:r>
              <w:rPr>
                <w:sz w:val="19"/>
              </w:rPr>
              <w:t>§9.1</w:t>
            </w:r>
          </w:p>
        </w:tc>
        <w:tc>
          <w:tcPr>
            <w:tcW w:type="dxa" w:w="4608"/>
          </w:tcPr>
          <w:p>
            <w:r/>
            <w:r>
              <w:rPr>
                <w:sz w:val="19"/>
              </w:rPr>
              <w:t>Cause: notice, 30-day cure, 60-day notice; non-compliance is void.</w:t>
            </w:r>
          </w:p>
        </w:tc>
        <w:tc>
          <w:tcPr>
            <w:tcW w:type="dxa" w:w="3456"/>
          </w:tcPr>
          <w:p>
            <w:r/>
            <w:r>
              <w:rPr>
                <w:sz w:val="19"/>
              </w:rPr>
              <w:t>Forecloses a belated cause theory.</w:t>
            </w:r>
          </w:p>
        </w:tc>
      </w:tr>
      <w:tr>
        <w:tc>
          <w:tcPr>
            <w:tcW w:type="dxa" w:w="1296"/>
          </w:tcPr>
          <w:p>
            <w:r/>
            <w:r>
              <w:rPr>
                <w:sz w:val="19"/>
              </w:rPr>
              <w:t>§9.2</w:t>
            </w:r>
          </w:p>
        </w:tc>
        <w:tc>
          <w:tcPr>
            <w:tcW w:type="dxa" w:w="4608"/>
          </w:tcPr>
          <w:p>
            <w:r/>
            <w:r>
              <w:rPr>
                <w:sz w:val="19"/>
              </w:rPr>
              <w:t>Convenience: 12 months' notice; fee of 15% of the 2-year average ($5.37M); notice must reference §9.2, give the date, and acknowledge the fee; otherwise void.</w:t>
            </w:r>
          </w:p>
        </w:tc>
        <w:tc>
          <w:tcPr>
            <w:tcW w:type="dxa" w:w="3456"/>
          </w:tcPr>
          <w:p>
            <w:r/>
            <w:r>
              <w:rPr>
                <w:sz w:val="19"/>
              </w:rPr>
              <w:t>Termination void; the fee is not owed under the void theory.</w:t>
            </w:r>
          </w:p>
        </w:tc>
      </w:tr>
      <w:tr>
        <w:tc>
          <w:tcPr>
            <w:tcW w:type="dxa" w:w="1296"/>
          </w:tcPr>
          <w:p>
            <w:r/>
            <w:r>
              <w:rPr>
                <w:sz w:val="19"/>
              </w:rPr>
              <w:t>§11.2–11.5</w:t>
            </w:r>
          </w:p>
        </w:tc>
        <w:tc>
          <w:tcPr>
            <w:tcW w:type="dxa" w:w="4608"/>
          </w:tcPr>
          <w:p>
            <w:r/>
            <w:r>
              <w:rPr>
                <w:sz w:val="19"/>
              </w:rPr>
              <w:t>Covered Employee non-hire during the Term + 18 months; applies even if the employee initiates; injunction without bond.</w:t>
            </w:r>
          </w:p>
        </w:tc>
        <w:tc>
          <w:tcPr>
            <w:tcW w:type="dxa" w:w="3456"/>
          </w:tcPr>
          <w:p>
            <w:r/>
            <w:r>
              <w:rPr>
                <w:sz w:val="19"/>
              </w:rPr>
              <w:t>Clear breach by hiring Jantzen.</w:t>
            </w:r>
          </w:p>
        </w:tc>
      </w:tr>
      <w:tr>
        <w:tc>
          <w:tcPr>
            <w:tcW w:type="dxa" w:w="1296"/>
          </w:tcPr>
          <w:p>
            <w:r/>
            <w:r>
              <w:rPr>
                <w:sz w:val="19"/>
              </w:rPr>
              <w:t>§1 / §12</w:t>
            </w:r>
          </w:p>
        </w:tc>
        <w:tc>
          <w:tcPr>
            <w:tcW w:type="dxa" w:w="4608"/>
          </w:tcPr>
          <w:p>
            <w:r/>
            <w:r>
              <w:rPr>
                <w:sz w:val="19"/>
              </w:rPr>
              <w:t>Confidential Information = information disclosed by one Party to the other; return/destroy within 30 days (§12.2).</w:t>
            </w:r>
          </w:p>
        </w:tc>
        <w:tc>
          <w:tcPr>
            <w:tcW w:type="dxa" w:w="3456"/>
          </w:tcPr>
          <w:p>
            <w:r/>
            <w:r>
              <w:rPr>
                <w:sz w:val="19"/>
              </w:rPr>
              <w:t>Supports our argument that the misappropriation carve-out does not apply.</w:t>
            </w:r>
          </w:p>
        </w:tc>
      </w:tr>
      <w:tr>
        <w:tc>
          <w:tcPr>
            <w:tcW w:type="dxa" w:w="1296"/>
          </w:tcPr>
          <w:p>
            <w:r/>
            <w:r>
              <w:rPr>
                <w:sz w:val="19"/>
              </w:rPr>
              <w:t>§14</w:t>
            </w:r>
          </w:p>
        </w:tc>
        <w:tc>
          <w:tcPr>
            <w:tcW w:type="dxa" w:w="4608"/>
          </w:tcPr>
          <w:p>
            <w:r/>
            <w:r>
              <w:rPr>
                <w:sz w:val="19"/>
              </w:rPr>
              <w:t>Force majeure includes pandemics; notice and mitigation required.</w:t>
            </w:r>
          </w:p>
        </w:tc>
        <w:tc>
          <w:tcPr>
            <w:tcW w:type="dxa" w:w="3456"/>
          </w:tcPr>
          <w:p>
            <w:r/>
            <w:r>
              <w:rPr>
                <w:sz w:val="19"/>
              </w:rPr>
              <w:t>Likely excuses the Year 2 shortfall.</w:t>
            </w:r>
          </w:p>
        </w:tc>
      </w:tr>
      <w:tr>
        <w:tc>
          <w:tcPr>
            <w:tcW w:type="dxa" w:w="1296"/>
          </w:tcPr>
          <w:p>
            <w:r/>
            <w:r>
              <w:rPr>
                <w:sz w:val="19"/>
              </w:rPr>
              <w:t>§15</w:t>
            </w:r>
          </w:p>
        </w:tc>
        <w:tc>
          <w:tcPr>
            <w:tcW w:type="dxa" w:w="4608"/>
          </w:tcPr>
          <w:p>
            <w:r/>
            <w:r>
              <w:rPr>
                <w:sz w:val="19"/>
              </w:rPr>
              <w:t>Negotiation → mediation → litigation (60 days); injunction carve-out; prevailing-party fees (§15.4).</w:t>
            </w:r>
          </w:p>
        </w:tc>
        <w:tc>
          <w:tcPr>
            <w:tcW w:type="dxa" w:w="3456"/>
          </w:tcPr>
          <w:p>
            <w:r/>
            <w:r>
              <w:rPr>
                <w:sz w:val="19"/>
              </w:rPr>
              <w:t>Conditions precedent; fee exposure.</w:t>
            </w:r>
          </w:p>
        </w:tc>
      </w:tr>
      <w:tr>
        <w:tc>
          <w:tcPr>
            <w:tcW w:type="dxa" w:w="1296"/>
          </w:tcPr>
          <w:p>
            <w:r/>
            <w:r>
              <w:rPr>
                <w:sz w:val="19"/>
              </w:rPr>
              <w:t>§16</w:t>
            </w:r>
          </w:p>
        </w:tc>
        <w:tc>
          <w:tcPr>
            <w:tcW w:type="dxa" w:w="4608"/>
          </w:tcPr>
          <w:p>
            <w:r/>
            <w:r>
              <w:rPr>
                <w:sz w:val="19"/>
              </w:rPr>
              <w:t>Cap = 2-year purchases ($71.6M); consequential damages and lost profits excluded except for willful misconduct or misappropriation of Confidential Information.</w:t>
            </w:r>
          </w:p>
        </w:tc>
        <w:tc>
          <w:tcPr>
            <w:tcW w:type="dxa" w:w="3456"/>
          </w:tcPr>
          <w:p>
            <w:r/>
            <w:r>
              <w:rPr>
                <w:sz w:val="19"/>
              </w:rPr>
              <w:t>Pivotal damages issue.</w:t>
            </w:r>
          </w:p>
        </w:tc>
      </w:tr>
      <w:tr>
        <w:tc>
          <w:tcPr>
            <w:tcW w:type="dxa" w:w="1296"/>
          </w:tcPr>
          <w:p>
            <w:r/>
            <w:r>
              <w:rPr>
                <w:sz w:val="19"/>
              </w:rPr>
              <w:t>§17.4</w:t>
            </w:r>
          </w:p>
        </w:tc>
        <w:tc>
          <w:tcPr>
            <w:tcW w:type="dxa" w:w="4608"/>
          </w:tcPr>
          <w:p>
            <w:r/>
            <w:r>
              <w:rPr>
                <w:sz w:val="19"/>
              </w:rPr>
              <w:t>Waivers must be in writing; non-enforcement is not a waiver.</w:t>
            </w:r>
          </w:p>
        </w:tc>
        <w:tc>
          <w:tcPr>
            <w:tcW w:type="dxa" w:w="3456"/>
          </w:tcPr>
          <w:p>
            <w:r/>
            <w:r>
              <w:rPr>
                <w:sz w:val="19"/>
              </w:rPr>
              <w:t>Helps on the Year 2 waiver point, but that point has little value.</w:t>
            </w:r>
          </w:p>
        </w:tc>
      </w:tr>
    </w:tbl>
    <w:p/>
    <w:p>
      <w:pPr>
        <w:pStyle w:val="Heading1"/>
      </w:pPr>
      <w:r>
        <w:t>Appendix B — Key Calculations</w:t>
      </w:r>
    </w:p>
    <w:tbl>
      <w:tblPr>
        <w:tblStyle w:val="TableGrid"/>
        <w:tblW w:type="auto" w:w="0"/>
        <w:tblLook w:firstColumn="1" w:firstRow="1" w:lastColumn="0" w:lastRow="0" w:noHBand="0" w:noVBand="1" w:val="04A0"/>
      </w:tblPr>
      <w:tblGrid>
        <w:gridCol w:w="4680"/>
        <w:gridCol w:w="4680"/>
      </w:tblGrid>
      <w:tr>
        <w:tc>
          <w:tcPr>
            <w:tcW w:type="dxa" w:w="6480"/>
            <w:shd w:val="clear" w:color="auto" w:fill="D9E2F3"/>
          </w:tcPr>
          <w:p>
            <w:r/>
            <w:r>
              <w:rPr>
                <w:b/>
                <w:sz w:val="19"/>
              </w:rPr>
              <w:t>Calculation</w:t>
            </w:r>
          </w:p>
        </w:tc>
        <w:tc>
          <w:tcPr>
            <w:tcW w:type="dxa" w:w="2880"/>
            <w:shd w:val="clear" w:color="auto" w:fill="D9E2F3"/>
          </w:tcPr>
          <w:p>
            <w:r/>
            <w:r>
              <w:rPr>
                <w:b/>
                <w:sz w:val="19"/>
              </w:rPr>
              <w:t>Result</w:t>
            </w:r>
          </w:p>
        </w:tc>
      </w:tr>
      <w:tr>
        <w:tc>
          <w:tcPr>
            <w:tcW w:type="dxa" w:w="6480"/>
          </w:tcPr>
          <w:p>
            <w:r/>
            <w:r>
              <w:rPr>
                <w:sz w:val="19"/>
              </w:rPr>
              <w:t>Termination fee: ($33.5M + $38.1M) ÷ 2 × 15%</w:t>
            </w:r>
          </w:p>
        </w:tc>
        <w:tc>
          <w:tcPr>
            <w:tcW w:type="dxa" w:w="2880"/>
          </w:tcPr>
          <w:p>
            <w:r/>
            <w:r>
              <w:rPr>
                <w:sz w:val="19"/>
              </w:rPr>
              <w:t>$5,370,000</w:t>
            </w:r>
          </w:p>
        </w:tc>
      </w:tr>
      <w:tr>
        <w:tc>
          <w:tcPr>
            <w:tcW w:type="dxa" w:w="6480"/>
          </w:tcPr>
          <w:p>
            <w:r/>
            <w:r>
              <w:rPr>
                <w:sz w:val="19"/>
              </w:rPr>
              <w:t>Bridger base: $38.1M × 1.05</w:t>
            </w:r>
          </w:p>
        </w:tc>
        <w:tc>
          <w:tcPr>
            <w:tcW w:type="dxa" w:w="2880"/>
          </w:tcPr>
          <w:p>
            <w:r/>
            <w:r>
              <w:rPr>
                <w:sz w:val="19"/>
              </w:rPr>
              <w:t>$40,005,000 per year</w:t>
            </w:r>
          </w:p>
        </w:tc>
      </w:tr>
      <w:tr>
        <w:tc>
          <w:tcPr>
            <w:tcW w:type="dxa" w:w="6480"/>
          </w:tcPr>
          <w:p>
            <w:r/>
            <w:r>
              <w:rPr>
                <w:sz w:val="19"/>
              </w:rPr>
              <w:t>Bridger lost profits: $40.005M × 17.5/12 × 18%</w:t>
            </w:r>
          </w:p>
        </w:tc>
        <w:tc>
          <w:tcPr>
            <w:tcW w:type="dxa" w:w="2880"/>
          </w:tcPr>
          <w:p>
            <w:r/>
            <w:r>
              <w:rPr>
                <w:sz w:val="19"/>
              </w:rPr>
              <w:t>$10,501,312.50</w:t>
            </w:r>
          </w:p>
        </w:tc>
      </w:tr>
      <w:tr>
        <w:tc>
          <w:tcPr>
            <w:tcW w:type="dxa" w:w="6480"/>
          </w:tcPr>
          <w:p>
            <w:r/>
            <w:r>
              <w:rPr>
                <w:sz w:val="19"/>
              </w:rPr>
              <w:t>Year 5 run-rate: $19.7M over ~200 days (Mar. 15 – ~Oct. 1, 2023), annualized</w:t>
            </w:r>
          </w:p>
        </w:tc>
        <w:tc>
          <w:tcPr>
            <w:tcW w:type="dxa" w:w="2880"/>
          </w:tcPr>
          <w:p>
            <w:r/>
            <w:r>
              <w:rPr>
                <w:sz w:val="19"/>
              </w:rPr>
              <w:t>≈ $35.95M per year</w:t>
            </w:r>
          </w:p>
        </w:tc>
      </w:tr>
      <w:tr>
        <w:tc>
          <w:tcPr>
            <w:tcW w:type="dxa" w:w="6480"/>
          </w:tcPr>
          <w:p>
            <w:r/>
            <w:r>
              <w:rPr>
                <w:sz w:val="19"/>
              </w:rPr>
              <w:t>Run-rate lost profits: $35.95M × 17.5/12 × 18%</w:t>
            </w:r>
          </w:p>
        </w:tc>
        <w:tc>
          <w:tcPr>
            <w:tcW w:type="dxa" w:w="2880"/>
          </w:tcPr>
          <w:p>
            <w:r/>
            <w:r>
              <w:rPr>
                <w:sz w:val="19"/>
              </w:rPr>
              <w:t>≈ $9.44M</w:t>
            </w:r>
          </w:p>
        </w:tc>
      </w:tr>
      <w:tr>
        <w:tc>
          <w:tcPr>
            <w:tcW w:type="dxa" w:w="6480"/>
          </w:tcPr>
          <w:p>
            <w:r/>
            <w:r>
              <w:rPr>
                <w:sz w:val="19"/>
              </w:rPr>
              <w:t>Least-costly (to Mar. 14, 2024; ~5.4 months): run-rate / Bridger base</w:t>
            </w:r>
          </w:p>
        </w:tc>
        <w:tc>
          <w:tcPr>
            <w:tcW w:type="dxa" w:w="2880"/>
          </w:tcPr>
          <w:p>
            <w:r/>
            <w:r>
              <w:rPr>
                <w:sz w:val="19"/>
              </w:rPr>
              <w:t>≈ $2.91M / ≈ $3.24M</w:t>
            </w:r>
          </w:p>
        </w:tc>
      </w:tr>
      <w:tr>
        <w:tc>
          <w:tcPr>
            <w:tcW w:type="dxa" w:w="6480"/>
          </w:tcPr>
          <w:p>
            <w:r/>
            <w:r>
              <w:rPr>
                <w:sz w:val="19"/>
              </w:rPr>
              <w:t>Valid-termination alternative: fee + $40.005M × ~11.2/12 × 18%</w:t>
            </w:r>
          </w:p>
        </w:tc>
        <w:tc>
          <w:tcPr>
            <w:tcW w:type="dxa" w:w="2880"/>
          </w:tcPr>
          <w:p>
            <w:r/>
            <w:r>
              <w:rPr>
                <w:sz w:val="19"/>
              </w:rPr>
              <w:t>≈ $5.37M + $6.72M ≈ $12.09M</w:t>
            </w:r>
          </w:p>
        </w:tc>
      </w:tr>
      <w:tr>
        <w:tc>
          <w:tcPr>
            <w:tcW w:type="dxa" w:w="6480"/>
          </w:tcPr>
          <w:p>
            <w:r/>
            <w:r>
              <w:rPr>
                <w:sz w:val="19"/>
              </w:rPr>
              <w:t>Straight-line book value of infrastructure (Bridger's own figure)</w:t>
            </w:r>
          </w:p>
        </w:tc>
        <w:tc>
          <w:tcPr>
            <w:tcW w:type="dxa" w:w="2880"/>
          </w:tcPr>
          <w:p>
            <w:r/>
            <w:r>
              <w:rPr>
                <w:sz w:val="19"/>
              </w:rPr>
              <w:t>$288,000</w:t>
            </w:r>
          </w:p>
        </w:tc>
      </w:tr>
      <w:tr>
        <w:tc>
          <w:tcPr>
            <w:tcW w:type="dxa" w:w="6480"/>
          </w:tcPr>
          <w:p>
            <w:r/>
            <w:r>
              <w:rPr>
                <w:sz w:val="19"/>
              </w:rPr>
              <w:t>§16.1 cap: Years 3 + 4 purchases</w:t>
            </w:r>
          </w:p>
        </w:tc>
        <w:tc>
          <w:tcPr>
            <w:tcW w:type="dxa" w:w="2880"/>
          </w:tcPr>
          <w:p>
            <w:r/>
            <w:r>
              <w:rPr>
                <w:sz w:val="19"/>
              </w:rPr>
              <w:t>$71,600,000</w:t>
            </w:r>
          </w:p>
        </w:tc>
      </w:tr>
      <w:tr>
        <w:tc>
          <w:tcPr>
            <w:tcW w:type="dxa" w:w="6480"/>
          </w:tcPr>
          <w:p>
            <w:r/>
            <w:r>
              <w:rPr>
                <w:sz w:val="19"/>
              </w:rPr>
              <w:t>Maximum exemplary damages on the claimed $4.8M (2x)</w:t>
            </w:r>
          </w:p>
        </w:tc>
        <w:tc>
          <w:tcPr>
            <w:tcW w:type="dxa" w:w="2880"/>
          </w:tcPr>
          <w:p>
            <w:r/>
            <w:r>
              <w:rPr>
                <w:sz w:val="19"/>
              </w:rPr>
              <w:t>$9,600,000</w:t>
            </w:r>
          </w:p>
        </w:tc>
      </w:tr>
    </w:tbl>
    <w:p/>
    <w:p>
      <w:r>
        <w:rPr>
          <w:i/>
          <w:sz w:val="18"/>
        </w:rPr>
        <w:t>This memorandum reflects a preliminary assessment based on the documents listed above. It has not been verified against discovery, witness interviews, or updated legal research, and it should be revised as the record develops.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