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160" w:line="276" w:lineRule="auto"/>
      </w:pPr>
      <w:r>
        <w:rPr>
          <w:rFonts w:ascii="Times New Roman" w:hAnsi="Times New Roman"/>
          <w:b/>
          <w:bCs/>
          <w:sz w:val="24"/>
        </w:rPr>
        <w:t xml:space="preserve">PRIVILEGED &amp; CONFIDENTIAL — ATTORNEY WORK PRODUCT — PREPARED IN ANTICIPATION OF LITIGATION</w:t>
      </w:r>
    </w:p>
    <w:bookmarkStart w:id="20" w:name="memorandum"/>
    <w:p>
      <w:pPr>
        <w:pStyle w:val="Heading1"/>
      </w:pPr>
      <w:r>
        <w:rPr>
          <w:rFonts w:ascii="Times New Roman" w:hAnsi="Times New Roman"/>
          <w:b/>
          <w:color w:val="000000"/>
          <w:sz w:val="26"/>
        </w:rPr>
        <w:t xml:space="preserve">MEMORANDUM</w:t>
      </w:r>
    </w:p>
    <w:tbl>
      <w:tblPr>
        <w:tblStyle w:val="Table"/>
        <w:tblW w:type="pct" w:w="5000"/>
        <w:jc w:val="left"/>
        <w:tblLayout w:type="fixed"/>
        <w:tblLook w:firstRow="0" w:lastRow="0" w:firstColumn="0" w:lastColumn="0" w:noHBand="0" w:noVBand="0" w:val="0000"/>
        <w:tblBorders>
          <w:top w:val="single" w:sz="4" w:color="000000"/>
          <w:left w:val="single" w:sz="4" w:color="000000"/>
          <w:bottom w:val="single" w:sz="4" w:color="000000"/>
          <w:right w:val="single" w:sz="4" w:color="000000"/>
          <w:insideH w:val="single" w:sz="4" w:color="000000"/>
          <w:insideV w:val="single" w:sz="4" w:color="000000"/>
        </w:tblBorders>
      </w:tblPr>
      <w:tblGrid>
        <w:gridCol w:w="3960"/>
        <w:gridCol w:w="3960"/>
      </w:tblGrid>
      <w:tr>
        <w:tc>
          <w:tcPr/>
          <w:p>
            <w:pPr>
              <w:pStyle w:val="Compact"/>
              <w:jc w:val="left"/>
            </w:pPr>
            <w:r>
              <w:rPr>
                <w:rFonts w:ascii="Times New Roman" w:hAnsi="Times New Roman"/>
                <w:b/>
                <w:bCs/>
                <w:sz w:val="21"/>
              </w:rPr>
              <w:t xml:space="preserve">TO</w:t>
            </w:r>
          </w:p>
        </w:tc>
        <w:tc>
          <w:tcPr/>
          <w:p>
            <w:pPr>
              <w:pStyle w:val="Compact"/>
              <w:jc w:val="left"/>
            </w:pPr>
            <w:r>
              <w:rPr>
                <w:rFonts w:ascii="Times New Roman" w:hAnsi="Times New Roman"/>
                <w:sz w:val="21"/>
              </w:rPr>
              <w:t xml:space="preserve">Catherine M. Hargrove; Jordan P. Estrada</w:t>
            </w:r>
          </w:p>
        </w:tc>
      </w:tr>
      <w:tr>
        <w:tc>
          <w:tcPr/>
          <w:p>
            <w:pPr>
              <w:pStyle w:val="Compact"/>
              <w:jc w:val="left"/>
            </w:pPr>
            <w:r>
              <w:rPr>
                <w:rFonts w:ascii="Times New Roman" w:hAnsi="Times New Roman"/>
                <w:b/>
                <w:bCs/>
                <w:sz w:val="21"/>
              </w:rPr>
              <w:t xml:space="preserve">RE</w:t>
            </w:r>
          </w:p>
        </w:tc>
        <w:tc>
          <w:tcPr/>
          <w:p>
            <w:pPr>
              <w:pStyle w:val="Compact"/>
              <w:jc w:val="left"/>
            </w:pPr>
            <w:r>
              <w:rPr>
                <w:rFonts w:ascii="Times New Roman" w:hAnsi="Times New Roman"/>
                <w:i/>
                <w:iCs/>
                <w:sz w:val="21"/>
              </w:rPr>
              <w:t xml:space="preserve">Verdant Biotech Solutions, Inc. v. Tate &amp; AgriNova Crop Sciences, LLC</w:t>
            </w:r>
            <w:r>
              <w:rPr>
                <w:rFonts w:ascii="Times New Roman" w:hAnsi="Times New Roman"/>
                <w:sz w:val="21"/>
              </w:rPr>
              <w:t xml:space="preserve"> </w:t>
            </w:r>
            <w:r>
              <w:rPr>
                <w:rFonts w:ascii="Times New Roman" w:hAnsi="Times New Roman"/>
                <w:sz w:val="21"/>
              </w:rPr>
              <w:t xml:space="preserve">(E.D.N.C.): notes on the draft complaint, strategic concerns, and likely defenses</w:t>
            </w:r>
          </w:p>
        </w:tc>
      </w:tr>
      <w:tr>
        <w:tc>
          <w:tcPr/>
          <w:p>
            <w:pPr>
              <w:pStyle w:val="Compact"/>
              <w:jc w:val="left"/>
            </w:pPr>
            <w:r>
              <w:rPr>
                <w:rFonts w:ascii="Times New Roman" w:hAnsi="Times New Roman"/>
                <w:b/>
                <w:bCs/>
                <w:sz w:val="21"/>
              </w:rPr>
              <w:t xml:space="preserve">FILES REVIEWED</w:t>
            </w:r>
          </w:p>
        </w:tc>
        <w:tc>
          <w:tcPr/>
          <w:p>
            <w:pPr>
              <w:pStyle w:val="Compact"/>
              <w:jc w:val="left"/>
            </w:pPr>
            <w:r>
              <w:rPr>
                <w:rFonts w:ascii="Times New Roman" w:hAnsi="Times New Roman"/>
                <w:sz w:val="21"/>
              </w:rPr>
              <w:t xml:space="preserve">Showalter referral memo (3/18/25); Employment Agreement and CIAA (3/15/18); Sentinel Report SDF-2025-0187 (2/15/25); Tate resignation letter (11/18/24); AgriNova press release (2/3/25); Kowalski Decl. (3/20/25); Okonkwo Decl. (3/21/25); Trade Secret Summary (3/15/25); Simmons damages workbook</w:t>
            </w:r>
          </w:p>
        </w:tc>
      </w:tr>
    </w:tbl>
    <w:bookmarkEnd w:id="20"/>
    <w:bookmarkStart w:id="21" w:name="bottom-line"/>
    <w:p>
      <w:pPr>
        <w:pStyle w:val="Heading1"/>
      </w:pPr>
      <w:r>
        <w:rPr>
          <w:rFonts w:ascii="Times New Roman" w:hAnsi="Times New Roman"/>
          <w:b/>
          <w:color w:val="000000"/>
          <w:sz w:val="26"/>
        </w:rPr>
        <w:t xml:space="preserve">1. Bottom Line</w:t>
      </w:r>
    </w:p>
    <w:p>
      <w:pPr>
        <w:pStyle w:val="Compact"/>
        <w:numPr>
          <w:ilvl w:val="0"/>
          <w:numId w:val="1001"/>
        </w:numPr>
        <w:spacing w:after="160"/>
      </w:pPr>
      <w:r>
        <w:rPr>
          <w:rFonts w:ascii="Times New Roman" w:hAnsi="Times New Roman"/>
          <w:b/>
          <w:bCs/>
          <w:sz w:val="24"/>
        </w:rPr>
        <w:t xml:space="preserve">The trade secret case against Tate is strong.</w:t>
      </w:r>
      <w:r>
        <w:rPr>
          <w:rFonts w:ascii="Times New Roman" w:hAnsi="Times New Roman"/>
          <w:sz w:val="24"/>
        </w:rPr>
        <w:t xml:space="preserve"> </w:t>
      </w:r>
      <w:r>
        <w:rPr>
          <w:rFonts w:ascii="Times New Roman" w:hAnsi="Times New Roman"/>
          <w:sz w:val="24"/>
        </w:rPr>
        <w:t xml:space="preserve">The forensic record is unusually good. It shows a 24.6 GB off-hours download, a transfer to an unauthorized USB drive (95.5% hash-matched), an encrypted ProtonMail transmission, deletion of the files, and a factory reset the night before he left.</w:t>
      </w:r>
    </w:p>
    <w:p>
      <w:pPr>
        <w:pStyle w:val="Compact"/>
        <w:numPr>
          <w:ilvl w:val="0"/>
          <w:numId w:val="1001"/>
        </w:numPr>
        <w:spacing w:after="160"/>
      </w:pPr>
      <w:r>
        <w:rPr>
          <w:rFonts w:ascii="Times New Roman" w:hAnsi="Times New Roman"/>
          <w:b/>
          <w:bCs/>
          <w:sz w:val="24"/>
        </w:rPr>
        <w:t xml:space="preserve">The case against AgriNova is much thinner.</w:t>
      </w:r>
      <w:r>
        <w:rPr>
          <w:rFonts w:ascii="Times New Roman" w:hAnsi="Times New Roman"/>
          <w:sz w:val="24"/>
        </w:rPr>
        <w:t xml:space="preserve"> </w:t>
      </w:r>
      <w:r>
        <w:rPr>
          <w:rFonts w:ascii="Times New Roman" w:hAnsi="Times New Roman"/>
          <w:sz w:val="24"/>
        </w:rPr>
        <w:t xml:space="preserve">Today it rests almost entirely on timing, marketing language in the press release, and a secondhand report from Heartland. AgriNova is the most likely defendant to win a Rule 12(b)(6) motion, and the TRO against AgriNova is the most exposed part of our position.</w:t>
      </w:r>
    </w:p>
    <w:p>
      <w:pPr>
        <w:pStyle w:val="Compact"/>
        <w:numPr>
          <w:ilvl w:val="0"/>
          <w:numId w:val="1001"/>
        </w:numPr>
        <w:spacing w:after="160"/>
      </w:pPr>
      <w:r>
        <w:rPr>
          <w:rFonts w:ascii="Times New Roman" w:hAnsi="Times New Roman"/>
          <w:b/>
          <w:bCs/>
          <w:sz w:val="24"/>
        </w:rPr>
        <w:t xml:space="preserve">The most important legal problem is that neither of Tate’s agreements contains the DTSA whistleblower-immunity notice</w:t>
      </w:r>
      <w:r>
        <w:rPr>
          <w:rFonts w:ascii="Times New Roman" w:hAnsi="Times New Roman"/>
          <w:sz w:val="24"/>
        </w:rPr>
        <w:t xml:space="preserve"> </w:t>
      </w:r>
      <w:r>
        <w:rPr>
          <w:rFonts w:ascii="Times New Roman" w:hAnsi="Times New Roman"/>
          <w:sz w:val="24"/>
        </w:rPr>
        <w:t xml:space="preserve">(18 U.S.C. § 1833(b)). Both were signed after May 11, 2016. Without the notice, Verdant</w:t>
      </w:r>
      <w:r>
        <w:rPr>
          <w:rFonts w:ascii="Times New Roman" w:hAnsi="Times New Roman"/>
          <w:sz w:val="24"/>
        </w:rPr>
        <w:t xml:space="preserve"> </w:t>
      </w:r>
      <w:r>
        <w:rPr>
          <w:rFonts w:ascii="Times New Roman" w:hAnsi="Times New Roman"/>
          <w:b/>
          <w:bCs/>
          <w:sz w:val="24"/>
        </w:rPr>
        <w:t xml:space="preserve">cannot recover DTSA exemplary damages or attorneys’ fees from Tate</w:t>
      </w:r>
      <w:r>
        <w:rPr>
          <w:rFonts w:ascii="Times New Roman" w:hAnsi="Times New Roman"/>
          <w:sz w:val="24"/>
        </w:rPr>
        <w:t xml:space="preserve"> </w:t>
      </w:r>
      <w:r>
        <w:rPr>
          <w:rFonts w:ascii="Times New Roman" w:hAnsi="Times New Roman"/>
          <w:sz w:val="24"/>
        </w:rPr>
        <w:t xml:space="preserve">(§ 1833(b)(3)(C)). The Simmons workbook’s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up to $170.04M</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DTSA exemplary figure should not be used against Tate. The draft asks for DTSA exemplary damages and fees</w:t>
      </w:r>
      <w:r>
        <w:rPr>
          <w:rFonts w:ascii="Times New Roman" w:hAnsi="Times New Roman"/>
          <w:sz w:val="24"/>
        </w:rPr>
        <w:t xml:space="preserve"> </w:t>
      </w:r>
      <w:r>
        <w:rPr>
          <w:rFonts w:ascii="Times New Roman" w:hAnsi="Times New Roman"/>
          <w:b/>
          <w:bCs/>
          <w:sz w:val="24"/>
        </w:rPr>
        <w:t xml:space="preserve">only against AgriNova</w:t>
      </w:r>
      <w:r>
        <w:rPr>
          <w:rFonts w:ascii="Times New Roman" w:hAnsi="Times New Roman"/>
          <w:sz w:val="24"/>
        </w:rPr>
        <w:t xml:space="preserve">, which is not Tate’s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employer</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for this purpose. It seeks punitive damages and fees against Tate under NCTSPA § 66-154(c)–(d), Chapter 1D, and UDTPA instead. Verdant should also update its template CIAA for all current employees.</w:t>
      </w:r>
    </w:p>
    <w:p>
      <w:pPr>
        <w:pStyle w:val="Compact"/>
        <w:numPr>
          <w:ilvl w:val="0"/>
          <w:numId w:val="1001"/>
        </w:numPr>
        <w:spacing w:after="160"/>
      </w:pPr>
      <w:r>
        <w:rPr>
          <w:rFonts w:ascii="Times New Roman" w:hAnsi="Times New Roman"/>
          <w:b/>
          <w:bCs/>
          <w:sz w:val="24"/>
        </w:rPr>
        <w:t xml:space="preserve">We should file sooner than April 7.</w:t>
      </w:r>
      <w:r>
        <w:rPr>
          <w:rFonts w:ascii="Times New Roman" w:hAnsi="Times New Roman"/>
          <w:sz w:val="24"/>
        </w:rPr>
        <w:t xml:space="preserve"> </w:t>
      </w:r>
      <w:r>
        <w:rPr>
          <w:rFonts w:ascii="Times New Roman" w:hAnsi="Times New Roman"/>
          <w:sz w:val="24"/>
        </w:rPr>
        <w:t xml:space="preserve">Verdant has had the Sentinel report since February 15. It learned of the solicitations February 21 and March 5, and of the Heartland presentation March 12. A seven-week-plus gap weakens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irreparable harm</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emergency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story for a TRO. I recommend filing the complaint and TRO/expedited-discovery motion as soon as the verification and open items below are done.</w:t>
      </w:r>
    </w:p>
    <w:bookmarkEnd w:id="21"/>
    <w:bookmarkStart w:id="24" w:name="claims-pleaded-claims-omitted-and-why"/>
    <w:p>
      <w:pPr>
        <w:pStyle w:val="Heading1"/>
      </w:pPr>
      <w:r>
        <w:rPr>
          <w:rFonts w:ascii="Times New Roman" w:hAnsi="Times New Roman"/>
          <w:b/>
          <w:color w:val="000000"/>
          <w:sz w:val="26"/>
        </w:rPr>
        <w:t xml:space="preserve">2. Claims Pleaded, Claims Omitted, and Why</w:t>
      </w:r>
    </w:p>
    <w:bookmarkStart w:id="22" w:name="pleaded-11-counts"/>
    <w:p>
      <w:pPr>
        <w:pStyle w:val="Heading2"/>
      </w:pPr>
      <w:r>
        <w:rPr>
          <w:rFonts w:ascii="Times New Roman" w:hAnsi="Times New Roman"/>
          <w:b/>
          <w:color w:val="000000"/>
          <w:sz w:val="24"/>
        </w:rPr>
        <w:t xml:space="preserve">2.1 Pleaded (11 counts)</w:t>
      </w:r>
    </w:p>
    <w:tbl>
      <w:tblPr>
        <w:tblStyle w:val="Table"/>
        <w:tblW w:type="pct" w:w="5000"/>
        <w:jc w:val="left"/>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on"/>
        </w:trPr>
        <w:tc>
          <w:tcPr/>
          <w:p>
            <w:pPr>
              <w:pStyle w:val="Compact"/>
              <w:jc w:val="left"/>
            </w:pPr>
            <w:r>
              <w:rPr>
                <w:rFonts w:ascii="Times New Roman" w:hAnsi="Times New Roman"/>
                <w:sz w:val="21"/>
              </w:rPr>
              <w:t xml:space="preserve">#</w:t>
            </w:r>
          </w:p>
        </w:tc>
        <w:tc>
          <w:tcPr/>
          <w:p>
            <w:pPr>
              <w:pStyle w:val="Compact"/>
              <w:jc w:val="left"/>
            </w:pPr>
            <w:r>
              <w:rPr>
                <w:rFonts w:ascii="Times New Roman" w:hAnsi="Times New Roman"/>
                <w:sz w:val="21"/>
              </w:rPr>
              <w:t xml:space="preserve">Count</w:t>
            </w:r>
          </w:p>
        </w:tc>
        <w:tc>
          <w:tcPr/>
          <w:p>
            <w:pPr>
              <w:pStyle w:val="Compact"/>
              <w:jc w:val="left"/>
            </w:pPr>
            <w:r>
              <w:rPr>
                <w:rFonts w:ascii="Times New Roman" w:hAnsi="Times New Roman"/>
                <w:sz w:val="21"/>
              </w:rPr>
              <w:t xml:space="preserve">Defendant(s)</w:t>
            </w:r>
          </w:p>
        </w:tc>
        <w:tc>
          <w:tcPr/>
          <w:p>
            <w:pPr>
              <w:pStyle w:val="Compact"/>
              <w:jc w:val="left"/>
            </w:pPr>
            <w:r>
              <w:rPr>
                <w:rFonts w:ascii="Times New Roman" w:hAnsi="Times New Roman"/>
                <w:sz w:val="21"/>
              </w:rPr>
              <w:t xml:space="preserve">Strength / comment</w:t>
            </w:r>
          </w:p>
        </w:tc>
      </w:tr>
      <w:tr>
        <w:tc>
          <w:tcPr/>
          <w:p>
            <w:pPr>
              <w:pStyle w:val="Compact"/>
              <w:jc w:val="left"/>
            </w:pPr>
            <w:r>
              <w:rPr>
                <w:rFonts w:ascii="Times New Roman" w:hAnsi="Times New Roman"/>
                <w:sz w:val="21"/>
              </w:rPr>
              <w:t xml:space="preserve">I</w:t>
            </w:r>
          </w:p>
        </w:tc>
        <w:tc>
          <w:tcPr/>
          <w:p>
            <w:pPr>
              <w:pStyle w:val="Compact"/>
              <w:jc w:val="left"/>
            </w:pPr>
            <w:r>
              <w:rPr>
                <w:rFonts w:ascii="Times New Roman" w:hAnsi="Times New Roman"/>
                <w:sz w:val="21"/>
              </w:rPr>
              <w:t xml:space="preserve">DTSA, 18 U.S.C. § 1836</w:t>
            </w:r>
          </w:p>
        </w:tc>
        <w:tc>
          <w:tcPr/>
          <w:p>
            <w:pPr>
              <w:pStyle w:val="Compact"/>
              <w:jc w:val="left"/>
            </w:pPr>
            <w:r>
              <w:rPr>
                <w:rFonts w:ascii="Times New Roman" w:hAnsi="Times New Roman"/>
                <w:sz w:val="21"/>
              </w:rPr>
              <w:t xml:space="preserve">Both</w:t>
            </w:r>
          </w:p>
        </w:tc>
        <w:tc>
          <w:tcPr/>
          <w:p>
            <w:pPr>
              <w:pStyle w:val="Compact"/>
              <w:jc w:val="left"/>
            </w:pPr>
            <w:r>
              <w:rPr>
                <w:rFonts w:ascii="Times New Roman" w:hAnsi="Times New Roman"/>
                <w:b/>
                <w:bCs/>
                <w:sz w:val="21"/>
              </w:rPr>
              <w:t xml:space="preserve">Strong vs. Tate</w:t>
            </w:r>
            <w:r>
              <w:rPr>
                <w:rFonts w:ascii="Times New Roman" w:hAnsi="Times New Roman"/>
                <w:sz w:val="21"/>
              </w:rPr>
              <w:t xml:space="preserve"> </w:t>
            </w:r>
            <w:r>
              <w:rPr>
                <w:rFonts w:ascii="Times New Roman" w:hAnsi="Times New Roman"/>
                <w:sz w:val="21"/>
              </w:rPr>
              <w:t xml:space="preserve">on acquisition by improper means (breach of CIAA § 2.5 duty; USB; personal email).</w:t>
            </w:r>
            <w:r>
              <w:rPr>
                <w:rFonts w:ascii="Times New Roman" w:hAnsi="Times New Roman"/>
                <w:sz w:val="21"/>
              </w:rPr>
              <w:t xml:space="preserve"> </w:t>
            </w:r>
            <w:r>
              <w:rPr>
                <w:rFonts w:ascii="Times New Roman" w:hAnsi="Times New Roman"/>
                <w:b/>
                <w:bCs/>
                <w:sz w:val="21"/>
              </w:rPr>
              <w:t xml:space="preserve">Moderate-to-weak vs. AgriNova</w:t>
            </w:r>
            <w:r>
              <w:rPr>
                <w:rFonts w:ascii="Times New Roman" w:hAnsi="Times New Roman"/>
                <w:sz w:val="21"/>
              </w:rPr>
              <w:t xml:space="preserve"> </w:t>
            </w:r>
            <w:r>
              <w:rPr>
                <w:rFonts w:ascii="Times New Roman" w:hAnsi="Times New Roman"/>
                <w:sz w:val="21"/>
              </w:rPr>
              <w:t xml:space="preserve">on use: it relies on circumstantial allegations made on information and belief. Exemplary damages and fees are sought vs. AgriNova only (see § 1). The interstate-commerce element is easily met (38 states; Heartland (IA); Brazil and Canada licensing).</w:t>
            </w:r>
          </w:p>
        </w:tc>
      </w:tr>
      <w:tr>
        <w:tc>
          <w:tcPr/>
          <w:p>
            <w:pPr>
              <w:pStyle w:val="Compact"/>
              <w:jc w:val="left"/>
            </w:pPr>
            <w:r>
              <w:rPr>
                <w:rFonts w:ascii="Times New Roman" w:hAnsi="Times New Roman"/>
                <w:sz w:val="21"/>
              </w:rPr>
              <w:t xml:space="preserve">II</w:t>
            </w:r>
          </w:p>
        </w:tc>
        <w:tc>
          <w:tcPr/>
          <w:p>
            <w:pPr>
              <w:pStyle w:val="Compact"/>
              <w:jc w:val="left"/>
            </w:pPr>
            <w:r>
              <w:rPr>
                <w:rFonts w:ascii="Times New Roman" w:hAnsi="Times New Roman"/>
                <w:sz w:val="21"/>
              </w:rPr>
              <w:t xml:space="preserve">NCTSPA, § 66-152 et seq.</w:t>
            </w:r>
          </w:p>
        </w:tc>
        <w:tc>
          <w:tcPr/>
          <w:p>
            <w:pPr>
              <w:pStyle w:val="Compact"/>
              <w:jc w:val="left"/>
            </w:pPr>
            <w:r>
              <w:rPr>
                <w:rFonts w:ascii="Times New Roman" w:hAnsi="Times New Roman"/>
                <w:sz w:val="21"/>
              </w:rPr>
              <w:t xml:space="preserve">Both</w:t>
            </w:r>
          </w:p>
        </w:tc>
        <w:tc>
          <w:tcPr/>
          <w:p>
            <w:pPr>
              <w:pStyle w:val="Compact"/>
              <w:jc w:val="left"/>
            </w:pPr>
            <w:r>
              <w:rPr>
                <w:rFonts w:ascii="Times New Roman" w:hAnsi="Times New Roman"/>
                <w:sz w:val="21"/>
              </w:rPr>
              <w:t xml:space="preserve">Same facts. The § 66-155 prima facie presumption (access plus opportunity) helps.</w:t>
            </w:r>
            <w:r>
              <w:rPr>
                <w:rFonts w:ascii="Times New Roman" w:hAnsi="Times New Roman"/>
                <w:sz w:val="21"/>
              </w:rPr>
              <w:t xml:space="preserve"> </w:t>
            </w:r>
            <w:r>
              <w:rPr>
                <w:rFonts w:ascii="Times New Roman" w:hAnsi="Times New Roman"/>
                <w:b/>
                <w:bCs/>
                <w:sz w:val="21"/>
              </w:rPr>
              <w:t xml:space="preserve">Watch the particularity requirement:</w:t>
            </w:r>
            <w:r>
              <w:rPr>
                <w:rFonts w:ascii="Times New Roman" w:hAnsi="Times New Roman"/>
                <w:sz w:val="21"/>
              </w:rPr>
              <w:t xml:space="preserve"> </w:t>
            </w:r>
            <w:r>
              <w:rPr>
                <w:rFonts w:ascii="Times New Roman" w:hAnsi="Times New Roman"/>
                <w:sz w:val="21"/>
              </w:rPr>
              <w:t xml:space="preserve">North Carolina courts dismiss vague identifications. The draft names four categories by VaultSci directory and content type. Be ready to serve a sealed, more detailed identification early.</w:t>
            </w:r>
          </w:p>
        </w:tc>
      </w:tr>
      <w:tr>
        <w:tc>
          <w:tcPr/>
          <w:p>
            <w:pPr>
              <w:pStyle w:val="Compact"/>
              <w:jc w:val="left"/>
            </w:pPr>
            <w:r>
              <w:rPr>
                <w:rFonts w:ascii="Times New Roman" w:hAnsi="Times New Roman"/>
                <w:sz w:val="21"/>
              </w:rPr>
              <w:t xml:space="preserve">III</w:t>
            </w:r>
          </w:p>
        </w:tc>
        <w:tc>
          <w:tcPr/>
          <w:p>
            <w:pPr>
              <w:pStyle w:val="Compact"/>
              <w:jc w:val="left"/>
            </w:pPr>
            <w:r>
              <w:rPr>
                <w:rFonts w:ascii="Times New Roman" w:hAnsi="Times New Roman"/>
                <w:sz w:val="21"/>
              </w:rPr>
              <w:t xml:space="preserve">Breach of CIAA</w:t>
            </w:r>
          </w:p>
        </w:tc>
        <w:tc>
          <w:tcPr/>
          <w:p>
            <w:pPr>
              <w:pStyle w:val="Compact"/>
              <w:jc w:val="left"/>
            </w:pPr>
            <w:r>
              <w:rPr>
                <w:rFonts w:ascii="Times New Roman" w:hAnsi="Times New Roman"/>
                <w:sz w:val="21"/>
              </w:rPr>
              <w:t xml:space="preserve">Tate</w:t>
            </w:r>
          </w:p>
        </w:tc>
        <w:tc>
          <w:tcPr/>
          <w:p>
            <w:pPr>
              <w:pStyle w:val="Compact"/>
              <w:jc w:val="left"/>
            </w:pPr>
            <w:r>
              <w:rPr>
                <w:rFonts w:ascii="Times New Roman" w:hAnsi="Times New Roman"/>
                <w:sz w:val="21"/>
              </w:rPr>
              <w:t xml:space="preserve">Strong: USB (§ 2.5), laptop wipe (§ 4.4), failure to return or certify (§§ 4.1–4.3). Carries the forensic-cost damages and the indemnity/fee clause (§ 7.3).</w:t>
            </w:r>
          </w:p>
        </w:tc>
      </w:tr>
      <w:tr>
        <w:tc>
          <w:tcPr/>
          <w:p>
            <w:pPr>
              <w:pStyle w:val="Compact"/>
              <w:jc w:val="left"/>
            </w:pPr>
            <w:r>
              <w:rPr>
                <w:rFonts w:ascii="Times New Roman" w:hAnsi="Times New Roman"/>
                <w:sz w:val="21"/>
              </w:rPr>
              <w:t xml:space="preserve">IV</w:t>
            </w:r>
          </w:p>
        </w:tc>
        <w:tc>
          <w:tcPr/>
          <w:p>
            <w:pPr>
              <w:pStyle w:val="Compact"/>
              <w:jc w:val="left"/>
            </w:pPr>
            <w:r>
              <w:rPr>
                <w:rFonts w:ascii="Times New Roman" w:hAnsi="Times New Roman"/>
                <w:sz w:val="21"/>
              </w:rPr>
              <w:t xml:space="preserve">Employee non-solicit (EA § 5.3)</w:t>
            </w:r>
          </w:p>
        </w:tc>
        <w:tc>
          <w:tcPr/>
          <w:p>
            <w:pPr>
              <w:pStyle w:val="Compact"/>
              <w:jc w:val="left"/>
            </w:pPr>
            <w:r>
              <w:rPr>
                <w:rFonts w:ascii="Times New Roman" w:hAnsi="Times New Roman"/>
                <w:sz w:val="21"/>
              </w:rPr>
              <w:t xml:space="preserve">Tate</w:t>
            </w:r>
          </w:p>
        </w:tc>
        <w:tc>
          <w:tcPr/>
          <w:p>
            <w:pPr>
              <w:pStyle w:val="Compact"/>
              <w:jc w:val="left"/>
            </w:pPr>
            <w:r>
              <w:rPr>
                <w:rFonts w:ascii="Times New Roman" w:hAnsi="Times New Roman"/>
                <w:b/>
                <w:bCs/>
                <w:sz w:val="21"/>
              </w:rPr>
              <w:t xml:space="preserve">Kowalski: strong.</w:t>
            </w:r>
            <w:r>
              <w:rPr>
                <w:rFonts w:ascii="Times New Roman" w:hAnsi="Times New Roman"/>
                <w:sz w:val="21"/>
              </w:rPr>
              <w:t xml:space="preserve"> </w:t>
            </w:r>
            <w:r>
              <w:rPr>
                <w:rFonts w:ascii="Times New Roman" w:hAnsi="Times New Roman"/>
                <w:sz w:val="21"/>
              </w:rPr>
              <w:t xml:space="preserve">The covenant reaches</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encourage</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and</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induce,</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and the text asks</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are you happy at Verdant?</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and says</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looking for top talent.</w:t>
            </w:r>
            <w:r>
              <w:rPr>
                <w:rFonts w:ascii="Times New Roman" w:hAnsi="Times New Roman"/>
                <w:sz w:val="21"/>
              </w:rPr>
              <w:t xml:space="preserve">”</w:t>
            </w:r>
            <w:r>
              <w:rPr>
                <w:rFonts w:ascii="Times New Roman" w:hAnsi="Times New Roman"/>
                <w:sz w:val="21"/>
              </w:rPr>
              <w:t xml:space="preserve"> </w:t>
            </w:r>
            <w:r>
              <w:rPr>
                <w:rFonts w:ascii="Times New Roman" w:hAnsi="Times New Roman"/>
                <w:b/>
                <w:bCs/>
                <w:sz w:val="21"/>
              </w:rPr>
              <w:t xml:space="preserve">Okonkwo: strong on contract language, weaker on proof.</w:t>
            </w:r>
            <w:r>
              <w:rPr>
                <w:rFonts w:ascii="Times New Roman" w:hAnsi="Times New Roman"/>
                <w:sz w:val="21"/>
              </w:rPr>
              <w:t xml:space="preserve"> </w:t>
            </w:r>
            <w:r>
              <w:rPr>
                <w:rFonts w:ascii="Times New Roman" w:hAnsi="Times New Roman"/>
                <w:sz w:val="21"/>
              </w:rPr>
              <w:t xml:space="preserve">§ 5.3 expressly bars</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providing . . . recommendations . . . to recruiters.</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That squarely supports Showalter’s indirect-solicitation theory, and the draft pleads it (¶¶ on Okonkwo, Count IV). The evidentiary gap is covered in § 4.3.</w:t>
            </w:r>
          </w:p>
        </w:tc>
      </w:tr>
      <w:tr>
        <w:tc>
          <w:tcPr/>
          <w:p>
            <w:pPr>
              <w:pStyle w:val="Compact"/>
              <w:jc w:val="left"/>
            </w:pPr>
            <w:r>
              <w:rPr>
                <w:rFonts w:ascii="Times New Roman" w:hAnsi="Times New Roman"/>
                <w:sz w:val="21"/>
              </w:rPr>
              <w:t xml:space="preserve">V</w:t>
            </w:r>
          </w:p>
        </w:tc>
        <w:tc>
          <w:tcPr/>
          <w:p>
            <w:pPr>
              <w:pStyle w:val="Compact"/>
              <w:jc w:val="left"/>
            </w:pPr>
            <w:r>
              <w:rPr>
                <w:rFonts w:ascii="Times New Roman" w:hAnsi="Times New Roman"/>
                <w:sz w:val="21"/>
              </w:rPr>
              <w:t xml:space="preserve">Non-compete (EA § 5.2)</w:t>
            </w:r>
          </w:p>
        </w:tc>
        <w:tc>
          <w:tcPr/>
          <w:p>
            <w:pPr>
              <w:pStyle w:val="Compact"/>
              <w:jc w:val="left"/>
            </w:pPr>
            <w:r>
              <w:rPr>
                <w:rFonts w:ascii="Times New Roman" w:hAnsi="Times New Roman"/>
                <w:sz w:val="21"/>
              </w:rPr>
              <w:t xml:space="preserve">Tate</w:t>
            </w:r>
          </w:p>
        </w:tc>
        <w:tc>
          <w:tcPr/>
          <w:p>
            <w:pPr>
              <w:pStyle w:val="Compact"/>
              <w:jc w:val="left"/>
            </w:pPr>
            <w:r>
              <w:rPr>
                <w:rFonts w:ascii="Times New Roman" w:hAnsi="Times New Roman"/>
                <w:sz w:val="21"/>
              </w:rPr>
              <w:t xml:space="preserve">Factually clear (CSO of a competitor), but</w:t>
            </w:r>
            <w:r>
              <w:rPr>
                <w:rFonts w:ascii="Times New Roman" w:hAnsi="Times New Roman"/>
                <w:sz w:val="21"/>
              </w:rPr>
              <w:t xml:space="preserve"> </w:t>
            </w:r>
            <w:r>
              <w:rPr>
                <w:rFonts w:ascii="Times New Roman" w:hAnsi="Times New Roman"/>
                <w:b/>
                <w:bCs/>
                <w:sz w:val="21"/>
              </w:rPr>
              <w:t xml:space="preserve">legally the most vulnerable covenant</w:t>
            </w:r>
            <w:r>
              <w:rPr>
                <w:rFonts w:ascii="Times New Roman" w:hAnsi="Times New Roman"/>
                <w:sz w:val="21"/>
              </w:rPr>
              <w:t xml:space="preserve"> </w:t>
            </w:r>
            <w:r>
              <w:rPr>
                <w:rFonts w:ascii="Times New Roman" w:hAnsi="Times New Roman"/>
                <w:sz w:val="21"/>
              </w:rPr>
              <w:t xml:space="preserve">(§ 4.1). It is pleaded as a separate count, and the relief asked for is narrowed to R&amp;D and product-development roles on competing microbial products. That way, if the court rejects the full covenant, the other counts are unaffected.</w:t>
            </w:r>
          </w:p>
        </w:tc>
      </w:tr>
      <w:tr>
        <w:tc>
          <w:tcPr/>
          <w:p>
            <w:pPr>
              <w:pStyle w:val="Compact"/>
              <w:jc w:val="left"/>
            </w:pPr>
            <w:r>
              <w:rPr>
                <w:rFonts w:ascii="Times New Roman" w:hAnsi="Times New Roman"/>
                <w:sz w:val="21"/>
              </w:rPr>
              <w:t xml:space="preserve">VI</w:t>
            </w:r>
          </w:p>
        </w:tc>
        <w:tc>
          <w:tcPr/>
          <w:p>
            <w:pPr>
              <w:pStyle w:val="Compact"/>
              <w:jc w:val="left"/>
            </w:pPr>
            <w:r>
              <w:rPr>
                <w:rFonts w:ascii="Times New Roman" w:hAnsi="Times New Roman"/>
                <w:sz w:val="21"/>
              </w:rPr>
              <w:t xml:space="preserve">Customer non-solicit (EA § 5.4)</w:t>
            </w:r>
          </w:p>
        </w:tc>
        <w:tc>
          <w:tcPr/>
          <w:p>
            <w:pPr>
              <w:pStyle w:val="Compact"/>
              <w:jc w:val="left"/>
            </w:pPr>
            <w:r>
              <w:rPr>
                <w:rFonts w:ascii="Times New Roman" w:hAnsi="Times New Roman"/>
                <w:sz w:val="21"/>
              </w:rPr>
              <w:t xml:space="preserve">Tate</w:t>
            </w:r>
          </w:p>
        </w:tc>
        <w:tc>
          <w:tcPr/>
          <w:p>
            <w:pPr>
              <w:pStyle w:val="Compact"/>
              <w:jc w:val="left"/>
            </w:pPr>
            <w:r>
              <w:rPr>
                <w:rFonts w:ascii="Times New Roman" w:hAnsi="Times New Roman"/>
                <w:b/>
                <w:bCs/>
                <w:sz w:val="21"/>
              </w:rPr>
              <w:t xml:space="preserve">Weak on present facts.</w:t>
            </w:r>
            <w:r>
              <w:rPr>
                <w:rFonts w:ascii="Times New Roman" w:hAnsi="Times New Roman"/>
                <w:sz w:val="21"/>
              </w:rPr>
              <w:t xml:space="preserve"> </w:t>
            </w:r>
            <w:r>
              <w:rPr>
                <w:rFonts w:ascii="Times New Roman" w:hAnsi="Times New Roman"/>
                <w:sz w:val="21"/>
              </w:rPr>
              <w:t xml:space="preserve">Heartland reported that</w:t>
            </w:r>
            <w:r>
              <w:rPr>
                <w:rFonts w:ascii="Times New Roman" w:hAnsi="Times New Roman"/>
                <w:sz w:val="21"/>
              </w:rPr>
              <w:t xml:space="preserve"> </w:t>
            </w:r>
            <w:r>
              <w:rPr>
                <w:rFonts w:ascii="Times New Roman" w:hAnsi="Times New Roman"/>
                <w:i/>
                <w:iCs/>
                <w:sz w:val="21"/>
              </w:rPr>
              <w:t xml:space="preserve">AgriNova</w:t>
            </w:r>
            <w:r>
              <w:rPr>
                <w:rFonts w:ascii="Times New Roman" w:hAnsi="Times New Roman"/>
                <w:sz w:val="21"/>
              </w:rPr>
              <w:t xml:space="preserve"> </w:t>
            </w:r>
            <w:r>
              <w:rPr>
                <w:rFonts w:ascii="Times New Roman" w:hAnsi="Times New Roman"/>
                <w:sz w:val="21"/>
              </w:rPr>
              <w:t xml:space="preserve">presented BioYield. Nothing yet shows Tate attended or took part. It is pleaded on information and belief.</w:t>
            </w:r>
            <w:r>
              <w:rPr>
                <w:rFonts w:ascii="Times New Roman" w:hAnsi="Times New Roman"/>
                <w:sz w:val="21"/>
              </w:rPr>
              <w:t xml:space="preserve"> </w:t>
            </w:r>
            <w:r>
              <w:rPr>
                <w:rFonts w:ascii="Times New Roman" w:hAnsi="Times New Roman"/>
                <w:b/>
                <w:bCs/>
                <w:sz w:val="21"/>
              </w:rPr>
              <w:t xml:space="preserve">Before filing, confirm with Heartland who presented</w:t>
            </w:r>
            <w:r>
              <w:rPr>
                <w:rFonts w:ascii="Times New Roman" w:hAnsi="Times New Roman"/>
                <w:sz w:val="21"/>
              </w:rPr>
              <w:t xml:space="preserve"> </w:t>
            </w:r>
            <w:r>
              <w:rPr>
                <w:rFonts w:ascii="Times New Roman" w:hAnsi="Times New Roman"/>
                <w:sz w:val="21"/>
              </w:rPr>
              <w:t xml:space="preserve">or drop the count (Rule 11).</w:t>
            </w:r>
          </w:p>
        </w:tc>
      </w:tr>
      <w:tr>
        <w:tc>
          <w:tcPr/>
          <w:p>
            <w:pPr>
              <w:pStyle w:val="Compact"/>
              <w:jc w:val="left"/>
            </w:pPr>
            <w:r>
              <w:rPr>
                <w:rFonts w:ascii="Times New Roman" w:hAnsi="Times New Roman"/>
                <w:sz w:val="21"/>
              </w:rPr>
              <w:t xml:space="preserve">VII</w:t>
            </w:r>
          </w:p>
        </w:tc>
        <w:tc>
          <w:tcPr/>
          <w:p>
            <w:pPr>
              <w:pStyle w:val="Compact"/>
              <w:jc w:val="left"/>
            </w:pPr>
            <w:r>
              <w:rPr>
                <w:rFonts w:ascii="Times New Roman" w:hAnsi="Times New Roman"/>
                <w:sz w:val="21"/>
              </w:rPr>
              <w:t xml:space="preserve">Notice provision (EA § 7.3)</w:t>
            </w:r>
          </w:p>
        </w:tc>
        <w:tc>
          <w:tcPr/>
          <w:p>
            <w:pPr>
              <w:pStyle w:val="Compact"/>
              <w:jc w:val="left"/>
            </w:pPr>
            <w:r>
              <w:rPr>
                <w:rFonts w:ascii="Times New Roman" w:hAnsi="Times New Roman"/>
                <w:sz w:val="21"/>
              </w:rPr>
              <w:t xml:space="preserve">Tate</w:t>
            </w:r>
          </w:p>
        </w:tc>
        <w:tc>
          <w:tcPr/>
          <w:p>
            <w:pPr>
              <w:pStyle w:val="Compact"/>
              <w:jc w:val="left"/>
            </w:pPr>
            <w:r>
              <w:rPr>
                <w:rFonts w:ascii="Times New Roman" w:hAnsi="Times New Roman"/>
                <w:sz w:val="21"/>
              </w:rPr>
              <w:t xml:space="preserve">The breach is technically clear: 53 days’ notice, not 60 (Nov. 18, 2024 → Jan. 10, 2025; 60 days would have been Jan. 17).</w:t>
            </w:r>
            <w:r>
              <w:rPr>
                <w:rFonts w:ascii="Times New Roman" w:hAnsi="Times New Roman"/>
                <w:sz w:val="21"/>
              </w:rPr>
              <w:t xml:space="preserve"> </w:t>
            </w:r>
            <w:r>
              <w:rPr>
                <w:rFonts w:ascii="Times New Roman" w:hAnsi="Times New Roman"/>
                <w:b/>
                <w:bCs/>
                <w:sz w:val="21"/>
              </w:rPr>
              <w:t xml:space="preserve">Damages are nominal</w:t>
            </w:r>
            <w:r>
              <w:rPr>
                <w:rFonts w:ascii="Times New Roman" w:hAnsi="Times New Roman"/>
                <w:sz w:val="21"/>
              </w:rPr>
              <w:t xml:space="preserve"> </w:t>
            </w:r>
            <w:r>
              <w:rPr>
                <w:rFonts w:ascii="Times New Roman" w:hAnsi="Times New Roman"/>
                <w:sz w:val="21"/>
              </w:rPr>
              <w:t xml:space="preserve">(§ 3.1).</w:t>
            </w:r>
          </w:p>
        </w:tc>
      </w:tr>
      <w:tr>
        <w:tc>
          <w:tcPr/>
          <w:p>
            <w:pPr>
              <w:pStyle w:val="Compact"/>
              <w:jc w:val="left"/>
            </w:pPr>
            <w:r>
              <w:rPr>
                <w:rFonts w:ascii="Times New Roman" w:hAnsi="Times New Roman"/>
                <w:sz w:val="21"/>
              </w:rPr>
              <w:t xml:space="preserve">VIII</w:t>
            </w:r>
          </w:p>
        </w:tc>
        <w:tc>
          <w:tcPr/>
          <w:p>
            <w:pPr>
              <w:pStyle w:val="Compact"/>
              <w:jc w:val="left"/>
            </w:pPr>
            <w:r>
              <w:rPr>
                <w:rFonts w:ascii="Times New Roman" w:hAnsi="Times New Roman"/>
                <w:sz w:val="21"/>
              </w:rPr>
              <w:t xml:space="preserve">Tortious interference with contract</w:t>
            </w:r>
          </w:p>
        </w:tc>
        <w:tc>
          <w:tcPr/>
          <w:p>
            <w:pPr>
              <w:pStyle w:val="Compact"/>
              <w:jc w:val="left"/>
            </w:pPr>
            <w:r>
              <w:rPr>
                <w:rFonts w:ascii="Times New Roman" w:hAnsi="Times New Roman"/>
                <w:sz w:val="21"/>
              </w:rPr>
              <w:t xml:space="preserve">AgriNova</w:t>
            </w:r>
          </w:p>
        </w:tc>
        <w:tc>
          <w:tcPr/>
          <w:p>
            <w:pPr>
              <w:pStyle w:val="Compact"/>
              <w:jc w:val="left"/>
            </w:pPr>
            <w:r>
              <w:rPr>
                <w:rFonts w:ascii="Times New Roman" w:hAnsi="Times New Roman"/>
                <w:sz w:val="21"/>
              </w:rPr>
              <w:t xml:space="preserve">Depends on AgriNova’s knowledge of the covenants, which is</w:t>
            </w:r>
            <w:r>
              <w:rPr>
                <w:rFonts w:ascii="Times New Roman" w:hAnsi="Times New Roman"/>
                <w:sz w:val="21"/>
              </w:rPr>
              <w:t xml:space="preserve"> </w:t>
            </w:r>
            <w:r>
              <w:rPr>
                <w:rFonts w:ascii="Times New Roman" w:hAnsi="Times New Roman"/>
                <w:b/>
                <w:bCs/>
                <w:sz w:val="21"/>
              </w:rPr>
              <w:t xml:space="preserve">currently pleaded only on inference</w:t>
            </w:r>
            <w:r>
              <w:rPr>
                <w:rFonts w:ascii="Times New Roman" w:hAnsi="Times New Roman"/>
                <w:sz w:val="21"/>
              </w:rPr>
              <w:t xml:space="preserve">. North Carolina also recognizes a competitor’s privilege to hire, so we must plead conduct</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without justification.</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The draft relies on AgriNova inducing confidentiality breaches and using misappropriated secrets.</w:t>
            </w:r>
          </w:p>
        </w:tc>
      </w:tr>
      <w:tr>
        <w:tc>
          <w:tcPr/>
          <w:p>
            <w:pPr>
              <w:pStyle w:val="Compact"/>
              <w:jc w:val="left"/>
            </w:pPr>
            <w:r>
              <w:rPr>
                <w:rFonts w:ascii="Times New Roman" w:hAnsi="Times New Roman"/>
                <w:sz w:val="21"/>
              </w:rPr>
              <w:t xml:space="preserve">IX</w:t>
            </w:r>
          </w:p>
        </w:tc>
        <w:tc>
          <w:tcPr/>
          <w:p>
            <w:pPr>
              <w:pStyle w:val="Compact"/>
              <w:jc w:val="left"/>
            </w:pPr>
            <w:r>
              <w:rPr>
                <w:rFonts w:ascii="Times New Roman" w:hAnsi="Times New Roman"/>
                <w:sz w:val="21"/>
              </w:rPr>
              <w:t xml:space="preserve">UDTPA, § 75-1.1</w:t>
            </w:r>
          </w:p>
        </w:tc>
        <w:tc>
          <w:tcPr/>
          <w:p>
            <w:pPr>
              <w:pStyle w:val="Compact"/>
              <w:jc w:val="left"/>
            </w:pPr>
            <w:r>
              <w:rPr>
                <w:rFonts w:ascii="Times New Roman" w:hAnsi="Times New Roman"/>
                <w:sz w:val="21"/>
              </w:rPr>
              <w:t xml:space="preserve">Both</w:t>
            </w:r>
          </w:p>
        </w:tc>
        <w:tc>
          <w:tcPr/>
          <w:p>
            <w:pPr>
              <w:pStyle w:val="Compact"/>
              <w:jc w:val="left"/>
            </w:pPr>
            <w:r>
              <w:rPr>
                <w:rFonts w:ascii="Times New Roman" w:hAnsi="Times New Roman"/>
                <w:b/>
                <w:bCs/>
                <w:sz w:val="21"/>
              </w:rPr>
              <w:t xml:space="preserve">Added: this was not in Showalter’s list.</w:t>
            </w:r>
            <w:r>
              <w:rPr>
                <w:rFonts w:ascii="Times New Roman" w:hAnsi="Times New Roman"/>
                <w:sz w:val="21"/>
              </w:rPr>
              <w:t xml:space="preserve"> </w:t>
            </w:r>
            <w:r>
              <w:rPr>
                <w:rFonts w:ascii="Times New Roman" w:hAnsi="Times New Roman"/>
                <w:sz w:val="21"/>
              </w:rPr>
              <w:t xml:space="preserve">Misappropriation by a competitor is a well-recognized UDTPA predicate, and it brings mandatory trebling (§ 75-16) and possible fees (§ 75-16.1).</w:t>
            </w:r>
            <w:r>
              <w:rPr>
                <w:rFonts w:ascii="Times New Roman" w:hAnsi="Times New Roman"/>
                <w:sz w:val="21"/>
              </w:rPr>
              <w:t xml:space="preserve"> </w:t>
            </w:r>
            <w:r>
              <w:rPr>
                <w:rFonts w:ascii="Times New Roman" w:hAnsi="Times New Roman"/>
                <w:b/>
                <w:bCs/>
                <w:sz w:val="21"/>
              </w:rPr>
              <w:t xml:space="preserve">Risk vs. Tate:</w:t>
            </w:r>
            <w:r>
              <w:rPr>
                <w:rFonts w:ascii="Times New Roman" w:hAnsi="Times New Roman"/>
                <w:sz w:val="21"/>
              </w:rPr>
              <w:t xml:space="preserve"> </w:t>
            </w:r>
            <w:r>
              <w:rPr>
                <w:rFonts w:ascii="Times New Roman" w:hAnsi="Times New Roman"/>
                <w:sz w:val="21"/>
              </w:rPr>
              <w:t xml:space="preserve">the employer-employee</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not in or affecting commerce</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line of cases (</w:t>
            </w:r>
            <w:r>
              <w:rPr>
                <w:rFonts w:ascii="Times New Roman" w:hAnsi="Times New Roman"/>
                <w:i/>
                <w:iCs/>
                <w:sz w:val="21"/>
              </w:rPr>
              <w:t xml:space="preserve">e.g.</w:t>
            </w:r>
            <w:r>
              <w:rPr>
                <w:rFonts w:ascii="Times New Roman" w:hAnsi="Times New Roman"/>
                <w:sz w:val="21"/>
              </w:rPr>
              <w:t xml:space="preserve">,</w:t>
            </w:r>
            <w:r>
              <w:rPr>
                <w:rFonts w:ascii="Times New Roman" w:hAnsi="Times New Roman"/>
                <w:sz w:val="21"/>
              </w:rPr>
              <w:t xml:space="preserve"> </w:t>
            </w:r>
            <w:r>
              <w:rPr>
                <w:rFonts w:ascii="Times New Roman" w:hAnsi="Times New Roman"/>
                <w:i/>
                <w:iCs/>
                <w:sz w:val="21"/>
              </w:rPr>
              <w:t xml:space="preserve">Dalton v. Camp</w:t>
            </w:r>
            <w:r>
              <w:rPr>
                <w:rFonts w:ascii="Times New Roman" w:hAnsi="Times New Roman"/>
                <w:sz w:val="21"/>
              </w:rPr>
              <w:t xml:space="preserve">, 353 N.C. 647 (2001)). The draft frames Tate’s acts as done for a competitor. Expect a motion to dismiss as to Tate. Plaintiff must elect between UDTPA trebling and punitive damages at judgment.</w:t>
            </w:r>
          </w:p>
        </w:tc>
      </w:tr>
      <w:tr>
        <w:tc>
          <w:tcPr/>
          <w:p>
            <w:pPr>
              <w:pStyle w:val="Compact"/>
              <w:jc w:val="left"/>
            </w:pPr>
            <w:r>
              <w:rPr>
                <w:rFonts w:ascii="Times New Roman" w:hAnsi="Times New Roman"/>
                <w:sz w:val="21"/>
              </w:rPr>
              <w:t xml:space="preserve">X</w:t>
            </w:r>
          </w:p>
        </w:tc>
        <w:tc>
          <w:tcPr/>
          <w:p>
            <w:pPr>
              <w:pStyle w:val="Compact"/>
              <w:jc w:val="left"/>
            </w:pPr>
            <w:r>
              <w:rPr>
                <w:rFonts w:ascii="Times New Roman" w:hAnsi="Times New Roman"/>
                <w:sz w:val="21"/>
              </w:rPr>
              <w:t xml:space="preserve">Unjust enrichment</w:t>
            </w:r>
          </w:p>
        </w:tc>
        <w:tc>
          <w:tcPr/>
          <w:p>
            <w:pPr>
              <w:pStyle w:val="Compact"/>
              <w:jc w:val="left"/>
            </w:pPr>
            <w:r>
              <w:rPr>
                <w:rFonts w:ascii="Times New Roman" w:hAnsi="Times New Roman"/>
                <w:sz w:val="21"/>
              </w:rPr>
              <w:t xml:space="preserve">AgriNova only</w:t>
            </w:r>
          </w:p>
        </w:tc>
        <w:tc>
          <w:tcPr/>
          <w:p>
            <w:pPr>
              <w:pStyle w:val="Compact"/>
              <w:jc w:val="left"/>
            </w:pPr>
            <w:r>
              <w:rPr>
                <w:rFonts w:ascii="Times New Roman" w:hAnsi="Times New Roman"/>
                <w:b/>
                <w:bCs/>
                <w:sz w:val="21"/>
              </w:rPr>
              <w:t xml:space="preserve">Deliberately not pleaded against Tate:</w:t>
            </w:r>
            <w:r>
              <w:rPr>
                <w:rFonts w:ascii="Times New Roman" w:hAnsi="Times New Roman"/>
                <w:sz w:val="21"/>
              </w:rPr>
              <w:t xml:space="preserve"> </w:t>
            </w:r>
            <w:r>
              <w:rPr>
                <w:rFonts w:ascii="Times New Roman" w:hAnsi="Times New Roman"/>
                <w:sz w:val="21"/>
              </w:rPr>
              <w:t xml:space="preserve">an express contract (the CIAA/EA) covers the subject, which bars quasi-contract. Against AgriNova it is pleaded in the alternative. Risk: North Carolina requires that the plaintiff</w:t>
            </w:r>
            <w:r>
              <w:rPr>
                <w:rFonts w:ascii="Times New Roman" w:hAnsi="Times New Roman"/>
                <w:sz w:val="21"/>
              </w:rPr>
              <w:t xml:space="preserve"> </w:t>
            </w:r>
            <w:r>
              <w:rPr>
                <w:rFonts w:ascii="Times New Roman" w:hAnsi="Times New Roman"/>
                <w:i/>
                <w:iCs/>
                <w:sz w:val="21"/>
              </w:rPr>
              <w:t xml:space="preserve">conferred</w:t>
            </w:r>
            <w:r>
              <w:rPr>
                <w:rFonts w:ascii="Times New Roman" w:hAnsi="Times New Roman"/>
                <w:sz w:val="21"/>
              </w:rPr>
              <w:t xml:space="preserve"> </w:t>
            </w:r>
            <w:r>
              <w:rPr>
                <w:rFonts w:ascii="Times New Roman" w:hAnsi="Times New Roman"/>
                <w:sz w:val="21"/>
              </w:rPr>
              <w:t xml:space="preserve">the benefit, and some courts reject unjust enrichment built on misappropriation. It is a low-value count.</w:t>
            </w:r>
          </w:p>
        </w:tc>
      </w:tr>
      <w:tr>
        <w:tc>
          <w:tcPr/>
          <w:p>
            <w:pPr>
              <w:pStyle w:val="Compact"/>
              <w:jc w:val="left"/>
            </w:pPr>
            <w:r>
              <w:rPr>
                <w:rFonts w:ascii="Times New Roman" w:hAnsi="Times New Roman"/>
                <w:sz w:val="21"/>
              </w:rPr>
              <w:t xml:space="preserve">XI</w:t>
            </w:r>
          </w:p>
        </w:tc>
        <w:tc>
          <w:tcPr/>
          <w:p>
            <w:pPr>
              <w:pStyle w:val="Compact"/>
              <w:jc w:val="left"/>
            </w:pPr>
            <w:r>
              <w:rPr>
                <w:rFonts w:ascii="Times New Roman" w:hAnsi="Times New Roman"/>
                <w:sz w:val="21"/>
              </w:rPr>
              <w:t xml:space="preserve">Civil conspiracy</w:t>
            </w:r>
          </w:p>
        </w:tc>
        <w:tc>
          <w:tcPr/>
          <w:p>
            <w:pPr>
              <w:pStyle w:val="Compact"/>
              <w:jc w:val="left"/>
            </w:pPr>
            <w:r>
              <w:rPr>
                <w:rFonts w:ascii="Times New Roman" w:hAnsi="Times New Roman"/>
                <w:sz w:val="21"/>
              </w:rPr>
              <w:t xml:space="preserve">Both</w:t>
            </w:r>
          </w:p>
        </w:tc>
        <w:tc>
          <w:tcPr/>
          <w:p>
            <w:pPr>
              <w:pStyle w:val="Compact"/>
              <w:jc w:val="left"/>
            </w:pPr>
            <w:r>
              <w:rPr>
                <w:rFonts w:ascii="Times New Roman" w:hAnsi="Times New Roman"/>
                <w:sz w:val="21"/>
              </w:rPr>
              <w:t xml:space="preserve">Not an independent claim in North Carolina; it depends on an underlying tort (NCTSPA, UDTPA, interference). The alleged agreement is dated to</w:t>
            </w:r>
            <w:r>
              <w:rPr>
                <w:rFonts w:ascii="Times New Roman" w:hAnsi="Times New Roman"/>
                <w:sz w:val="21"/>
              </w:rPr>
              <w:t xml:space="preserve"> </w:t>
            </w:r>
            <w:r>
              <w:rPr>
                <w:rFonts w:ascii="Times New Roman" w:hAnsi="Times New Roman"/>
                <w:b/>
                <w:bCs/>
                <w:sz w:val="21"/>
              </w:rPr>
              <w:t xml:space="preserve">before</w:t>
            </w:r>
            <w:r>
              <w:rPr>
                <w:rFonts w:ascii="Times New Roman" w:hAnsi="Times New Roman"/>
                <w:sz w:val="21"/>
              </w:rPr>
              <w:t xml:space="preserve"> </w:t>
            </w:r>
            <w:r>
              <w:rPr>
                <w:rFonts w:ascii="Times New Roman" w:hAnsi="Times New Roman"/>
                <w:sz w:val="21"/>
              </w:rPr>
              <w:t xml:space="preserve">Tate joined AgriNova (Oct.–Nov. 2024) to avoid the</w:t>
            </w:r>
            <w:r>
              <w:rPr>
                <w:rFonts w:ascii="Times New Roman" w:hAnsi="Times New Roman"/>
                <w:sz w:val="21"/>
              </w:rPr>
              <w:t xml:space="preserve"> </w:t>
            </w:r>
            <w:r>
              <w:rPr>
                <w:rFonts w:ascii="Times New Roman" w:hAnsi="Times New Roman"/>
                <w:b/>
                <w:bCs/>
                <w:sz w:val="21"/>
              </w:rPr>
              <w:t xml:space="preserve">intracorporate conspiracy doctrine</w:t>
            </w:r>
            <w:r>
              <w:rPr>
                <w:rFonts w:ascii="Times New Roman" w:hAnsi="Times New Roman"/>
                <w:sz w:val="21"/>
              </w:rPr>
              <w:t xml:space="preserve">, which will bar conspiracy based on post-February 2025 conduct between AgriNova and its own officer. Factual support for a pre-hire agreement is currently circumstantial (the 12/22 LinkedIn update and the 11/8 encrypted email).</w:t>
            </w:r>
          </w:p>
        </w:tc>
      </w:tr>
    </w:tbl>
    <w:bookmarkEnd w:id="22"/>
    <w:bookmarkStart w:id="23" w:name="considered-and-omitted"/>
    <w:p>
      <w:pPr>
        <w:pStyle w:val="Heading2"/>
      </w:pPr>
      <w:r>
        <w:rPr>
          <w:rFonts w:ascii="Times New Roman" w:hAnsi="Times New Roman"/>
          <w:b/>
          <w:color w:val="000000"/>
          <w:sz w:val="24"/>
        </w:rPr>
        <w:t xml:space="preserve">2.2 Considered and omitted</w:t>
      </w:r>
    </w:p>
    <w:p>
      <w:pPr>
        <w:pStyle w:val="Compact"/>
        <w:numPr>
          <w:ilvl w:val="0"/>
          <w:numId w:val="1002"/>
        </w:numPr>
        <w:spacing w:after="160"/>
      </w:pPr>
      <w:r>
        <w:rPr>
          <w:rFonts w:ascii="Times New Roman" w:hAnsi="Times New Roman"/>
          <w:b/>
          <w:bCs/>
          <w:sz w:val="24"/>
        </w:rPr>
        <w:t xml:space="preserve">Tortious interference with prospective economic advantage (requested by Showalter).</w:t>
      </w:r>
      <w:r>
        <w:rPr>
          <w:rFonts w:ascii="Times New Roman" w:hAnsi="Times New Roman"/>
          <w:sz w:val="24"/>
        </w:rPr>
        <w:t xml:space="preserve"> </w:t>
      </w:r>
      <w:r>
        <w:rPr>
          <w:rFonts w:ascii="Times New Roman" w:hAnsi="Times New Roman"/>
          <w:sz w:val="24"/>
        </w:rPr>
        <w:t xml:space="preserve">North Carolina requires that a specific contract would have been formed</w:t>
      </w:r>
      <w:r>
        <w:rPr>
          <w:rFonts w:ascii="Times New Roman" w:hAnsi="Times New Roman"/>
          <w:sz w:val="24"/>
        </w:rPr>
        <w:t xml:space="preserve"> </w:t>
      </w:r>
      <w:r>
        <w:rPr>
          <w:rFonts w:ascii="Times New Roman" w:hAnsi="Times New Roman"/>
          <w:i/>
          <w:iCs/>
          <w:sz w:val="24"/>
        </w:rPr>
        <w:t xml:space="preserve">but for</w:t>
      </w:r>
      <w:r>
        <w:rPr>
          <w:rFonts w:ascii="Times New Roman" w:hAnsi="Times New Roman"/>
          <w:sz w:val="24"/>
        </w:rPr>
        <w:t xml:space="preserve"> </w:t>
      </w:r>
      <w:r>
        <w:rPr>
          <w:rFonts w:ascii="Times New Roman" w:hAnsi="Times New Roman"/>
          <w:sz w:val="24"/>
        </w:rPr>
        <w:t xml:space="preserve">the interference. Heartland is an existing distributor, and no lost sale or terminated order has been identified. Pleading it now invites dismissal and dilutes credibility.</w:t>
      </w:r>
      <w:r>
        <w:rPr>
          <w:rFonts w:ascii="Times New Roman" w:hAnsi="Times New Roman"/>
          <w:sz w:val="24"/>
        </w:rPr>
        <w:t xml:space="preserve"> </w:t>
      </w:r>
      <w:r>
        <w:rPr>
          <w:rFonts w:ascii="Times New Roman" w:hAnsi="Times New Roman"/>
          <w:b/>
          <w:bCs/>
          <w:sz w:val="24"/>
        </w:rPr>
        <w:t xml:space="preserve">Recommendation:</w:t>
      </w:r>
      <w:r>
        <w:rPr>
          <w:rFonts w:ascii="Times New Roman" w:hAnsi="Times New Roman"/>
          <w:sz w:val="24"/>
        </w:rPr>
        <w:t xml:space="preserve"> </w:t>
      </w:r>
      <w:r>
        <w:rPr>
          <w:rFonts w:ascii="Times New Roman" w:hAnsi="Times New Roman"/>
          <w:sz w:val="24"/>
        </w:rPr>
        <w:t xml:space="preserve">add by amendment if Heartland (or another distributor) reduces orders or moves business to BioYield.</w:t>
      </w:r>
    </w:p>
    <w:p>
      <w:pPr>
        <w:pStyle w:val="Compact"/>
        <w:numPr>
          <w:ilvl w:val="0"/>
          <w:numId w:val="1002"/>
        </w:numPr>
        <w:spacing w:after="160"/>
      </w:pPr>
      <w:r>
        <w:rPr>
          <w:rFonts w:ascii="Times New Roman" w:hAnsi="Times New Roman"/>
          <w:b/>
          <w:bCs/>
          <w:sz w:val="24"/>
        </w:rPr>
        <w:t xml:space="preserve">Unjust enrichment against Tate (requested)</w:t>
      </w:r>
      <w:r>
        <w:rPr>
          <w:rFonts w:ascii="Times New Roman" w:hAnsi="Times New Roman"/>
          <w:sz w:val="24"/>
        </w:rPr>
        <w:t xml:space="preserve"> </w:t>
      </w:r>
      <w:r>
        <w:rPr>
          <w:rFonts w:ascii="Times New Roman" w:hAnsi="Times New Roman"/>
          <w:sz w:val="24"/>
        </w:rPr>
        <w:t xml:space="preserve">is barred by the express contract (above).</w:t>
      </w:r>
    </w:p>
    <w:p>
      <w:pPr>
        <w:pStyle w:val="Compact"/>
        <w:numPr>
          <w:ilvl w:val="0"/>
          <w:numId w:val="1002"/>
        </w:numPr>
        <w:spacing w:after="160"/>
      </w:pPr>
      <w:r>
        <w:rPr>
          <w:rFonts w:ascii="Times New Roman" w:hAnsi="Times New Roman"/>
          <w:b/>
          <w:bCs/>
          <w:sz w:val="24"/>
        </w:rPr>
        <w:t xml:space="preserve">Computer Fraud and Abuse Act.</w:t>
      </w:r>
      <w:r>
        <w:rPr>
          <w:rFonts w:ascii="Times New Roman" w:hAnsi="Times New Roman"/>
          <w:sz w:val="24"/>
        </w:rPr>
        <w:t xml:space="preserve"> </w:t>
      </w:r>
      <w:r>
        <w:rPr>
          <w:rFonts w:ascii="Times New Roman" w:hAnsi="Times New Roman"/>
          <w:sz w:val="24"/>
        </w:rPr>
        <w:t xml:space="preserve">Tate had authorized VaultSci access.</w:t>
      </w:r>
      <w:r>
        <w:rPr>
          <w:rFonts w:ascii="Times New Roman" w:hAnsi="Times New Roman"/>
          <w:sz w:val="24"/>
        </w:rPr>
        <w:t xml:space="preserve"> </w:t>
      </w:r>
      <w:r>
        <w:rPr>
          <w:rFonts w:ascii="Times New Roman" w:hAnsi="Times New Roman"/>
          <w:i/>
          <w:iCs/>
          <w:sz w:val="24"/>
        </w:rPr>
        <w:t xml:space="preserve">Van Buren v. United States</w:t>
      </w:r>
      <w:r>
        <w:rPr>
          <w:rFonts w:ascii="Times New Roman" w:hAnsi="Times New Roman"/>
          <w:sz w:val="24"/>
        </w:rPr>
        <w:t xml:space="preserve">, 593 U.S. 374 (2021), and</w:t>
      </w:r>
      <w:r>
        <w:rPr>
          <w:rFonts w:ascii="Times New Roman" w:hAnsi="Times New Roman"/>
          <w:sz w:val="24"/>
        </w:rPr>
        <w:t xml:space="preserve"> </w:t>
      </w:r>
      <w:r>
        <w:rPr>
          <w:rFonts w:ascii="Times New Roman" w:hAnsi="Times New Roman"/>
          <w:i/>
          <w:iCs/>
          <w:sz w:val="24"/>
        </w:rPr>
        <w:t xml:space="preserve">WEC Carolina Energy Solutions v. Miller</w:t>
      </w:r>
      <w:r>
        <w:rPr>
          <w:rFonts w:ascii="Times New Roman" w:hAnsi="Times New Roman"/>
          <w:sz w:val="24"/>
        </w:rPr>
        <w:t xml:space="preserve">, 687 F.3d 199 (4th Cir. 2012), foreclose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misuse of authorized access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theories. The laptop wipe might support 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damage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theory under § 1030(a)(5), but it adds little and invites a sideshow.</w:t>
      </w:r>
    </w:p>
    <w:p>
      <w:pPr>
        <w:pStyle w:val="Compact"/>
        <w:numPr>
          <w:ilvl w:val="0"/>
          <w:numId w:val="1002"/>
        </w:numPr>
        <w:spacing w:after="160"/>
      </w:pPr>
      <w:r>
        <w:rPr>
          <w:rFonts w:ascii="Times New Roman" w:hAnsi="Times New Roman"/>
          <w:b/>
          <w:bCs/>
          <w:sz w:val="24"/>
        </w:rPr>
        <w:t xml:space="preserve">Breach of fiduciary duty / duty of loyalty.</w:t>
      </w:r>
      <w:r>
        <w:rPr>
          <w:rFonts w:ascii="Times New Roman" w:hAnsi="Times New Roman"/>
          <w:sz w:val="24"/>
        </w:rPr>
        <w:t xml:space="preserve"> </w:t>
      </w:r>
      <w:r>
        <w:rPr>
          <w:rFonts w:ascii="Times New Roman" w:hAnsi="Times New Roman"/>
          <w:sz w:val="24"/>
        </w:rPr>
        <w:t xml:space="preserve">Under</w:t>
      </w:r>
      <w:r>
        <w:rPr>
          <w:rFonts w:ascii="Times New Roman" w:hAnsi="Times New Roman"/>
          <w:sz w:val="24"/>
        </w:rPr>
        <w:t xml:space="preserve"> </w:t>
      </w:r>
      <w:r>
        <w:rPr>
          <w:rFonts w:ascii="Times New Roman" w:hAnsi="Times New Roman"/>
          <w:i/>
          <w:iCs/>
          <w:sz w:val="24"/>
        </w:rPr>
        <w:t xml:space="preserve">Dalton</w:t>
      </w:r>
      <w:r>
        <w:rPr>
          <w:rFonts w:ascii="Times New Roman" w:hAnsi="Times New Roman"/>
          <w:sz w:val="24"/>
        </w:rPr>
        <w:t xml:space="preserve">, ordinary employees are not fiduciaries in North Carolina, and there is no freestanding duty-of-loyalty tort.</w:t>
      </w:r>
      <w:r>
        <w:rPr>
          <w:rFonts w:ascii="Times New Roman" w:hAnsi="Times New Roman"/>
          <w:sz w:val="24"/>
        </w:rPr>
        <w:t xml:space="preserve"> </w:t>
      </w:r>
      <w:r>
        <w:rPr>
          <w:rFonts w:ascii="Times New Roman" w:hAnsi="Times New Roman"/>
          <w:b/>
          <w:bCs/>
          <w:sz w:val="24"/>
        </w:rPr>
        <w:t xml:space="preserve">Open item:</w:t>
      </w:r>
      <w:r>
        <w:rPr>
          <w:rFonts w:ascii="Times New Roman" w:hAnsi="Times New Roman"/>
          <w:sz w:val="24"/>
        </w:rPr>
        <w:t xml:space="preserve"> </w:t>
      </w:r>
      <w:r>
        <w:rPr>
          <w:rFonts w:ascii="Times New Roman" w:hAnsi="Times New Roman"/>
          <w:sz w:val="24"/>
        </w:rPr>
        <w:t xml:space="preserve">if Tate was a board-appointed</w:t>
      </w:r>
      <w:r>
        <w:rPr>
          <w:rFonts w:ascii="Times New Roman" w:hAnsi="Times New Roman"/>
          <w:sz w:val="24"/>
        </w:rPr>
        <w:t xml:space="preserve"> </w:t>
      </w:r>
      <w:r>
        <w:rPr>
          <w:rFonts w:ascii="Times New Roman" w:hAnsi="Times New Roman"/>
          <w:i/>
          <w:iCs/>
          <w:sz w:val="24"/>
        </w:rPr>
        <w:t xml:space="preserve">corporate officer</w:t>
      </w:r>
      <w:r>
        <w:rPr>
          <w:rFonts w:ascii="Times New Roman" w:hAnsi="Times New Roman"/>
          <w:sz w:val="24"/>
        </w:rPr>
        <w:t xml:space="preserve"> </w:t>
      </w:r>
      <w:r>
        <w:rPr>
          <w:rFonts w:ascii="Times New Roman" w:hAnsi="Times New Roman"/>
          <w:sz w:val="24"/>
        </w:rPr>
        <w:t xml:space="preserve">(check bylaws and board minutes), a fiduciary-duty count becomes viable and should be added.</w:t>
      </w:r>
    </w:p>
    <w:p>
      <w:pPr>
        <w:pStyle w:val="Compact"/>
        <w:numPr>
          <w:ilvl w:val="0"/>
          <w:numId w:val="1002"/>
        </w:numPr>
        <w:spacing w:after="160"/>
      </w:pPr>
      <w:r>
        <w:rPr>
          <w:rFonts w:ascii="Times New Roman" w:hAnsi="Times New Roman"/>
          <w:b/>
          <w:bCs/>
          <w:sz w:val="24"/>
        </w:rPr>
        <w:t xml:space="preserve">Conversion / trespass to chattels.</w:t>
      </w:r>
      <w:r>
        <w:rPr>
          <w:rFonts w:ascii="Times New Roman" w:hAnsi="Times New Roman"/>
          <w:sz w:val="24"/>
        </w:rPr>
        <w:t xml:space="preserve"> </w:t>
      </w:r>
      <w:r>
        <w:rPr>
          <w:rFonts w:ascii="Times New Roman" w:hAnsi="Times New Roman"/>
          <w:sz w:val="24"/>
        </w:rPr>
        <w:t xml:space="preserve">North Carolina generally does not allow conversion of intangible information, and the laptop was returned. The wipe is better used as spoliation evidence (adverse inference) than as a separate claim.</w:t>
      </w:r>
    </w:p>
    <w:p>
      <w:pPr>
        <w:pStyle w:val="Compact"/>
        <w:numPr>
          <w:ilvl w:val="0"/>
          <w:numId w:val="1002"/>
        </w:numPr>
        <w:spacing w:after="160"/>
      </w:pPr>
      <w:r>
        <w:rPr>
          <w:rFonts w:ascii="Times New Roman" w:hAnsi="Times New Roman"/>
          <w:b/>
          <w:bCs/>
          <w:sz w:val="24"/>
        </w:rPr>
        <w:t xml:space="preserve">Individual claims against AgriNova’s CEO (Delacroix) or the unnamed recruiter.</w:t>
      </w:r>
      <w:r>
        <w:rPr>
          <w:rFonts w:ascii="Times New Roman" w:hAnsi="Times New Roman"/>
          <w:sz w:val="24"/>
        </w:rPr>
        <w:t xml:space="preserve"> </w:t>
      </w:r>
      <w:r>
        <w:rPr>
          <w:rFonts w:ascii="Times New Roman" w:hAnsi="Times New Roman"/>
          <w:sz w:val="24"/>
        </w:rPr>
        <w:t xml:space="preserve">There are no facts yet. Revisit after expedited discovery. Consider a Doe defendant for the recipient of the 11/8 email.</w:t>
      </w:r>
    </w:p>
    <w:bookmarkEnd w:id="23"/>
    <w:bookmarkEnd w:id="24"/>
    <w:bookmarkStart w:id="32" w:name="strategic-concerns"/>
    <w:p>
      <w:pPr>
        <w:pStyle w:val="Heading1"/>
      </w:pPr>
      <w:r>
        <w:rPr>
          <w:rFonts w:ascii="Times New Roman" w:hAnsi="Times New Roman"/>
          <w:b/>
          <w:color w:val="000000"/>
          <w:sz w:val="26"/>
        </w:rPr>
        <w:t xml:space="preserve">3. Strategic Concerns</w:t>
      </w:r>
    </w:p>
    <w:bookmarkStart w:id="25" w:name="X4aa77217caaa373b7e77b0a400a8e1332198864"/>
    <w:p>
      <w:pPr>
        <w:pStyle w:val="Heading2"/>
      </w:pPr>
      <w:r>
        <w:rPr>
          <w:rFonts w:ascii="Times New Roman" w:hAnsi="Times New Roman"/>
          <w:b/>
          <w:color w:val="000000"/>
          <w:sz w:val="24"/>
        </w:rPr>
        <w:t xml:space="preserve">3.1 The garden-leave</w:t>
      </w:r>
      <w:r>
        <w:rPr>
          <w:rFonts w:ascii="Times New Roman" w:hAnsi="Times New Roman"/>
          <w:b/>
          <w:color w:val="000000"/>
          <w:sz w:val="24"/>
        </w:rPr>
        <w:t xml:space="preserve"> </w:t>
      </w:r>
      <w:r>
        <w:rPr>
          <w:rFonts w:ascii="Times New Roman" w:hAnsi="Times New Roman"/>
          <w:b/>
          <w:color w:val="000000"/>
          <w:sz w:val="24"/>
        </w:rPr>
        <w:t xml:space="preserve">“</w:t>
      </w:r>
      <w:r>
        <w:rPr>
          <w:rFonts w:ascii="Times New Roman" w:hAnsi="Times New Roman"/>
          <w:b/>
          <w:color w:val="000000"/>
          <w:sz w:val="24"/>
        </w:rPr>
        <w:t xml:space="preserve">consequential damages</w:t>
      </w:r>
      <w:r>
        <w:rPr>
          <w:rFonts w:ascii="Times New Roman" w:hAnsi="Times New Roman"/>
          <w:b/>
          <w:color w:val="000000"/>
          <w:sz w:val="24"/>
        </w:rPr>
        <w:t xml:space="preserve">”</w:t>
      </w:r>
      <w:r>
        <w:rPr>
          <w:rFonts w:ascii="Times New Roman" w:hAnsi="Times New Roman"/>
          <w:b/>
          <w:color w:val="000000"/>
          <w:sz w:val="24"/>
        </w:rPr>
        <w:t xml:space="preserve"> </w:t>
      </w:r>
      <w:r>
        <w:rPr>
          <w:rFonts w:ascii="Times New Roman" w:hAnsi="Times New Roman"/>
          <w:b/>
          <w:color w:val="000000"/>
          <w:sz w:val="24"/>
        </w:rPr>
        <w:t xml:space="preserve">theory should not be pursued</w:t>
      </w:r>
    </w:p>
    <w:p>
      <w:pPr>
        <w:pStyle w:val="FirstParagraph"/>
        <w:spacing w:after="160" w:line="276" w:lineRule="auto"/>
      </w:pPr>
      <w:r>
        <w:rPr>
          <w:rFonts w:ascii="Times New Roman" w:hAnsi="Times New Roman"/>
          <w:sz w:val="24"/>
        </w:rPr>
        <w:t xml:space="preserve">Showalter asks us to plead that the 7-day notice shortfall deprived Verdant of time to detect or prevent the exfiltration.</w:t>
      </w:r>
      <w:r>
        <w:rPr>
          <w:rFonts w:ascii="Times New Roman" w:hAnsi="Times New Roman"/>
          <w:sz w:val="24"/>
        </w:rPr>
        <w:t xml:space="preserve"> </w:t>
      </w:r>
      <w:r>
        <w:rPr>
          <w:rFonts w:ascii="Times New Roman" w:hAnsi="Times New Roman"/>
          <w:b/>
          <w:bCs/>
          <w:sz w:val="24"/>
        </w:rPr>
        <w:t xml:space="preserve">The chronology defeats this.</w:t>
      </w:r>
      <w:r>
        <w:rPr>
          <w:rFonts w:ascii="Times New Roman" w:hAnsi="Times New Roman"/>
          <w:sz w:val="24"/>
        </w:rPr>
        <w:t xml:space="preserve"> </w:t>
      </w:r>
      <w:r>
        <w:rPr>
          <w:rFonts w:ascii="Times New Roman" w:hAnsi="Times New Roman"/>
          <w:sz w:val="24"/>
        </w:rPr>
        <w:t xml:space="preserve">Every exfiltration event (Oct. 27, Nov. 2, Nov. 8, Nov. 14, Nov. 15) happened</w:t>
      </w:r>
      <w:r>
        <w:rPr>
          <w:rFonts w:ascii="Times New Roman" w:hAnsi="Times New Roman"/>
          <w:sz w:val="24"/>
        </w:rPr>
        <w:t xml:space="preserve"> </w:t>
      </w:r>
      <w:r>
        <w:rPr>
          <w:rFonts w:ascii="Times New Roman" w:hAnsi="Times New Roman"/>
          <w:i/>
          <w:iCs/>
          <w:sz w:val="24"/>
        </w:rPr>
        <w:t xml:space="preserve">before</w:t>
      </w:r>
      <w:r>
        <w:rPr>
          <w:rFonts w:ascii="Times New Roman" w:hAnsi="Times New Roman"/>
          <w:sz w:val="24"/>
        </w:rPr>
        <w:t xml:space="preserve"> </w:t>
      </w:r>
      <w:r>
        <w:rPr>
          <w:rFonts w:ascii="Times New Roman" w:hAnsi="Times New Roman"/>
          <w:sz w:val="24"/>
        </w:rPr>
        <w:t xml:space="preserve">the Nov. 18 notice. A full 60-day notice would have started the same day and changed nothing about those events. Also, Verdant had 53 days in which it could have invoked § 7.3(c)–(d) garden leave and cut off access, and it apparently did not. The only post-notice harmful act is the Jan. 9 laptop wipe, and Verdant could have prevented that within the 53 days it had. Pleading consequential damages here would:</w:t>
      </w:r>
    </w:p>
    <w:p>
      <w:pPr>
        <w:pStyle w:val="Compact"/>
        <w:numPr>
          <w:ilvl w:val="0"/>
          <w:numId w:val="1003"/>
        </w:numPr>
        <w:spacing w:after="160"/>
      </w:pPr>
      <w:r>
        <w:rPr>
          <w:rFonts w:ascii="Times New Roman" w:hAnsi="Times New Roman"/>
          <w:sz w:val="24"/>
        </w:rPr>
        <w:t xml:space="preserve">invite an easy rebuttal;</w:t>
      </w:r>
    </w:p>
    <w:p>
      <w:pPr>
        <w:pStyle w:val="Compact"/>
        <w:numPr>
          <w:ilvl w:val="0"/>
          <w:numId w:val="1003"/>
        </w:numPr>
        <w:spacing w:after="160"/>
      </w:pPr>
      <w:r>
        <w:rPr>
          <w:rFonts w:ascii="Times New Roman" w:hAnsi="Times New Roman"/>
          <w:sz w:val="24"/>
        </w:rPr>
        <w:t xml:space="preserve">spotlight Verdant’s own failure to restrict a departing head of R&amp;D who would not name his new employer; and</w:t>
      </w:r>
    </w:p>
    <w:p>
      <w:pPr>
        <w:pStyle w:val="Compact"/>
        <w:numPr>
          <w:ilvl w:val="0"/>
          <w:numId w:val="1003"/>
        </w:numPr>
        <w:spacing w:after="160"/>
      </w:pPr>
      <w:r>
        <w:rPr>
          <w:rFonts w:ascii="Times New Roman" w:hAnsi="Times New Roman"/>
          <w:sz w:val="24"/>
        </w:rPr>
        <w:t xml:space="preserve">feed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reasonable measures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defense.</w:t>
      </w:r>
    </w:p>
    <w:p>
      <w:pPr>
        <w:pStyle w:val="FirstParagraph"/>
        <w:spacing w:after="160" w:line="276" w:lineRule="auto"/>
      </w:pPr>
      <w:r>
        <w:rPr>
          <w:rFonts w:ascii="Times New Roman" w:hAnsi="Times New Roman"/>
          <w:sz w:val="24"/>
        </w:rPr>
        <w:t xml:space="preserve">The draft pleads Count VII as a distinct material breach, as Showalter requested, with nominal damages and the contractual § 7.3(ii) remedy (withholding discretionary compensation).</w:t>
      </w:r>
      <w:r>
        <w:rPr>
          <w:rFonts w:ascii="Times New Roman" w:hAnsi="Times New Roman"/>
          <w:sz w:val="24"/>
        </w:rPr>
        <w:t xml:space="preserve"> </w:t>
      </w:r>
      <w:r>
        <w:rPr>
          <w:rFonts w:ascii="Times New Roman" w:hAnsi="Times New Roman"/>
          <w:b/>
          <w:bCs/>
          <w:sz w:val="24"/>
        </w:rPr>
        <w:t xml:space="preserve">Do not elect the § 7.3(iii) remedy.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Invoking</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covenants from Nov. 18, 2024 would start the post-employment clocks earlier and could</w:t>
      </w:r>
      <w:r>
        <w:rPr>
          <w:rFonts w:ascii="Times New Roman" w:hAnsi="Times New Roman"/>
          <w:sz w:val="24"/>
        </w:rPr>
        <w:t xml:space="preserve"> </w:t>
      </w:r>
      <w:r>
        <w:rPr>
          <w:rFonts w:ascii="Times New Roman" w:hAnsi="Times New Roman"/>
          <w:i/>
          <w:iCs/>
          <w:sz w:val="24"/>
        </w:rPr>
        <w:t xml:space="preserve">shorten</w:t>
      </w:r>
      <w:r>
        <w:rPr>
          <w:rFonts w:ascii="Times New Roman" w:hAnsi="Times New Roman"/>
          <w:sz w:val="24"/>
        </w:rPr>
        <w:t xml:space="preserve"> </w:t>
      </w:r>
      <w:r>
        <w:rPr>
          <w:rFonts w:ascii="Times New Roman" w:hAnsi="Times New Roman"/>
          <w:sz w:val="24"/>
        </w:rPr>
        <w:t xml:space="preserve">protection (for example, the non-compete would end around May 2026 instead of July 10, 2026). Measured from termination on Jan. 10, 2025:</w:t>
      </w:r>
    </w:p>
    <w:p>
      <w:pPr>
        <w:pStyle w:val="Compact"/>
        <w:numPr>
          <w:ilvl w:val="0"/>
          <w:numId w:val="1004"/>
        </w:numPr>
        <w:spacing w:after="160"/>
      </w:pPr>
      <w:r>
        <w:rPr>
          <w:rFonts w:ascii="Times New Roman" w:hAnsi="Times New Roman"/>
          <w:sz w:val="24"/>
        </w:rPr>
        <w:t xml:space="preserve">non-compete runs to</w:t>
      </w:r>
      <w:r>
        <w:rPr>
          <w:rFonts w:ascii="Times New Roman" w:hAnsi="Times New Roman"/>
          <w:sz w:val="24"/>
        </w:rPr>
        <w:t xml:space="preserve"> </w:t>
      </w:r>
      <w:r>
        <w:rPr>
          <w:rFonts w:ascii="Times New Roman" w:hAnsi="Times New Roman"/>
          <w:b/>
          <w:bCs/>
          <w:sz w:val="24"/>
        </w:rPr>
        <w:t xml:space="preserve">July 10, 2026</w:t>
      </w:r>
      <w:r>
        <w:rPr>
          <w:rFonts w:ascii="Times New Roman" w:hAnsi="Times New Roman"/>
          <w:sz w:val="24"/>
        </w:rPr>
        <w:t xml:space="preserve">;</w:t>
      </w:r>
    </w:p>
    <w:p>
      <w:pPr>
        <w:pStyle w:val="Compact"/>
        <w:numPr>
          <w:ilvl w:val="0"/>
          <w:numId w:val="1004"/>
        </w:numPr>
        <w:spacing w:after="160"/>
      </w:pPr>
      <w:r>
        <w:rPr>
          <w:rFonts w:ascii="Times New Roman" w:hAnsi="Times New Roman"/>
          <w:sz w:val="24"/>
        </w:rPr>
        <w:t xml:space="preserve">customer non-solicit runs to</w:t>
      </w:r>
      <w:r>
        <w:rPr>
          <w:rFonts w:ascii="Times New Roman" w:hAnsi="Times New Roman"/>
          <w:sz w:val="24"/>
        </w:rPr>
        <w:t xml:space="preserve"> </w:t>
      </w:r>
      <w:r>
        <w:rPr>
          <w:rFonts w:ascii="Times New Roman" w:hAnsi="Times New Roman"/>
          <w:b/>
          <w:bCs/>
          <w:sz w:val="24"/>
        </w:rPr>
        <w:t xml:space="preserve">July 10, 2026</w:t>
      </w:r>
      <w:r>
        <w:rPr>
          <w:rFonts w:ascii="Times New Roman" w:hAnsi="Times New Roman"/>
          <w:sz w:val="24"/>
        </w:rPr>
        <w:t xml:space="preserve">; and</w:t>
      </w:r>
    </w:p>
    <w:p>
      <w:pPr>
        <w:pStyle w:val="Compact"/>
        <w:numPr>
          <w:ilvl w:val="0"/>
          <w:numId w:val="1004"/>
        </w:numPr>
        <w:spacing w:after="160"/>
      </w:pPr>
      <w:r>
        <w:rPr>
          <w:rFonts w:ascii="Times New Roman" w:hAnsi="Times New Roman"/>
          <w:sz w:val="24"/>
        </w:rPr>
        <w:t xml:space="preserve">employee non-solicit runs to</w:t>
      </w:r>
      <w:r>
        <w:rPr>
          <w:rFonts w:ascii="Times New Roman" w:hAnsi="Times New Roman"/>
          <w:sz w:val="24"/>
        </w:rPr>
        <w:t xml:space="preserve"> </w:t>
      </w:r>
      <w:r>
        <w:rPr>
          <w:rFonts w:ascii="Times New Roman" w:hAnsi="Times New Roman"/>
          <w:b/>
          <w:bCs/>
          <w:sz w:val="24"/>
        </w:rPr>
        <w:t xml:space="preserve">Jan. 10, 2027</w:t>
      </w:r>
      <w:r>
        <w:rPr>
          <w:rFonts w:ascii="Times New Roman" w:hAnsi="Times New Roman"/>
          <w:sz w:val="24"/>
        </w:rPr>
        <w:t xml:space="preserve">,</w:t>
      </w:r>
    </w:p>
    <w:p>
      <w:pPr>
        <w:pStyle w:val="FirstParagraph"/>
        <w:spacing w:after="160" w:line="276" w:lineRule="auto"/>
      </w:pPr>
      <w:r>
        <w:rPr>
          <w:rFonts w:ascii="Times New Roman" w:hAnsi="Times New Roman"/>
          <w:sz w:val="24"/>
        </w:rPr>
        <w:t xml:space="preserve">all subject to § 5.7 tolling.</w:t>
      </w:r>
    </w:p>
    <w:bookmarkEnd w:id="25"/>
    <w:bookmarkStart w:id="26" w:name="reasonable-measures-exposure"/>
    <w:p>
      <w:pPr>
        <w:pStyle w:val="Heading2"/>
      </w:pPr>
      <w:r>
        <w:rPr>
          <w:rFonts w:ascii="Times New Roman" w:hAnsi="Times New Roman"/>
          <w:b/>
          <w:color w:val="000000"/>
          <w:sz w:val="24"/>
        </w:rPr>
        <w:t xml:space="preserve">3.2 Reasonable-measures exposure</w:t>
      </w:r>
    </w:p>
    <w:p>
      <w:pPr>
        <w:pStyle w:val="FirstParagraph"/>
        <w:spacing w:after="160" w:line="276" w:lineRule="auto"/>
      </w:pPr>
      <w:r>
        <w:rPr>
          <w:rFonts w:ascii="Times New Roman" w:hAnsi="Times New Roman"/>
          <w:sz w:val="24"/>
        </w:rPr>
        <w:t xml:space="preserve">Defendants will argue Verdant’s controls failed in practice:</w:t>
      </w:r>
    </w:p>
    <w:p>
      <w:pPr>
        <w:pStyle w:val="Compact"/>
        <w:numPr>
          <w:ilvl w:val="0"/>
          <w:numId w:val="1005"/>
        </w:numPr>
        <w:spacing w:after="160"/>
      </w:pPr>
      <w:r>
        <w:rPr>
          <w:rFonts w:ascii="Times New Roman" w:hAnsi="Times New Roman"/>
          <w:sz w:val="24"/>
        </w:rPr>
        <w:t xml:space="preserve">The largest download in VaultSci’s logged history (about 12× the next largest) produced no alert.</w:t>
      </w:r>
    </w:p>
    <w:p>
      <w:pPr>
        <w:pStyle w:val="Compact"/>
        <w:numPr>
          <w:ilvl w:val="0"/>
          <w:numId w:val="1005"/>
        </w:numPr>
        <w:spacing w:after="160"/>
      </w:pPr>
      <w:r>
        <w:rPr>
          <w:rFonts w:ascii="Times New Roman" w:hAnsi="Times New Roman"/>
          <w:sz w:val="24"/>
        </w:rPr>
        <w:t xml:space="preserve">The USB ban was policy-only, not technically enforced.</w:t>
      </w:r>
    </w:p>
    <w:p>
      <w:pPr>
        <w:pStyle w:val="Compact"/>
        <w:numPr>
          <w:ilvl w:val="0"/>
          <w:numId w:val="1005"/>
        </w:numPr>
        <w:spacing w:after="160"/>
      </w:pPr>
      <w:r>
        <w:rPr>
          <w:rFonts w:ascii="Times New Roman" w:hAnsi="Times New Roman"/>
          <w:sz w:val="24"/>
        </w:rPr>
        <w:t xml:space="preserve">ProtonMail traffic with a 1.2 GB attachment went through the gateway without being flagged.</w:t>
      </w:r>
    </w:p>
    <w:p>
      <w:pPr>
        <w:pStyle w:val="Compact"/>
        <w:numPr>
          <w:ilvl w:val="0"/>
          <w:numId w:val="1005"/>
        </w:numPr>
        <w:spacing w:after="160"/>
      </w:pPr>
      <w:r>
        <w:rPr>
          <w:rFonts w:ascii="Times New Roman" w:hAnsi="Times New Roman"/>
          <w:sz w:val="24"/>
        </w:rPr>
        <w:t xml:space="preserve">Tate kept full access for 53 days after resigning to an undisclosed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new opportunity.</w:t>
      </w:r>
      <w:r>
        <w:rPr>
          <w:rFonts w:ascii="Times New Roman" w:hAnsi="Times New Roman"/>
          <w:sz w:val="24"/>
        </w:rPr>
        <w:t xml:space="preserve">”</w:t>
      </w:r>
    </w:p>
    <w:p>
      <w:pPr>
        <w:pStyle w:val="Compact"/>
        <w:numPr>
          <w:ilvl w:val="0"/>
          <w:numId w:val="1005"/>
        </w:numPr>
        <w:spacing w:after="160"/>
      </w:pPr>
      <w:r>
        <w:rPr>
          <w:rFonts w:ascii="Times New Roman" w:hAnsi="Times New Roman"/>
          <w:sz w:val="24"/>
        </w:rPr>
        <w:t xml:space="preserve">No exit certification was obtained.</w:t>
      </w:r>
    </w:p>
    <w:p>
      <w:pPr>
        <w:pStyle w:val="Compact"/>
        <w:numPr>
          <w:ilvl w:val="0"/>
          <w:numId w:val="1005"/>
        </w:numPr>
        <w:spacing w:after="160"/>
      </w:pPr>
      <w:r>
        <w:rPr>
          <w:rFonts w:ascii="Times New Roman" w:hAnsi="Times New Roman"/>
          <w:sz w:val="24"/>
        </w:rPr>
        <w:t xml:space="preserve">The remote-wipe and monitoring capabilities described in the Trade Secret Summary were not used.</w:t>
      </w:r>
    </w:p>
    <w:p>
      <w:pPr>
        <w:pStyle w:val="FirstParagraph"/>
        <w:spacing w:after="160" w:line="276" w:lineRule="auto"/>
      </w:pPr>
      <w:r>
        <w:rPr>
          <w:rFonts w:ascii="Times New Roman" w:hAnsi="Times New Roman"/>
          <w:sz w:val="24"/>
        </w:rPr>
        <w:t xml:space="preserve">Courts judge reasonableness, not perfection, and the multi-layer program is well documented. But we should prepare a declarant (the IT Director, Kevin Marsh) to explain what monitoring existed and why it did not trigger.</w:t>
      </w:r>
    </w:p>
    <w:bookmarkEnd w:id="26"/>
    <w:bookmarkStart w:id="27" w:name="Xfe74e86047f85cd4aedcf41de266b34ba7c8708"/>
    <w:p>
      <w:pPr>
        <w:pStyle w:val="Heading2"/>
      </w:pPr>
      <w:r>
        <w:rPr>
          <w:rFonts w:ascii="Times New Roman" w:hAnsi="Times New Roman"/>
          <w:b/>
          <w:color w:val="000000"/>
          <w:sz w:val="24"/>
        </w:rPr>
        <w:t xml:space="preserve">3.3 Heavy reliance on</w:t>
      </w:r>
      <w:r>
        <w:rPr>
          <w:rFonts w:ascii="Times New Roman" w:hAnsi="Times New Roman"/>
          <w:b/>
          <w:color w:val="000000"/>
          <w:sz w:val="24"/>
        </w:rPr>
        <w:t xml:space="preserve"> </w:t>
      </w:r>
      <w:r>
        <w:rPr>
          <w:rFonts w:ascii="Times New Roman" w:hAnsi="Times New Roman"/>
          <w:b/>
          <w:color w:val="000000"/>
          <w:sz w:val="24"/>
        </w:rPr>
        <w:t xml:space="preserve">“</w:t>
      </w:r>
      <w:r>
        <w:rPr>
          <w:rFonts w:ascii="Times New Roman" w:hAnsi="Times New Roman"/>
          <w:b/>
          <w:color w:val="000000"/>
          <w:sz w:val="24"/>
        </w:rPr>
        <w:t xml:space="preserve">information and belief</w:t>
      </w:r>
      <w:r>
        <w:rPr>
          <w:rFonts w:ascii="Times New Roman" w:hAnsi="Times New Roman"/>
          <w:b/>
          <w:color w:val="000000"/>
          <w:sz w:val="24"/>
        </w:rPr>
        <w:t xml:space="preserve">”</w:t>
      </w:r>
      <w:r>
        <w:rPr>
          <w:rFonts w:ascii="Times New Roman" w:hAnsi="Times New Roman"/>
          <w:b/>
          <w:color w:val="000000"/>
          <w:sz w:val="24"/>
        </w:rPr>
        <w:t xml:space="preserve"> </w:t>
      </w:r>
      <w:r>
        <w:rPr>
          <w:rFonts w:ascii="Times New Roman" w:hAnsi="Times New Roman"/>
          <w:b/>
          <w:color w:val="000000"/>
          <w:sz w:val="24"/>
        </w:rPr>
        <w:t xml:space="preserve">against AgriNova (Twombly / Rule 11)</w:t>
      </w:r>
    </w:p>
    <w:p>
      <w:pPr>
        <w:pStyle w:val="FirstParagraph"/>
        <w:spacing w:after="160" w:line="276" w:lineRule="auto"/>
      </w:pPr>
      <w:r>
        <w:rPr>
          <w:rFonts w:ascii="Times New Roman" w:hAnsi="Times New Roman"/>
          <w:sz w:val="24"/>
        </w:rPr>
        <w:t xml:space="preserve">We have</w:t>
      </w:r>
      <w:r>
        <w:rPr>
          <w:rFonts w:ascii="Times New Roman" w:hAnsi="Times New Roman"/>
          <w:sz w:val="24"/>
        </w:rPr>
        <w:t xml:space="preserve"> </w:t>
      </w:r>
      <w:r>
        <w:rPr>
          <w:rFonts w:ascii="Times New Roman" w:hAnsi="Times New Roman"/>
          <w:b/>
          <w:bCs/>
          <w:sz w:val="24"/>
        </w:rPr>
        <w:t xml:space="preserve">no direct evidence</w:t>
      </w:r>
      <w:r>
        <w:rPr>
          <w:rFonts w:ascii="Times New Roman" w:hAnsi="Times New Roman"/>
          <w:sz w:val="24"/>
        </w:rPr>
        <w:t xml:space="preserve"> </w:t>
      </w:r>
      <w:r>
        <w:rPr>
          <w:rFonts w:ascii="Times New Roman" w:hAnsi="Times New Roman"/>
          <w:sz w:val="24"/>
        </w:rPr>
        <w:t xml:space="preserve">that AgriNova received or used any Verdant file. The press-release language (</w:t>
      </w:r>
      <w:r>
        <w:rPr>
          <w:rFonts w:ascii="Times New Roman" w:hAnsi="Times New Roman"/>
          <w:sz w:val="24"/>
        </w:rPr>
        <w:t xml:space="preserve">“</w:t>
      </w:r>
      <w:r>
        <w:rPr>
          <w:rFonts w:ascii="Times New Roman" w:hAnsi="Times New Roman"/>
          <w:sz w:val="24"/>
        </w:rPr>
        <w:t xml:space="preserve">strain library,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AI-driven synergy modeling</w:t>
      </w:r>
      <w:r>
        <w:rPr>
          <w:rFonts w:ascii="Times New Roman" w:hAnsi="Times New Roman"/>
          <w:sz w:val="24"/>
        </w:rPr>
        <w:t xml:space="preserve">”</w:t>
      </w:r>
      <w:r>
        <w:rPr>
          <w:rFonts w:ascii="Times New Roman" w:hAnsi="Times New Roman"/>
          <w:sz w:val="24"/>
        </w:rPr>
        <w:t xml:space="preserve">) describes concepts that are common in the ag-biologicals industry. AgriNova was founded in 2016 and may have had a microbial program before Tate. Before filing:</w:t>
      </w:r>
    </w:p>
    <w:p>
      <w:pPr>
        <w:pStyle w:val="Compact"/>
        <w:numPr>
          <w:ilvl w:val="0"/>
          <w:numId w:val="1006"/>
        </w:numPr>
        <w:spacing w:after="160"/>
      </w:pPr>
      <w:r>
        <w:rPr>
          <w:rFonts w:ascii="Times New Roman" w:hAnsi="Times New Roman"/>
          <w:sz w:val="24"/>
        </w:rPr>
        <w:t xml:space="preserve">Investigate AgriNova’s pre-2025 R&amp;D footprint: patents and applications, publications, EPA/state registrations, job postings, and investor materials. If AgriNova had no meaningful microbial platform,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accelerated timeline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inference becomes much stronger. If it did, reframe the allegations.</w:t>
      </w:r>
    </w:p>
    <w:p>
      <w:pPr>
        <w:pStyle w:val="Compact"/>
        <w:numPr>
          <w:ilvl w:val="0"/>
          <w:numId w:val="1006"/>
        </w:numPr>
        <w:spacing w:after="160"/>
      </w:pPr>
      <w:r>
        <w:rPr>
          <w:rFonts w:ascii="Times New Roman" w:hAnsi="Times New Roman"/>
          <w:sz w:val="24"/>
        </w:rPr>
        <w:t xml:space="preserve">Get a detailed statement or declaration from the Heartland contact: who presented, what was said, and whether any materials were handed out (obtain copies).</w:t>
      </w:r>
    </w:p>
    <w:p>
      <w:pPr>
        <w:pStyle w:val="Compact"/>
        <w:numPr>
          <w:ilvl w:val="0"/>
          <w:numId w:val="1006"/>
        </w:numPr>
        <w:spacing w:after="160"/>
      </w:pPr>
      <w:r>
        <w:rPr>
          <w:rFonts w:ascii="Times New Roman" w:hAnsi="Times New Roman"/>
          <w:sz w:val="24"/>
        </w:rPr>
        <w:t xml:space="preserve">Use the TRO motion to seek</w:t>
      </w:r>
      <w:r>
        <w:rPr>
          <w:rFonts w:ascii="Times New Roman" w:hAnsi="Times New Roman"/>
          <w:sz w:val="24"/>
        </w:rPr>
        <w:t xml:space="preserve"> </w:t>
      </w:r>
      <w:r>
        <w:rPr>
          <w:rFonts w:ascii="Times New Roman" w:hAnsi="Times New Roman"/>
          <w:b/>
          <w:bCs/>
          <w:sz w:val="24"/>
        </w:rPr>
        <w:t xml:space="preserve">expedited discovery and a neutral forensic protocol</w:t>
      </w:r>
      <w:r>
        <w:rPr>
          <w:rFonts w:ascii="Times New Roman" w:hAnsi="Times New Roman"/>
          <w:sz w:val="24"/>
        </w:rPr>
        <w:t xml:space="preserve">: the USB drive, the ProtonMail account, and AgriNova’s BioYield repositories. That is where proof of use will come from.</w:t>
      </w:r>
    </w:p>
    <w:bookmarkEnd w:id="27"/>
    <w:bookmarkStart w:id="28" w:name="Xdaa2d4d88f123bbacd4b8dfe1a51b81d5394236"/>
    <w:p>
      <w:pPr>
        <w:pStyle w:val="Heading2"/>
      </w:pPr>
      <w:r>
        <w:rPr>
          <w:rFonts w:ascii="Times New Roman" w:hAnsi="Times New Roman"/>
          <w:b/>
          <w:color w:val="000000"/>
          <w:sz w:val="24"/>
        </w:rPr>
        <w:t xml:space="preserve">3.4 Knowledge element for AgriNova: send a notice letter</w:t>
      </w:r>
    </w:p>
    <w:p>
      <w:pPr>
        <w:pStyle w:val="FirstParagraph"/>
        <w:spacing w:after="160" w:line="276" w:lineRule="auto"/>
      </w:pPr>
      <w:r>
        <w:rPr>
          <w:rFonts w:ascii="Times New Roman" w:hAnsi="Times New Roman"/>
          <w:sz w:val="24"/>
        </w:rPr>
        <w:t xml:space="preserve">Nothing in the file shows Verdant ever put AgriNova on notice of Tate’s covenants. For tortious interference, and to make every later AgriNova act knowing and willful (which supports DTSA exemplary damages and UDTPA fees),</w:t>
      </w:r>
      <w:r>
        <w:rPr>
          <w:rFonts w:ascii="Times New Roman" w:hAnsi="Times New Roman"/>
          <w:sz w:val="24"/>
        </w:rPr>
        <w:t xml:space="preserve"> </w:t>
      </w:r>
      <w:r>
        <w:rPr>
          <w:rFonts w:ascii="Times New Roman" w:hAnsi="Times New Roman"/>
          <w:b/>
          <w:bCs/>
          <w:sz w:val="24"/>
        </w:rPr>
        <w:t xml:space="preserve">serve AgriNova with a notice and preservation letter enclosing the Agreements</w:t>
      </w:r>
      <w:r>
        <w:rPr>
          <w:rFonts w:ascii="Times New Roman" w:hAnsi="Times New Roman"/>
          <w:sz w:val="24"/>
        </w:rPr>
        <w:t xml:space="preserve">. Serve it at the latest at the moment of filing; earlier if we decide the risk that Tate destroys evidence is manageable. Tate’s documented anti-forensic conduct argues for serving at filing, with a preservation demand, not before.</w:t>
      </w:r>
    </w:p>
    <w:bookmarkEnd w:id="28"/>
    <w:bookmarkStart w:id="29" w:name="X754ab407862bd4941b3f3f5301bf44303965514"/>
    <w:p>
      <w:pPr>
        <w:pStyle w:val="Heading2"/>
      </w:pPr>
      <w:r>
        <w:rPr>
          <w:rFonts w:ascii="Times New Roman" w:hAnsi="Times New Roman"/>
          <w:b/>
          <w:color w:val="000000"/>
          <w:sz w:val="24"/>
        </w:rPr>
        <w:t xml:space="preserve">3.5 Relief: TRO scope and the DTSA employment limitation</w:t>
      </w:r>
    </w:p>
    <w:p>
      <w:pPr>
        <w:pStyle w:val="Compact"/>
        <w:numPr>
          <w:ilvl w:val="0"/>
          <w:numId w:val="1007"/>
        </w:numPr>
        <w:spacing w:after="160"/>
      </w:pPr>
      <w:r>
        <w:rPr>
          <w:rFonts w:ascii="Times New Roman" w:hAnsi="Times New Roman"/>
          <w:sz w:val="24"/>
        </w:rPr>
        <w:t xml:space="preserve">Under 18 U.S.C. § 1836(b)(3)(A)(i)(I), a DTSA injunction may not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prevent a person from entering into an employment relationship.</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Conditions must rest on</w:t>
      </w:r>
      <w:r>
        <w:rPr>
          <w:rFonts w:ascii="Times New Roman" w:hAnsi="Times New Roman"/>
          <w:sz w:val="24"/>
        </w:rPr>
        <w:t xml:space="preserve"> </w:t>
      </w:r>
      <w:r>
        <w:rPr>
          <w:rFonts w:ascii="Times New Roman" w:hAnsi="Times New Roman"/>
          <w:i/>
          <w:iCs/>
          <w:sz w:val="24"/>
        </w:rPr>
        <w:t xml:space="preserve">evidence of threatened misappropriation</w:t>
      </w:r>
      <w:r>
        <w:rPr>
          <w:rFonts w:ascii="Times New Roman" w:hAnsi="Times New Roman"/>
          <w:sz w:val="24"/>
        </w:rPr>
        <w:t xml:space="preserve">, not merely on what the person knows. Ask for the employment restriction under the</w:t>
      </w:r>
      <w:r>
        <w:rPr>
          <w:rFonts w:ascii="Times New Roman" w:hAnsi="Times New Roman"/>
          <w:sz w:val="24"/>
        </w:rPr>
        <w:t xml:space="preserve"> </w:t>
      </w:r>
      <w:r>
        <w:rPr>
          <w:rFonts w:ascii="Times New Roman" w:hAnsi="Times New Roman"/>
          <w:b/>
          <w:bCs/>
          <w:sz w:val="24"/>
        </w:rPr>
        <w:t xml:space="preserve">contract (Count V)</w:t>
      </w:r>
      <w:r>
        <w:rPr>
          <w:rFonts w:ascii="Times New Roman" w:hAnsi="Times New Roman"/>
          <w:sz w:val="24"/>
        </w:rPr>
        <w:t xml:space="preserve">, not the DTSA. Emphasize return and sequestration of the USB drive, no-use orders, and forensic imaging. Those are the most defensible, highest-value items.</w:t>
      </w:r>
    </w:p>
    <w:p>
      <w:pPr>
        <w:pStyle w:val="Compact"/>
        <w:numPr>
          <w:ilvl w:val="0"/>
          <w:numId w:val="1007"/>
        </w:numPr>
        <w:spacing w:after="160"/>
      </w:pPr>
      <w:r>
        <w:rPr>
          <w:rFonts w:ascii="Times New Roman" w:hAnsi="Times New Roman"/>
          <w:b/>
          <w:bCs/>
          <w:sz w:val="24"/>
        </w:rPr>
        <w:t xml:space="preserve">DTSA ex parte civil seizure (§ 1836(b)(2))</w:t>
      </w:r>
      <w:r>
        <w:rPr>
          <w:rFonts w:ascii="Times New Roman" w:hAnsi="Times New Roman"/>
          <w:sz w:val="24"/>
        </w:rPr>
        <w:t xml:space="preserve"> </w:t>
      </w:r>
      <w:r>
        <w:rPr>
          <w:rFonts w:ascii="Times New Roman" w:hAnsi="Times New Roman"/>
          <w:sz w:val="24"/>
        </w:rPr>
        <w:t xml:space="preserve">is available for the USB drive in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extraordinary circumstances.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Jan. 9 wipe and the Nov. 14 deletion give a real basis for arguing Tate would destroy evidence if given notice. Seizure is rarely granted, however. A TRO with an immediate turnover order is the usual route. We need a client decision on this.</w:t>
      </w:r>
    </w:p>
    <w:p>
      <w:pPr>
        <w:pStyle w:val="Compact"/>
        <w:numPr>
          <w:ilvl w:val="0"/>
          <w:numId w:val="1007"/>
        </w:numPr>
        <w:spacing w:after="160"/>
      </w:pPr>
      <w:r>
        <w:rPr>
          <w:rFonts w:ascii="Times New Roman" w:hAnsi="Times New Roman"/>
          <w:b/>
          <w:bCs/>
          <w:sz w:val="24"/>
        </w:rPr>
        <w:t xml:space="preserve">Bond.</w:t>
      </w:r>
      <w:r>
        <w:rPr>
          <w:rFonts w:ascii="Times New Roman" w:hAnsi="Times New Roman"/>
          <w:sz w:val="24"/>
        </w:rPr>
        <w:t xml:space="preserve"> </w:t>
      </w:r>
      <w:r>
        <w:rPr>
          <w:rFonts w:ascii="Times New Roman" w:hAnsi="Times New Roman"/>
          <w:sz w:val="24"/>
        </w:rPr>
        <w:t xml:space="preserve">Contractual bond waivers (EA § 6.1; CIAA § 7.1) do not bind the court under Rule 65(c). Budget for a meaningful bond, especially for any restraint on BioYield development.</w:t>
      </w:r>
    </w:p>
    <w:p>
      <w:pPr>
        <w:pStyle w:val="Compact"/>
        <w:numPr>
          <w:ilvl w:val="0"/>
          <w:numId w:val="1007"/>
        </w:numPr>
        <w:spacing w:after="160"/>
      </w:pPr>
      <w:r>
        <w:rPr>
          <w:rFonts w:ascii="Times New Roman" w:hAnsi="Times New Roman"/>
          <w:b/>
          <w:bCs/>
          <w:sz w:val="24"/>
        </w:rPr>
        <w:t xml:space="preserve">Sealing.</w:t>
      </w:r>
      <w:r>
        <w:rPr>
          <w:rFonts w:ascii="Times New Roman" w:hAnsi="Times New Roman"/>
          <w:sz w:val="24"/>
        </w:rPr>
        <w:t xml:space="preserve"> </w:t>
      </w:r>
      <w:r>
        <w:rPr>
          <w:rFonts w:ascii="Times New Roman" w:hAnsi="Times New Roman"/>
          <w:sz w:val="24"/>
        </w:rPr>
        <w:t xml:space="preserve">File a sealed version, or a redacted one, under Local Civil Rule 79.2. Do not attach the Trade Secret Summary.</w:t>
      </w:r>
    </w:p>
    <w:bookmarkEnd w:id="29"/>
    <w:bookmarkStart w:id="30" w:name="privilege"/>
    <w:p>
      <w:pPr>
        <w:pStyle w:val="Heading2"/>
      </w:pPr>
      <w:r>
        <w:rPr>
          <w:rFonts w:ascii="Times New Roman" w:hAnsi="Times New Roman"/>
          <w:b/>
          <w:color w:val="000000"/>
          <w:sz w:val="24"/>
        </w:rPr>
        <w:t xml:space="preserve">3.6 Privilege</w:t>
      </w:r>
    </w:p>
    <w:p>
      <w:pPr>
        <w:pStyle w:val="FirstParagraph"/>
        <w:spacing w:after="160" w:line="276" w:lineRule="auto"/>
      </w:pPr>
      <w:r>
        <w:rPr>
          <w:rFonts w:ascii="Times New Roman" w:hAnsi="Times New Roman"/>
          <w:sz w:val="24"/>
        </w:rPr>
        <w:t xml:space="preserve">The Sentinel report, the Showalter memo, and the Trade Secret Summary are marked privileged or work product. The complaint pleads</w:t>
      </w:r>
      <w:r>
        <w:rPr>
          <w:rFonts w:ascii="Times New Roman" w:hAnsi="Times New Roman"/>
          <w:sz w:val="24"/>
        </w:rPr>
        <w:t xml:space="preserve"> </w:t>
      </w:r>
      <w:r>
        <w:rPr>
          <w:rFonts w:ascii="Times New Roman" w:hAnsi="Times New Roman"/>
          <w:i/>
          <w:iCs/>
          <w:sz w:val="24"/>
        </w:rPr>
        <w:t xml:space="preserve">facts</w:t>
      </w:r>
      <w:r>
        <w:rPr>
          <w:rFonts w:ascii="Times New Roman" w:hAnsi="Times New Roman"/>
          <w:sz w:val="24"/>
        </w:rPr>
        <w:t xml:space="preserve"> </w:t>
      </w:r>
      <w:r>
        <w:rPr>
          <w:rFonts w:ascii="Times New Roman" w:hAnsi="Times New Roman"/>
          <w:sz w:val="24"/>
        </w:rPr>
        <w:t xml:space="preserve">from the forensic work but does</w:t>
      </w:r>
      <w:r>
        <w:rPr>
          <w:rFonts w:ascii="Times New Roman" w:hAnsi="Times New Roman"/>
          <w:sz w:val="24"/>
        </w:rPr>
        <w:t xml:space="preserve"> </w:t>
      </w:r>
      <w:r>
        <w:rPr>
          <w:rFonts w:ascii="Times New Roman" w:hAnsi="Times New Roman"/>
          <w:b/>
          <w:bCs/>
          <w:sz w:val="24"/>
        </w:rPr>
        <w:t xml:space="preserve">not</w:t>
      </w:r>
      <w:r>
        <w:rPr>
          <w:rFonts w:ascii="Times New Roman" w:hAnsi="Times New Roman"/>
          <w:sz w:val="24"/>
        </w:rPr>
        <w:t xml:space="preserve"> </w:t>
      </w:r>
      <w:r>
        <w:rPr>
          <w:rFonts w:ascii="Times New Roman" w:hAnsi="Times New Roman"/>
          <w:sz w:val="24"/>
        </w:rPr>
        <w:t xml:space="preserve">attach or cite the report. Once Sentinel (Driscoll) is designated as a testifying expert or submits a TRO declaration, expect disclosure of his materials under Rule 26(a)(2)/(b)(4). Plan for a stand-alone Driscoll declaration for the TRO rather than filing the report.</w:t>
      </w:r>
    </w:p>
    <w:bookmarkEnd w:id="30"/>
    <w:bookmarkStart w:id="31" w:name="damages-do-not-plead-the-85.02m-figure"/>
    <w:p>
      <w:pPr>
        <w:pStyle w:val="Heading2"/>
      </w:pPr>
      <w:r>
        <w:rPr>
          <w:rFonts w:ascii="Times New Roman" w:hAnsi="Times New Roman"/>
          <w:b/>
          <w:color w:val="000000"/>
          <w:sz w:val="24"/>
        </w:rPr>
        <w:t xml:space="preserve">3.7 Damages: do not plead the $85.02M figure</w:t>
      </w:r>
    </w:p>
    <w:p>
      <w:pPr>
        <w:pStyle w:val="FirstParagraph"/>
        <w:spacing w:after="160" w:line="276" w:lineRule="auto"/>
      </w:pPr>
      <w:r>
        <w:rPr>
          <w:rFonts w:ascii="Times New Roman" w:hAnsi="Times New Roman"/>
          <w:sz w:val="24"/>
        </w:rPr>
        <w:t xml:space="preserve">The complaint pleads damages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in an amount to be proven at trial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uses no dollar totals, for these reasons:</w:t>
      </w:r>
    </w:p>
    <w:p>
      <w:pPr>
        <w:pStyle w:val="Compact"/>
        <w:numPr>
          <w:ilvl w:val="0"/>
          <w:numId w:val="1008"/>
        </w:numPr>
        <w:spacing w:after="160"/>
      </w:pPr>
      <w:r>
        <w:rPr>
          <w:rFonts w:ascii="Times New Roman" w:hAnsi="Times New Roman"/>
          <w:b/>
          <w:bCs/>
          <w:sz w:val="24"/>
        </w:rPr>
        <w:t xml:space="preserve">Lost competitive advantage ($64.5M):</w:t>
      </w:r>
      <w:r>
        <w:rPr>
          <w:rFonts w:ascii="Times New Roman" w:hAnsi="Times New Roman"/>
          <w:sz w:val="24"/>
        </w:rPr>
        <w:t xml:space="preserve"> </w:t>
      </w:r>
      <w:r>
        <w:rPr>
          <w:rFonts w:ascii="Times New Roman" w:hAnsi="Times New Roman"/>
          <w:sz w:val="24"/>
        </w:rPr>
        <w:t xml:space="preserve">the 30% erosion rate is an unsupported assumption. The DCF also includes cash flows from products already on the market (for example, TP-101 SoyBoost, commercialized in FY2022). That will draw a causation attack.</w:t>
      </w:r>
    </w:p>
    <w:p>
      <w:pPr>
        <w:pStyle w:val="Compact"/>
        <w:numPr>
          <w:ilvl w:val="0"/>
          <w:numId w:val="1008"/>
        </w:numPr>
        <w:spacing w:after="160"/>
      </w:pPr>
      <w:r>
        <w:rPr>
          <w:rFonts w:ascii="Times New Roman" w:hAnsi="Times New Roman"/>
          <w:b/>
          <w:bCs/>
          <w:sz w:val="24"/>
        </w:rPr>
        <w:t xml:space="preserve">Distributor diversion ($16.92M):</w:t>
      </w:r>
      <w:r>
        <w:rPr>
          <w:rFonts w:ascii="Times New Roman" w:hAnsi="Times New Roman"/>
          <w:sz w:val="24"/>
        </w:rPr>
        <w:t xml:space="preserve"> </w:t>
      </w:r>
      <w:r>
        <w:rPr>
          <w:rFonts w:ascii="Times New Roman" w:hAnsi="Times New Roman"/>
          <w:sz w:val="24"/>
        </w:rPr>
        <w:t xml:space="preserve">15% of top-10 distributor revenue has no tie to any observed loss. The workbook’s note that Heartland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has already reported AgriNova solicitation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overstates what Heartland said, which was a report of a presentation.</w:t>
      </w:r>
    </w:p>
    <w:p>
      <w:pPr>
        <w:pStyle w:val="Compact"/>
        <w:numPr>
          <w:ilvl w:val="0"/>
          <w:numId w:val="1008"/>
        </w:numPr>
        <w:spacing w:after="160"/>
      </w:pPr>
      <w:r>
        <w:rPr>
          <w:rFonts w:ascii="Times New Roman" w:hAnsi="Times New Roman"/>
          <w:b/>
          <w:bCs/>
          <w:sz w:val="24"/>
        </w:rPr>
        <w:t xml:space="preserve">Employee losses ($3.6M):</w:t>
      </w:r>
      <w:r>
        <w:rPr>
          <w:rFonts w:ascii="Times New Roman" w:hAnsi="Times New Roman"/>
          <w:sz w:val="24"/>
        </w:rPr>
        <w:t xml:space="preserve"> </w:t>
      </w:r>
      <w:r>
        <w:rPr>
          <w:rFonts w:ascii="Times New Roman" w:hAnsi="Times New Roman"/>
          <w:b/>
          <w:bCs/>
          <w:sz w:val="24"/>
        </w:rPr>
        <w:t xml:space="preserve">no scientist has left.</w:t>
      </w:r>
      <w:r>
        <w:rPr>
          <w:rFonts w:ascii="Times New Roman" w:hAnsi="Times New Roman"/>
          <w:sz w:val="24"/>
        </w:rPr>
        <w:t xml:space="preserve"> </w:t>
      </w:r>
      <w:r>
        <w:rPr>
          <w:rFonts w:ascii="Times New Roman" w:hAnsi="Times New Roman"/>
          <w:sz w:val="24"/>
        </w:rPr>
        <w:t xml:space="preserve">Both solicited employees refused. This is a training-cost figure for hypothetical departures, not damages.</w:t>
      </w:r>
    </w:p>
    <w:p>
      <w:pPr>
        <w:pStyle w:val="Compact"/>
        <w:numPr>
          <w:ilvl w:val="0"/>
          <w:numId w:val="1008"/>
        </w:numPr>
        <w:spacing w:after="160"/>
      </w:pPr>
      <w:r>
        <w:rPr>
          <w:rFonts w:ascii="Times New Roman" w:hAnsi="Times New Roman"/>
          <w:b/>
          <w:bCs/>
          <w:sz w:val="24"/>
        </w:rPr>
        <w:t xml:space="preserve">Overlap:</w:t>
      </w:r>
      <w:r>
        <w:rPr>
          <w:rFonts w:ascii="Times New Roman" w:hAnsi="Times New Roman"/>
          <w:sz w:val="24"/>
        </w:rPr>
        <w:t xml:space="preserve"> </w:t>
      </w:r>
      <w:r>
        <w:rPr>
          <w:rFonts w:ascii="Times New Roman" w:hAnsi="Times New Roman"/>
          <w:sz w:val="24"/>
        </w:rPr>
        <w:t xml:space="preserve">R&amp;D impairment ($62.3M), lost advantage, and unjust enrichment are overlapping or alternative measures. NCTSPA § 66-154(b) awards the</w:t>
      </w:r>
      <w:r>
        <w:rPr>
          <w:rFonts w:ascii="Times New Roman" w:hAnsi="Times New Roman"/>
          <w:sz w:val="24"/>
        </w:rPr>
        <w:t xml:space="preserve"> </w:t>
      </w:r>
      <w:r>
        <w:rPr>
          <w:rFonts w:ascii="Times New Roman" w:hAnsi="Times New Roman"/>
          <w:i/>
          <w:iCs/>
          <w:sz w:val="24"/>
        </w:rPr>
        <w:t xml:space="preserve">greater</w:t>
      </w:r>
      <w:r>
        <w:rPr>
          <w:rFonts w:ascii="Times New Roman" w:hAnsi="Times New Roman"/>
          <w:sz w:val="24"/>
        </w:rPr>
        <w:t xml:space="preserve"> </w:t>
      </w:r>
      <w:r>
        <w:rPr>
          <w:rFonts w:ascii="Times New Roman" w:hAnsi="Times New Roman"/>
          <w:sz w:val="24"/>
        </w:rPr>
        <w:t xml:space="preserve">of loss or unjust enrichment, not both.</w:t>
      </w:r>
    </w:p>
    <w:p>
      <w:pPr>
        <w:pStyle w:val="Compact"/>
        <w:numPr>
          <w:ilvl w:val="0"/>
          <w:numId w:val="1008"/>
        </w:numPr>
        <w:spacing w:after="160"/>
      </w:pPr>
      <w:r>
        <w:rPr>
          <w:rFonts w:ascii="Times New Roman" w:hAnsi="Times New Roman"/>
          <w:sz w:val="24"/>
        </w:rPr>
        <w:t xml:space="preserve">Retain a damages expert early. Unjust enrichment (AgriNova’s avoided R&amp;D costs and head start) and a reasonable royalty are likely the most defensible measures.</w:t>
      </w:r>
    </w:p>
    <w:bookmarkEnd w:id="31"/>
    <w:bookmarkEnd w:id="32"/>
    <w:bookmarkStart w:id="41" w:name="anticipated-defenses-and-responses"/>
    <w:p>
      <w:pPr>
        <w:pStyle w:val="Heading1"/>
      </w:pPr>
      <w:r>
        <w:rPr>
          <w:rFonts w:ascii="Times New Roman" w:hAnsi="Times New Roman"/>
          <w:b/>
          <w:color w:val="000000"/>
          <w:sz w:val="26"/>
        </w:rPr>
        <w:t xml:space="preserve">4. Anticipated Defenses and Responses</w:t>
      </w:r>
    </w:p>
    <w:bookmarkStart w:id="33" w:name="X68d545a8b5b432fbf636c34e8dc86053a2990e8"/>
    <w:p>
      <w:pPr>
        <w:pStyle w:val="Heading2"/>
      </w:pPr>
      <w:r>
        <w:rPr>
          <w:rFonts w:ascii="Times New Roman" w:hAnsi="Times New Roman"/>
          <w:b/>
          <w:color w:val="000000"/>
          <w:sz w:val="24"/>
        </w:rPr>
        <w:t xml:space="preserve">4.1 Non-compete is unenforceable (Tate; AgriNova derivatively)</w:t>
      </w:r>
    </w:p>
    <w:p>
      <w:pPr>
        <w:pStyle w:val="Compact"/>
        <w:numPr>
          <w:ilvl w:val="0"/>
          <w:numId w:val="1009"/>
        </w:numPr>
        <w:spacing w:after="160"/>
      </w:pPr>
      <w:r>
        <w:rPr>
          <w:rFonts w:ascii="Times New Roman" w:hAnsi="Times New Roman"/>
          <w:b/>
          <w:bCs/>
          <w:sz w:val="24"/>
        </w:rPr>
        <w:t xml:space="preserve">Defense:</w:t>
      </w:r>
      <w:r>
        <w:rPr>
          <w:rFonts w:ascii="Times New Roman" w:hAnsi="Times New Roman"/>
          <w:sz w:val="24"/>
        </w:rPr>
        <w:t xml:space="preserve"> </w:t>
      </w:r>
      <w:r>
        <w:rPr>
          <w:rFonts w:ascii="Times New Roman" w:hAnsi="Times New Roman"/>
          <w:sz w:val="24"/>
        </w:rPr>
        <w:t xml:space="preserve">Under North Carolina’s</w:t>
      </w:r>
      <w:r>
        <w:rPr>
          <w:rFonts w:ascii="Times New Roman" w:hAnsi="Times New Roman"/>
          <w:sz w:val="24"/>
        </w:rPr>
        <w:t xml:space="preserve"> </w:t>
      </w:r>
      <w:r>
        <w:rPr>
          <w:rFonts w:ascii="Times New Roman" w:hAnsi="Times New Roman"/>
          <w:i/>
          <w:iCs/>
          <w:sz w:val="24"/>
        </w:rPr>
        <w:t xml:space="preserve">United Laboratories v. Kuykendall</w:t>
      </w:r>
      <w:r>
        <w:rPr>
          <w:rFonts w:ascii="Times New Roman" w:hAnsi="Times New Roman"/>
          <w:sz w:val="24"/>
        </w:rPr>
        <w:t xml:space="preserve">, 322 N.C. 643 (1988) framework:</w:t>
      </w:r>
    </w:p>
    <w:p>
      <w:pPr>
        <w:pStyle w:val="Compact"/>
        <w:numPr>
          <w:ilvl w:val="1"/>
          <w:numId w:val="1010"/>
        </w:numPr>
        <w:spacing w:after="160"/>
      </w:pPr>
      <w:r>
        <w:rPr>
          <w:rFonts w:ascii="Times New Roman" w:hAnsi="Times New Roman"/>
          <w:sz w:val="24"/>
        </w:rPr>
        <w:t xml:space="preserve">the covenant is</w:t>
      </w:r>
      <w:r>
        <w:rPr>
          <w:rFonts w:ascii="Times New Roman" w:hAnsi="Times New Roman"/>
          <w:sz w:val="24"/>
        </w:rPr>
        <w:t xml:space="preserve"> </w:t>
      </w:r>
      <w:r>
        <w:rPr>
          <w:rFonts w:ascii="Times New Roman" w:hAnsi="Times New Roman"/>
          <w:b/>
          <w:bCs/>
          <w:sz w:val="24"/>
        </w:rPr>
        <w:t xml:space="preserve">nationwide</w:t>
      </w:r>
      <w:r>
        <w:rPr>
          <w:rFonts w:ascii="Times New Roman" w:hAnsi="Times New Roman"/>
          <w:sz w:val="24"/>
        </w:rPr>
        <w:t xml:space="preserve">, while Verdant sells in 38 states;</w:t>
      </w:r>
    </w:p>
    <w:p>
      <w:pPr>
        <w:pStyle w:val="Compact"/>
        <w:numPr>
          <w:ilvl w:val="1"/>
          <w:numId w:val="1010"/>
        </w:numPr>
        <w:spacing w:after="160"/>
      </w:pPr>
      <w:r>
        <w:rPr>
          <w:rFonts w:ascii="Times New Roman" w:hAnsi="Times New Roman"/>
          <w:sz w:val="24"/>
        </w:rPr>
        <w:t xml:space="preserve">it bars employment by a competitor</w:t>
      </w:r>
      <w:r>
        <w:rPr>
          <w:rFonts w:ascii="Times New Roman" w:hAnsi="Times New Roman"/>
          <w:sz w:val="24"/>
        </w:rPr>
        <w:t xml:space="preserve"> </w:t>
      </w:r>
      <w:r>
        <w:rPr>
          <w:rFonts w:ascii="Times New Roman" w:hAnsi="Times New Roman"/>
          <w:b/>
          <w:bCs/>
          <w:sz w:val="24"/>
        </w:rPr>
        <w:t xml:space="preserve">in any capacity</w:t>
      </w:r>
      <w:r>
        <w:rPr>
          <w:rFonts w:ascii="Times New Roman" w:hAnsi="Times New Roman"/>
          <w:sz w:val="24"/>
        </w:rPr>
        <w:t xml:space="preserve">, which North Carolina courts have repeatedly found overbroad (</w:t>
      </w:r>
      <w:r>
        <w:rPr>
          <w:rFonts w:ascii="Times New Roman" w:hAnsi="Times New Roman"/>
          <w:i/>
          <w:iCs/>
          <w:sz w:val="24"/>
        </w:rPr>
        <w:t xml:space="preserve">e.g.</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VisionAIR, Inc. v. James</w:t>
      </w:r>
      <w:r>
        <w:rPr>
          <w:rFonts w:ascii="Times New Roman" w:hAnsi="Times New Roman"/>
          <w:sz w:val="24"/>
        </w:rPr>
        <w:t xml:space="preserve">, 167 N.C. App. 504 (2004));</w:t>
      </w:r>
    </w:p>
    <w:p>
      <w:pPr>
        <w:pStyle w:val="Compact"/>
        <w:numPr>
          <w:ilvl w:val="1"/>
          <w:numId w:val="1010"/>
        </w:numPr>
        <w:spacing w:after="160"/>
      </w:pPr>
      <w:r>
        <w:rPr>
          <w:rFonts w:ascii="Times New Roman" w:hAnsi="Times New Roman"/>
          <w:sz w:val="24"/>
        </w:rPr>
        <w:t xml:space="preserve">it covers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bioinformatic agricultural technology platforms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generally; and</w:t>
      </w:r>
    </w:p>
    <w:p>
      <w:pPr>
        <w:pStyle w:val="Compact"/>
        <w:numPr>
          <w:ilvl w:val="1"/>
          <w:numId w:val="1010"/>
        </w:numPr>
        <w:spacing w:after="160"/>
      </w:pPr>
      <w:r>
        <w:rPr>
          <w:rFonts w:ascii="Times New Roman" w:hAnsi="Times New Roman"/>
          <w:sz w:val="24"/>
        </w:rPr>
        <w:t xml:space="preserve">North Carolina applies a</w:t>
      </w:r>
      <w:r>
        <w:rPr>
          <w:rFonts w:ascii="Times New Roman" w:hAnsi="Times New Roman"/>
          <w:sz w:val="24"/>
        </w:rPr>
        <w:t xml:space="preserve"> </w:t>
      </w:r>
      <w:r>
        <w:rPr>
          <w:rFonts w:ascii="Times New Roman" w:hAnsi="Times New Roman"/>
          <w:b/>
          <w:bCs/>
          <w:sz w:val="24"/>
        </w:rPr>
        <w:t xml:space="preserve">strict blue-pencil rule</w:t>
      </w:r>
      <w:r>
        <w:rPr>
          <w:rFonts w:ascii="Times New Roman" w:hAnsi="Times New Roman"/>
          <w:sz w:val="24"/>
        </w:rPr>
        <w:t xml:space="preserve">: courts may strike separable terms but not rewrite them. The Supreme Court of North Carolina has indicated that a contractual</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reformation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clause like EA § 5.6 does not expand that power (</w:t>
      </w:r>
      <w:r>
        <w:rPr>
          <w:rFonts w:ascii="Times New Roman" w:hAnsi="Times New Roman"/>
          <w:i/>
          <w:iCs/>
          <w:sz w:val="24"/>
        </w:rPr>
        <w:t xml:space="preserve">Beverage Systems of the Carolinas, LLC v. Associated Beverage Repair, LLC</w:t>
      </w:r>
      <w:r>
        <w:rPr>
          <w:rFonts w:ascii="Times New Roman" w:hAnsi="Times New Roman"/>
          <w:sz w:val="24"/>
        </w:rPr>
        <w:t xml:space="preserve">, 368 N.C. 693 (2016)).</w:t>
      </w:r>
    </w:p>
    <w:p>
      <w:pPr>
        <w:pStyle w:val="Compact"/>
        <w:numPr>
          <w:ilvl w:val="0"/>
          <w:numId w:val="1009"/>
        </w:numPr>
        <w:spacing w:after="160"/>
      </w:pPr>
      <w:r>
        <w:rPr>
          <w:rFonts w:ascii="Times New Roman" w:hAnsi="Times New Roman"/>
          <w:b/>
          <w:bCs/>
          <w:sz w:val="24"/>
        </w:rPr>
        <w:t xml:space="preserve">Response:</w:t>
      </w:r>
    </w:p>
    <w:p>
      <w:pPr>
        <w:pStyle w:val="Compact"/>
        <w:numPr>
          <w:ilvl w:val="1"/>
          <w:numId w:val="1011"/>
        </w:numPr>
        <w:spacing w:after="160"/>
      </w:pPr>
      <w:r>
        <w:rPr>
          <w:rFonts w:ascii="Times New Roman" w:hAnsi="Times New Roman"/>
          <w:sz w:val="24"/>
        </w:rPr>
        <w:t xml:space="preserve">Tate was the head of R&amp;D with comprehensive access, and North Carolina courts give executive-level covenants more room.</w:t>
      </w:r>
    </w:p>
    <w:p>
      <w:pPr>
        <w:pStyle w:val="Compact"/>
        <w:numPr>
          <w:ilvl w:val="1"/>
          <w:numId w:val="1011"/>
        </w:numPr>
        <w:spacing w:after="160"/>
      </w:pPr>
      <w:r>
        <w:rPr>
          <w:rFonts w:ascii="Times New Roman" w:hAnsi="Times New Roman"/>
          <w:sz w:val="24"/>
        </w:rPr>
        <w:t xml:space="preserve">AgriNova markets nationally, so the national restriction matches the actual competition.</w:t>
      </w:r>
    </w:p>
    <w:p>
      <w:pPr>
        <w:pStyle w:val="Compact"/>
        <w:numPr>
          <w:ilvl w:val="1"/>
          <w:numId w:val="1011"/>
        </w:numPr>
        <w:spacing w:after="160"/>
      </w:pPr>
      <w:r>
        <w:rPr>
          <w:rFonts w:ascii="Times New Roman" w:hAnsi="Times New Roman"/>
          <w:sz w:val="24"/>
        </w:rPr>
        <w:t xml:space="preserve">The role Tate took (CSO leading a directly competing platform) falls at the core of any reasonable covenant.</w:t>
      </w:r>
    </w:p>
    <w:p>
      <w:pPr>
        <w:pStyle w:val="Compact"/>
        <w:numPr>
          <w:ilvl w:val="1"/>
          <w:numId w:val="1011"/>
        </w:numPr>
        <w:spacing w:after="160"/>
      </w:pPr>
      <w:r>
        <w:rPr>
          <w:rFonts w:ascii="Times New Roman" w:hAnsi="Times New Roman"/>
          <w:sz w:val="24"/>
        </w:rPr>
        <w:t xml:space="preserve">Hedge: separate counts, narrowed relief, and a case that stands on the trade secret and non-solicit claims even if § 5.2 falls.</w:t>
      </w:r>
    </w:p>
    <w:p>
      <w:pPr>
        <w:pStyle w:val="Compact"/>
        <w:numPr>
          <w:ilvl w:val="1"/>
          <w:numId w:val="1011"/>
        </w:numPr>
        <w:spacing w:after="160"/>
      </w:pPr>
      <w:r>
        <w:rPr>
          <w:rFonts w:ascii="Times New Roman" w:hAnsi="Times New Roman"/>
          <w:sz w:val="24"/>
        </w:rPr>
        <w:t xml:space="preserve">Cite-check all North Carolina authority before briefing.</w:t>
      </w:r>
    </w:p>
    <w:bookmarkEnd w:id="33"/>
    <w:bookmarkStart w:id="34" w:name="customer-non-solicit-overbreadth"/>
    <w:p>
      <w:pPr>
        <w:pStyle w:val="Heading2"/>
      </w:pPr>
      <w:r>
        <w:rPr>
          <w:rFonts w:ascii="Times New Roman" w:hAnsi="Times New Roman"/>
          <w:b/>
          <w:color w:val="000000"/>
          <w:sz w:val="24"/>
        </w:rPr>
        <w:t xml:space="preserve">4.2 Customer non-solicit overbreadth</w:t>
      </w:r>
    </w:p>
    <w:p>
      <w:pPr>
        <w:pStyle w:val="FirstParagraph"/>
        <w:spacing w:after="160" w:line="276" w:lineRule="auto"/>
      </w:pPr>
      <w:r>
        <w:rPr>
          <w:rFonts w:ascii="Times New Roman" w:hAnsi="Times New Roman"/>
          <w:sz w:val="24"/>
        </w:rPr>
        <w:t xml:space="preserve">Clause (b) of § 5.4 reaches any customer about whom Tate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had access to Confidential Information.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Given his role, that is effectively every customer, and it is vulnerable. Clause (a) (material contact) is separable and likely enforceable. Rely on clause (a) for Heartland.</w:t>
      </w:r>
    </w:p>
    <w:bookmarkEnd w:id="34"/>
    <w:bookmarkStart w:id="35" w:name="employee-solicitation"/>
    <w:p>
      <w:pPr>
        <w:pStyle w:val="Heading2"/>
      </w:pPr>
      <w:r>
        <w:rPr>
          <w:rFonts w:ascii="Times New Roman" w:hAnsi="Times New Roman"/>
          <w:b/>
          <w:color w:val="000000"/>
          <w:sz w:val="24"/>
        </w:rPr>
        <w:t xml:space="preserve">4.3 Employee solicitation</w:t>
      </w:r>
    </w:p>
    <w:p>
      <w:pPr>
        <w:pStyle w:val="Compact"/>
        <w:numPr>
          <w:ilvl w:val="0"/>
          <w:numId w:val="1012"/>
        </w:numPr>
        <w:spacing w:after="160"/>
      </w:pPr>
      <w:r>
        <w:rPr>
          <w:rFonts w:ascii="Times New Roman" w:hAnsi="Times New Roman"/>
          <w:b/>
          <w:bCs/>
          <w:sz w:val="24"/>
        </w:rPr>
        <w:t xml:space="preserve">Kowalski:</w:t>
      </w:r>
      <w:r>
        <w:rPr>
          <w:rFonts w:ascii="Times New Roman" w:hAnsi="Times New Roman"/>
          <w:sz w:val="24"/>
        </w:rPr>
        <w:t xml:space="preserve"> </w:t>
      </w:r>
      <w:r>
        <w:rPr>
          <w:rFonts w:ascii="Times New Roman" w:hAnsi="Times New Roman"/>
          <w:sz w:val="24"/>
        </w:rPr>
        <w:t xml:space="preserve">Tate will say it was a friendly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coffee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text, not a solicitation. The response is the text of § 5.3 (</w:t>
      </w:r>
      <w:r>
        <w:rPr>
          <w:rFonts w:ascii="Times New Roman" w:hAnsi="Times New Roman"/>
          <w:sz w:val="24"/>
        </w:rPr>
        <w:t xml:space="preserve">“</w:t>
      </w:r>
      <w:r>
        <w:rPr>
          <w:rFonts w:ascii="Times New Roman" w:hAnsi="Times New Roman"/>
          <w:sz w:val="24"/>
        </w:rPr>
        <w:t xml:space="preserve">encourage,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induce</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regardless of whether</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 competitive role) and the message’s own words.</w:t>
      </w:r>
    </w:p>
    <w:p>
      <w:pPr>
        <w:pStyle w:val="Compact"/>
        <w:numPr>
          <w:ilvl w:val="0"/>
          <w:numId w:val="1012"/>
        </w:numPr>
        <w:spacing w:after="160"/>
      </w:pPr>
      <w:r>
        <w:rPr>
          <w:rFonts w:ascii="Times New Roman" w:hAnsi="Times New Roman"/>
          <w:b/>
          <w:bCs/>
          <w:sz w:val="24"/>
        </w:rPr>
        <w:t xml:space="preserve">Okonkwo:</w:t>
      </w:r>
      <w:r>
        <w:rPr>
          <w:rFonts w:ascii="Times New Roman" w:hAnsi="Times New Roman"/>
          <w:sz w:val="24"/>
        </w:rPr>
        <w:t xml:space="preserve"> </w:t>
      </w:r>
      <w:r>
        <w:rPr>
          <w:rFonts w:ascii="Times New Roman" w:hAnsi="Times New Roman"/>
          <w:sz w:val="24"/>
        </w:rPr>
        <w:t xml:space="preserve">The recruiter’s message is admissible against AgriNova as an agent’s statement (FRE 801(d)(2)(D)).</w:t>
      </w:r>
      <w:r>
        <w:rPr>
          <w:rFonts w:ascii="Times New Roman" w:hAnsi="Times New Roman"/>
          <w:sz w:val="24"/>
        </w:rPr>
        <w:t xml:space="preserve"> </w:t>
      </w:r>
      <w:r>
        <w:rPr>
          <w:rFonts w:ascii="Times New Roman" w:hAnsi="Times New Roman"/>
          <w:b/>
          <w:bCs/>
          <w:sz w:val="24"/>
        </w:rPr>
        <w:t xml:space="preserve">Against Tate, it is hearsay within hearsay</w:t>
      </w:r>
      <w:r>
        <w:rPr>
          <w:rFonts w:ascii="Times New Roman" w:hAnsi="Times New Roman"/>
          <w:sz w:val="24"/>
        </w:rPr>
        <w:t xml:space="preserve"> </w:t>
      </w:r>
      <w:r>
        <w:rPr>
          <w:rFonts w:ascii="Times New Roman" w:hAnsi="Times New Roman"/>
          <w:sz w:val="24"/>
        </w:rPr>
        <w:t xml:space="preserve">(the recruiter reporting what Tate said) unless the co-conspirator exception (801(d)(2)(E)) applies. Next steps:</w:t>
      </w:r>
    </w:p>
    <w:p>
      <w:pPr>
        <w:pStyle w:val="Compact"/>
        <w:numPr>
          <w:ilvl w:val="1"/>
          <w:numId w:val="1013"/>
        </w:numPr>
        <w:spacing w:after="160"/>
      </w:pPr>
      <w:r>
        <w:rPr>
          <w:rFonts w:ascii="Times New Roman" w:hAnsi="Times New Roman"/>
          <w:sz w:val="24"/>
        </w:rPr>
        <w:t xml:space="preserve">identify the recruiter;</w:t>
      </w:r>
    </w:p>
    <w:p>
      <w:pPr>
        <w:pStyle w:val="Compact"/>
        <w:numPr>
          <w:ilvl w:val="1"/>
          <w:numId w:val="1013"/>
        </w:numPr>
        <w:spacing w:after="160"/>
      </w:pPr>
      <w:r>
        <w:rPr>
          <w:rFonts w:ascii="Times New Roman" w:hAnsi="Times New Roman"/>
          <w:sz w:val="24"/>
        </w:rPr>
        <w:t xml:space="preserve">preserve the LinkedIn metadata; and</w:t>
      </w:r>
    </w:p>
    <w:p>
      <w:pPr>
        <w:pStyle w:val="Compact"/>
        <w:numPr>
          <w:ilvl w:val="1"/>
          <w:numId w:val="1013"/>
        </w:numPr>
        <w:spacing w:after="160"/>
      </w:pPr>
      <w:r>
        <w:rPr>
          <w:rFonts w:ascii="Times New Roman" w:hAnsi="Times New Roman"/>
          <w:sz w:val="24"/>
        </w:rPr>
        <w:t xml:space="preserve">seek AgriNova recruiting communications in expedited discovery.</w:t>
      </w:r>
    </w:p>
    <w:p>
      <w:pPr>
        <w:pStyle w:val="Compact"/>
        <w:numPr>
          <w:ilvl w:val="0"/>
          <w:numId w:val="1012"/>
        </w:numPr>
        <w:spacing w:after="160"/>
      </w:pPr>
      <w:r>
        <w:rPr>
          <w:rFonts w:ascii="Times New Roman" w:hAnsi="Times New Roman"/>
          <w:sz w:val="24"/>
        </w:rPr>
        <w:t xml:space="preserve">Okonkwo ¶ 10 (</w:t>
      </w:r>
      <w:r>
        <w:rPr>
          <w:rFonts w:ascii="Times New Roman" w:hAnsi="Times New Roman"/>
          <w:sz w:val="24"/>
        </w:rPr>
        <w:t xml:space="preserve">“</w:t>
      </w:r>
      <w:r>
        <w:rPr>
          <w:rFonts w:ascii="Times New Roman" w:hAnsi="Times New Roman"/>
          <w:sz w:val="24"/>
        </w:rPr>
        <w:t xml:space="preserve">other colleagues received similar outreach</w:t>
      </w:r>
      <w:r>
        <w:rPr>
          <w:rFonts w:ascii="Times New Roman" w:hAnsi="Times New Roman"/>
          <w:sz w:val="24"/>
        </w:rPr>
        <w:t xml:space="preserve">”</w:t>
      </w:r>
      <w:r>
        <w:rPr>
          <w:rFonts w:ascii="Times New Roman" w:hAnsi="Times New Roman"/>
          <w:sz w:val="24"/>
        </w:rPr>
        <w:t xml:space="preserve">) is unsourced hearsay.</w:t>
      </w:r>
      <w:r>
        <w:rPr>
          <w:rFonts w:ascii="Times New Roman" w:hAnsi="Times New Roman"/>
          <w:sz w:val="24"/>
        </w:rPr>
        <w:t xml:space="preserve"> </w:t>
      </w:r>
      <w:r>
        <w:rPr>
          <w:rFonts w:ascii="Times New Roman" w:hAnsi="Times New Roman"/>
          <w:b/>
          <w:bCs/>
          <w:sz w:val="24"/>
        </w:rPr>
        <w:t xml:space="preserve">Interview R&amp;D staff and obtain declarations</w:t>
      </w:r>
      <w:r>
        <w:rPr>
          <w:rFonts w:ascii="Times New Roman" w:hAnsi="Times New Roman"/>
          <w:sz w:val="24"/>
        </w:rPr>
        <w:t xml:space="preserve"> </w:t>
      </w:r>
      <w:r>
        <w:rPr>
          <w:rFonts w:ascii="Times New Roman" w:hAnsi="Times New Roman"/>
          <w:sz w:val="24"/>
        </w:rPr>
        <w:t xml:space="preserve">before relying on it. The complaint pleads it only on information and belief.</w:t>
      </w:r>
    </w:p>
    <w:bookmarkEnd w:id="35"/>
    <w:bookmarkStart w:id="36" w:name="Xeeaa1db2ec53c2e65b6cbf5d79dc05abfc6af30"/>
    <w:p>
      <w:pPr>
        <w:pStyle w:val="Heading2"/>
      </w:pPr>
      <w:r>
        <w:rPr>
          <w:rFonts w:ascii="Times New Roman" w:hAnsi="Times New Roman"/>
          <w:b/>
          <w:color w:val="000000"/>
          <w:sz w:val="24"/>
        </w:rPr>
        <w:t xml:space="preserve">4.4 Tate’s innocent-explanation defenses to the trade secret claims</w:t>
      </w:r>
    </w:p>
    <w:p>
      <w:pPr>
        <w:pStyle w:val="FirstParagraph"/>
        <w:spacing w:after="160" w:line="276" w:lineRule="auto"/>
      </w:pPr>
      <w:r>
        <w:rPr>
          <w:rFonts w:ascii="Times New Roman" w:hAnsi="Times New Roman"/>
          <w:sz w:val="24"/>
        </w:rPr>
        <w:t xml:space="preserve">Expected arguments, with our responses:</w:t>
      </w:r>
    </w:p>
    <w:p>
      <w:pPr>
        <w:pStyle w:val="Compact"/>
        <w:numPr>
          <w:ilvl w:val="0"/>
          <w:numId w:val="1014"/>
        </w:numPr>
        <w:spacing w:after="160"/>
      </w:pPr>
      <w:r>
        <w:rPr>
          <w:rFonts w:ascii="Times New Roman" w:hAnsi="Times New Roman"/>
          <w:b/>
          <w:bCs/>
          <w:sz w:val="24"/>
        </w:rPr>
        <w:t xml:space="preserve">Legitimate work purpose: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As VP I routinely worked with this data.</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Response: the volume, the Sunday-night timing, and the lack of any comparable prior event.</w:t>
      </w:r>
    </w:p>
    <w:p>
      <w:pPr>
        <w:pStyle w:val="Compact"/>
        <w:numPr>
          <w:ilvl w:val="0"/>
          <w:numId w:val="1014"/>
        </w:numPr>
        <w:spacing w:after="160"/>
      </w:pPr>
      <w:r>
        <w:rPr>
          <w:rFonts w:ascii="Times New Roman" w:hAnsi="Times New Roman"/>
          <w:b/>
          <w:bCs/>
          <w:sz w:val="24"/>
        </w:rPr>
        <w:t xml:space="preserve">“</w:t>
      </w:r>
      <w:r>
        <w:rPr>
          <w:rFonts w:ascii="Times New Roman" w:hAnsi="Times New Roman"/>
          <w:b/>
          <w:bCs/>
          <w:sz w:val="24"/>
        </w:rPr>
        <w:t xml:space="preserve">Backup</w:t>
      </w:r>
      <w:r>
        <w:rPr>
          <w:rFonts w:ascii="Times New Roman" w:hAnsi="Times New Roman"/>
          <w:b/>
          <w:bCs/>
          <w:sz w:val="24"/>
        </w:rPr>
        <w:t xml:space="preserve">”</w:t>
      </w:r>
      <w:r>
        <w:rPr>
          <w:rFonts w:ascii="Times New Roman" w:hAnsi="Times New Roman"/>
          <w:b/>
          <w:bCs/>
          <w:sz w:val="24"/>
        </w:rPr>
        <w:t xml:space="preserve"> </w:t>
      </w:r>
      <w:r>
        <w:rPr>
          <w:rFonts w:ascii="Times New Roman" w:hAnsi="Times New Roman"/>
          <w:b/>
          <w:bCs/>
          <w:sz w:val="24"/>
        </w:rPr>
        <w:t xml:space="preserve">USB; deletion equals giving the data back:</w:t>
      </w:r>
      <w:r>
        <w:rPr>
          <w:rFonts w:ascii="Times New Roman" w:hAnsi="Times New Roman"/>
          <w:sz w:val="24"/>
        </w:rPr>
        <w:t xml:space="preserve"> </w:t>
      </w:r>
      <w:r>
        <w:rPr>
          <w:rFonts w:ascii="Times New Roman" w:hAnsi="Times New Roman"/>
          <w:sz w:val="24"/>
        </w:rPr>
        <w:t xml:space="preserve">Response: the USB was never returned, and he never certified deletion.</w:t>
      </w:r>
    </w:p>
    <w:p>
      <w:pPr>
        <w:pStyle w:val="Compact"/>
        <w:numPr>
          <w:ilvl w:val="0"/>
          <w:numId w:val="1014"/>
        </w:numPr>
        <w:spacing w:after="160"/>
      </w:pPr>
      <w:r>
        <w:rPr>
          <w:rFonts w:ascii="Times New Roman" w:hAnsi="Times New Roman"/>
          <w:b/>
          <w:bCs/>
          <w:sz w:val="24"/>
        </w:rPr>
        <w:t xml:space="preserve">The 1.2 GB email was personal:</w:t>
      </w:r>
      <w:r>
        <w:rPr>
          <w:rFonts w:ascii="Times New Roman" w:hAnsi="Times New Roman"/>
          <w:sz w:val="24"/>
        </w:rPr>
        <w:t xml:space="preserve"> </w:t>
      </w:r>
      <w:r>
        <w:rPr>
          <w:rFonts w:ascii="Times New Roman" w:hAnsi="Times New Roman"/>
          <w:sz w:val="24"/>
        </w:rPr>
        <w:t xml:space="preserve">Response: content unknown. This is our weakest forensic point. Do not overstate it (the draft says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on information and belief</w:t>
      </w:r>
      <w:r>
        <w:rPr>
          <w:rFonts w:ascii="Times New Roman" w:hAnsi="Times New Roman"/>
          <w:sz w:val="24"/>
        </w:rPr>
        <w:t xml:space="preserve">”</w:t>
      </w:r>
      <w:r>
        <w:rPr>
          <w:rFonts w:ascii="Times New Roman" w:hAnsi="Times New Roman"/>
          <w:sz w:val="24"/>
        </w:rPr>
        <w:t xml:space="preserve">).</w:t>
      </w:r>
    </w:p>
    <w:p>
      <w:pPr>
        <w:pStyle w:val="Compact"/>
        <w:numPr>
          <w:ilvl w:val="0"/>
          <w:numId w:val="1014"/>
        </w:numPr>
        <w:spacing w:after="160"/>
      </w:pPr>
      <w:r>
        <w:rPr>
          <w:rFonts w:ascii="Times New Roman" w:hAnsi="Times New Roman"/>
          <w:b/>
          <w:bCs/>
          <w:sz w:val="24"/>
        </w:rPr>
        <w:t xml:space="preserve">Wipe was routine:</w:t>
      </w:r>
      <w:r>
        <w:rPr>
          <w:rFonts w:ascii="Times New Roman" w:hAnsi="Times New Roman"/>
          <w:sz w:val="24"/>
        </w:rPr>
        <w:t xml:space="preserve"> </w:t>
      </w:r>
      <w:r>
        <w:rPr>
          <w:rFonts w:ascii="Times New Roman" w:hAnsi="Times New Roman"/>
          <w:sz w:val="24"/>
        </w:rPr>
        <w:t xml:space="preserve">Response: it violated express contract terms and policy, and should support an adverse-inference or spoliation argument (Rule 37(e) may not apply pre-suit to non-ESI-preservation duties; the common-law inherent-power route is the fallback).</w:t>
      </w:r>
    </w:p>
    <w:p>
      <w:pPr>
        <w:pStyle w:val="Compact"/>
        <w:numPr>
          <w:ilvl w:val="0"/>
          <w:numId w:val="1014"/>
        </w:numPr>
        <w:spacing w:after="160"/>
      </w:pPr>
      <w:r>
        <w:rPr>
          <w:rFonts w:ascii="Times New Roman" w:hAnsi="Times New Roman"/>
          <w:b/>
          <w:bCs/>
          <w:sz w:val="24"/>
        </w:rPr>
        <w:t xml:space="preserve">General skill and knowledge:</w:t>
      </w:r>
      <w:r>
        <w:rPr>
          <w:rFonts w:ascii="Times New Roman" w:hAnsi="Times New Roman"/>
          <w:sz w:val="24"/>
        </w:rPr>
        <w:t xml:space="preserve"> </w:t>
      </w:r>
      <w:r>
        <w:rPr>
          <w:rFonts w:ascii="Times New Roman" w:hAnsi="Times New Roman"/>
          <w:sz w:val="24"/>
        </w:rPr>
        <w:t xml:space="preserve">Tate will argue he is free to use the expertise in his head, and that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strain selection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synergy modeling</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are industry concepts. Response: we claim specific code, data, and dossiers, not general expertise.</w:t>
      </w:r>
    </w:p>
    <w:bookmarkEnd w:id="36"/>
    <w:bookmarkStart w:id="37" w:name="X10fe5a033bdd925db793df510a80511c1005839"/>
    <w:p>
      <w:pPr>
        <w:pStyle w:val="Heading2"/>
      </w:pPr>
      <w:r>
        <w:rPr>
          <w:rFonts w:ascii="Times New Roman" w:hAnsi="Times New Roman"/>
          <w:b/>
          <w:color w:val="000000"/>
          <w:sz w:val="24"/>
        </w:rPr>
        <w:t xml:space="preserve">4.5 Secrecy and</w:t>
      </w:r>
      <w:r>
        <w:rPr>
          <w:rFonts w:ascii="Times New Roman" w:hAnsi="Times New Roman"/>
          <w:b/>
          <w:color w:val="000000"/>
          <w:sz w:val="24"/>
        </w:rPr>
        <w:t xml:space="preserve"> </w:t>
      </w:r>
      <w:r>
        <w:rPr>
          <w:rFonts w:ascii="Times New Roman" w:hAnsi="Times New Roman"/>
          <w:b/>
          <w:color w:val="000000"/>
          <w:sz w:val="24"/>
        </w:rPr>
        <w:t xml:space="preserve">“</w:t>
      </w:r>
      <w:r>
        <w:rPr>
          <w:rFonts w:ascii="Times New Roman" w:hAnsi="Times New Roman"/>
          <w:b/>
          <w:color w:val="000000"/>
          <w:sz w:val="24"/>
        </w:rPr>
        <w:t xml:space="preserve">readily ascertainable</w:t>
      </w:r>
      <w:r>
        <w:rPr>
          <w:rFonts w:ascii="Times New Roman" w:hAnsi="Times New Roman"/>
          <w:b/>
          <w:color w:val="000000"/>
          <w:sz w:val="24"/>
        </w:rPr>
        <w:t xml:space="preserve">”</w:t>
      </w:r>
      <w:r>
        <w:rPr>
          <w:rFonts w:ascii="Times New Roman" w:hAnsi="Times New Roman"/>
          <w:b/>
          <w:color w:val="000000"/>
          <w:sz w:val="24"/>
        </w:rPr>
        <w:t xml:space="preserve"> </w:t>
      </w:r>
      <w:r>
        <w:rPr>
          <w:rFonts w:ascii="Times New Roman" w:hAnsi="Times New Roman"/>
          <w:b/>
          <w:color w:val="000000"/>
          <w:sz w:val="24"/>
        </w:rPr>
        <w:t xml:space="preserve">challenges (these need client verification)</w:t>
      </w:r>
    </w:p>
    <w:p>
      <w:pPr>
        <w:pStyle w:val="Compact"/>
        <w:numPr>
          <w:ilvl w:val="0"/>
          <w:numId w:val="1015"/>
        </w:numPr>
        <w:spacing w:after="160"/>
      </w:pPr>
      <w:r>
        <w:rPr>
          <w:rFonts w:ascii="Times New Roman" w:hAnsi="Times New Roman"/>
          <w:b/>
          <w:bCs/>
          <w:sz w:val="24"/>
        </w:rPr>
        <w:t xml:space="preserve">Patent publication:</w:t>
      </w:r>
      <w:r>
        <w:rPr>
          <w:rFonts w:ascii="Times New Roman" w:hAnsi="Times New Roman"/>
          <w:sz w:val="24"/>
        </w:rPr>
        <w:t xml:space="preserve"> </w:t>
      </w:r>
      <w:r>
        <w:rPr>
          <w:rFonts w:ascii="Times New Roman" w:hAnsi="Times New Roman"/>
          <w:sz w:val="24"/>
        </w:rPr>
        <w:t xml:space="preserve">U.S. applications generally publish about 18 months after the earliest priority date. The workbook shows the first applications were filed in FY2021, so those are very likely</w:t>
      </w:r>
      <w:r>
        <w:rPr>
          <w:rFonts w:ascii="Times New Roman" w:hAnsi="Times New Roman"/>
          <w:sz w:val="24"/>
        </w:rPr>
        <w:t xml:space="preserve"> </w:t>
      </w:r>
      <w:r>
        <w:rPr>
          <w:rFonts w:ascii="Times New Roman" w:hAnsi="Times New Roman"/>
          <w:b/>
          <w:bCs/>
          <w:sz w:val="24"/>
        </w:rPr>
        <w:t xml:space="preserve">already published</w:t>
      </w:r>
      <w:r>
        <w:rPr>
          <w:rFonts w:ascii="Times New Roman" w:hAnsi="Times New Roman"/>
          <w:sz w:val="24"/>
        </w:rPr>
        <w:t xml:space="preserve">. That conflicts with the Trade Secret Summary’s statement that the applications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have not yet published.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Published content is not a trade secret.</w:t>
      </w:r>
      <w:r>
        <w:rPr>
          <w:rFonts w:ascii="Times New Roman" w:hAnsi="Times New Roman"/>
          <w:sz w:val="24"/>
        </w:rPr>
        <w:t xml:space="preserve"> </w:t>
      </w:r>
      <w:r>
        <w:rPr>
          <w:rFonts w:ascii="Times New Roman" w:hAnsi="Times New Roman"/>
          <w:b/>
          <w:bCs/>
          <w:sz w:val="24"/>
        </w:rPr>
        <w:t xml:space="preserve">Confirm with Ashford Cromwell &amp; Pratt the publication status of every application</w:t>
      </w:r>
      <w:r>
        <w:rPr>
          <w:rFonts w:ascii="Times New Roman" w:hAnsi="Times New Roman"/>
          <w:sz w:val="24"/>
        </w:rPr>
        <w:t xml:space="preserve"> </w:t>
      </w:r>
      <w:r>
        <w:rPr>
          <w:rFonts w:ascii="Times New Roman" w:hAnsi="Times New Roman"/>
          <w:sz w:val="24"/>
        </w:rPr>
        <w:t xml:space="preserve">and limit the claimed secrets to unpublished material. The draft already carves out published and commercially available content (Formulation Dossier paragraph).</w:t>
      </w:r>
    </w:p>
    <w:p>
      <w:pPr>
        <w:pStyle w:val="Compact"/>
        <w:numPr>
          <w:ilvl w:val="0"/>
          <w:numId w:val="1015"/>
        </w:numPr>
        <w:spacing w:after="160"/>
      </w:pPr>
      <w:r>
        <w:rPr>
          <w:rFonts w:ascii="Times New Roman" w:hAnsi="Times New Roman"/>
          <w:b/>
          <w:bCs/>
          <w:sz w:val="24"/>
        </w:rPr>
        <w:t xml:space="preserve">Commercialized products:</w:t>
      </w:r>
      <w:r>
        <w:rPr>
          <w:rFonts w:ascii="Times New Roman" w:hAnsi="Times New Roman"/>
          <w:sz w:val="24"/>
        </w:rPr>
        <w:t xml:space="preserve"> </w:t>
      </w:r>
      <w:r>
        <w:rPr>
          <w:rFonts w:ascii="Times New Roman" w:hAnsi="Times New Roman"/>
          <w:sz w:val="24"/>
        </w:rPr>
        <w:t xml:space="preserve">At least TP-101 is on the market, and the workbook lists TP-207 and TP-310 as distributed through Heartland and others. Defendants will argue that strains in sold products can be isolated and sequenced (reverse engineering is a defense under both the DTSA and NCTSPA § 66-152(3)).</w:t>
      </w:r>
    </w:p>
    <w:p>
      <w:pPr>
        <w:pStyle w:val="Compact"/>
        <w:numPr>
          <w:ilvl w:val="0"/>
          <w:numId w:val="1015"/>
        </w:numPr>
        <w:spacing w:after="160"/>
      </w:pPr>
      <w:r>
        <w:rPr>
          <w:rFonts w:ascii="Times New Roman" w:hAnsi="Times New Roman"/>
          <w:b/>
          <w:bCs/>
          <w:sz w:val="24"/>
        </w:rPr>
        <w:t xml:space="preserve">Internal inconsistencies to reconcile before filing:</w:t>
      </w:r>
    </w:p>
    <w:p>
      <w:pPr>
        <w:pStyle w:val="Compact"/>
        <w:numPr>
          <w:ilvl w:val="1"/>
          <w:numId w:val="1016"/>
        </w:numPr>
        <w:spacing w:after="160"/>
      </w:pPr>
      <w:r>
        <w:rPr>
          <w:rFonts w:ascii="Times New Roman" w:hAnsi="Times New Roman"/>
          <w:sz w:val="24"/>
        </w:rPr>
        <w:t xml:space="preserve">Sentinel describes the dossiers 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TP-101 through TP-214.</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Trade Secret Summary’s 14 codenames run TP-101 to TP-900.</w:t>
      </w:r>
    </w:p>
    <w:p>
      <w:pPr>
        <w:pStyle w:val="Compact"/>
        <w:numPr>
          <w:ilvl w:val="1"/>
          <w:numId w:val="1016"/>
        </w:numPr>
        <w:spacing w:after="160"/>
      </w:pPr>
      <w:r>
        <w:rPr>
          <w:rFonts w:ascii="Times New Roman" w:hAnsi="Times New Roman"/>
          <w:sz w:val="24"/>
        </w:rPr>
        <w:t xml:space="preserve">The Summary lists TP-207 and TP-310 as Phase 3 / Phase 2 development-stage. The workbook shows both being sold through distributors.</w:t>
      </w:r>
    </w:p>
    <w:p>
      <w:pPr>
        <w:pStyle w:val="Compact"/>
        <w:numPr>
          <w:ilvl w:val="0"/>
          <w:numId w:val="1000"/>
        </w:numPr>
        <w:spacing w:after="160"/>
      </w:pPr>
      <w:r>
        <w:rPr>
          <w:rFonts w:ascii="Times New Roman" w:hAnsi="Times New Roman"/>
          <w:sz w:val="24"/>
        </w:rPr>
        <w:t xml:space="preserve">Defense counsel will use these discrepancies to attack the particularity and credibility of the trade secret identification. The draft therefore avoids listing codenames and describes the dossiers by directory.</w:t>
      </w:r>
    </w:p>
    <w:bookmarkEnd w:id="37"/>
    <w:bookmarkStart w:id="38" w:name="agrinova-specific-defenses"/>
    <w:p>
      <w:pPr>
        <w:pStyle w:val="Heading2"/>
      </w:pPr>
      <w:r>
        <w:rPr>
          <w:rFonts w:ascii="Times New Roman" w:hAnsi="Times New Roman"/>
          <w:b/>
          <w:color w:val="000000"/>
          <w:sz w:val="24"/>
        </w:rPr>
        <w:t xml:space="preserve">4.6 AgriNova-specific defenses</w:t>
      </w:r>
    </w:p>
    <w:p>
      <w:pPr>
        <w:pStyle w:val="Compact"/>
        <w:numPr>
          <w:ilvl w:val="0"/>
          <w:numId w:val="1017"/>
        </w:numPr>
        <w:spacing w:after="160"/>
      </w:pPr>
      <w:r>
        <w:rPr>
          <w:rFonts w:ascii="Times New Roman" w:hAnsi="Times New Roman"/>
          <w:sz w:val="24"/>
        </w:rPr>
        <w:t xml:space="preserve">Failure to plausibly allege acquisition or use (Twombly): see § 3.3.</w:t>
      </w:r>
    </w:p>
    <w:p>
      <w:pPr>
        <w:pStyle w:val="Compact"/>
        <w:numPr>
          <w:ilvl w:val="0"/>
          <w:numId w:val="1017"/>
        </w:numPr>
        <w:spacing w:after="160"/>
      </w:pPr>
      <w:r>
        <w:rPr>
          <w:rFonts w:ascii="Times New Roman" w:hAnsi="Times New Roman"/>
          <w:sz w:val="24"/>
        </w:rPr>
        <w:t xml:space="preserve">Independent development, supported by pre-2025 AgriNova R&amp;D records.</w:t>
      </w:r>
    </w:p>
    <w:p>
      <w:pPr>
        <w:pStyle w:val="Compact"/>
        <w:numPr>
          <w:ilvl w:val="0"/>
          <w:numId w:val="1017"/>
        </w:numPr>
        <w:spacing w:after="160"/>
      </w:pPr>
      <w:r>
        <w:rPr>
          <w:rFonts w:ascii="Times New Roman" w:hAnsi="Times New Roman"/>
          <w:sz w:val="24"/>
        </w:rPr>
        <w:t xml:space="preserve">No knowledge of the covenants: see § 3.4.</w:t>
      </w:r>
    </w:p>
    <w:p>
      <w:pPr>
        <w:pStyle w:val="Compact"/>
        <w:numPr>
          <w:ilvl w:val="0"/>
          <w:numId w:val="1017"/>
        </w:numPr>
        <w:spacing w:after="160"/>
      </w:pPr>
      <w:r>
        <w:rPr>
          <w:rFonts w:ascii="Times New Roman" w:hAnsi="Times New Roman"/>
          <w:sz w:val="24"/>
        </w:rPr>
        <w:t xml:space="preserve">Competitor’s privilege to hire (defeats interference absent wrongful means).</w:t>
      </w:r>
    </w:p>
    <w:p>
      <w:pPr>
        <w:pStyle w:val="Compact"/>
        <w:numPr>
          <w:ilvl w:val="0"/>
          <w:numId w:val="1017"/>
        </w:numPr>
        <w:spacing w:after="160"/>
      </w:pPr>
      <w:r>
        <w:rPr>
          <w:rFonts w:ascii="Times New Roman" w:hAnsi="Times New Roman"/>
          <w:sz w:val="24"/>
        </w:rPr>
        <w:t xml:space="preserve">Intracorporate conspiracy doctrine.</w:t>
      </w:r>
    </w:p>
    <w:p>
      <w:pPr>
        <w:pStyle w:val="Compact"/>
        <w:numPr>
          <w:ilvl w:val="0"/>
          <w:numId w:val="1017"/>
        </w:numPr>
        <w:spacing w:after="160"/>
      </w:pPr>
      <w:r>
        <w:rPr>
          <w:rFonts w:ascii="Times New Roman" w:hAnsi="Times New Roman"/>
          <w:sz w:val="24"/>
        </w:rPr>
        <w:t xml:space="preserve">Unjust enrichment requires a benefit conferred by the plaintiff.</w:t>
      </w:r>
    </w:p>
    <w:p>
      <w:pPr>
        <w:pStyle w:val="Compact"/>
        <w:numPr>
          <w:ilvl w:val="0"/>
          <w:numId w:val="1017"/>
        </w:numPr>
        <w:spacing w:after="160"/>
      </w:pPr>
      <w:r>
        <w:rPr>
          <w:rFonts w:ascii="Times New Roman" w:hAnsi="Times New Roman"/>
          <w:sz w:val="24"/>
        </w:rPr>
        <w:t xml:space="preserve">Possible counter-messaging or a Lanham Act / defamation counterclaim if Verdant tells distributors that BioYield is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stolen.</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Advise the client to route all distributor communications through counsel</w:t>
      </w:r>
      <w:r>
        <w:rPr>
          <w:rFonts w:ascii="Times New Roman" w:hAnsi="Times New Roman"/>
          <w:sz w:val="24"/>
        </w:rPr>
        <w:t xml:space="preserve"> </w:t>
      </w:r>
      <w:r>
        <w:rPr>
          <w:rFonts w:ascii="Times New Roman" w:hAnsi="Times New Roman"/>
          <w:sz w:val="24"/>
        </w:rPr>
        <w:t xml:space="preserve">and to keep the Heartland business-development team from making accusations.</w:t>
      </w:r>
    </w:p>
    <w:bookmarkEnd w:id="38"/>
    <w:bookmarkStart w:id="39" w:name="potential-counterclaims-by-tate"/>
    <w:p>
      <w:pPr>
        <w:pStyle w:val="Heading2"/>
      </w:pPr>
      <w:r>
        <w:rPr>
          <w:rFonts w:ascii="Times New Roman" w:hAnsi="Times New Roman"/>
          <w:b/>
          <w:color w:val="000000"/>
          <w:sz w:val="24"/>
        </w:rPr>
        <w:t xml:space="preserve">4.7 Potential counterclaims by Tate</w:t>
      </w:r>
    </w:p>
    <w:p>
      <w:pPr>
        <w:pStyle w:val="Compact"/>
        <w:numPr>
          <w:ilvl w:val="0"/>
          <w:numId w:val="1018"/>
        </w:numPr>
        <w:spacing w:after="160"/>
      </w:pPr>
      <w:r>
        <w:rPr>
          <w:rFonts w:ascii="Times New Roman" w:hAnsi="Times New Roman"/>
          <w:b/>
          <w:bCs/>
          <w:sz w:val="24"/>
        </w:rPr>
        <w:t xml:space="preserve">N.C. Wage and Hour Act:</w:t>
      </w:r>
      <w:r>
        <w:rPr>
          <w:rFonts w:ascii="Times New Roman" w:hAnsi="Times New Roman"/>
          <w:sz w:val="24"/>
        </w:rPr>
        <w:t xml:space="preserve"> </w:t>
      </w:r>
      <w:r>
        <w:rPr>
          <w:rFonts w:ascii="Times New Roman" w:hAnsi="Times New Roman"/>
          <w:sz w:val="24"/>
        </w:rPr>
        <w:t xml:space="preserve">if Verdant withholds accrued pay or PTO under § 6.3 or § 7.3, Tate could bring a claim with liquidated damages and fees. Accrued base salary and PTO are not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discretionary compensation.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Confirm what was paid at separation.</w:t>
      </w:r>
    </w:p>
    <w:p>
      <w:pPr>
        <w:pStyle w:val="Compact"/>
        <w:numPr>
          <w:ilvl w:val="0"/>
          <w:numId w:val="1018"/>
        </w:numPr>
        <w:spacing w:after="160"/>
      </w:pPr>
      <w:r>
        <w:rPr>
          <w:rFonts w:ascii="Times New Roman" w:hAnsi="Times New Roman"/>
          <w:sz w:val="24"/>
        </w:rPr>
        <w:t xml:space="preserve">Declaratory judgment that § 5.2 is unenforceable.</w:t>
      </w:r>
    </w:p>
    <w:p>
      <w:pPr>
        <w:pStyle w:val="Compact"/>
        <w:numPr>
          <w:ilvl w:val="0"/>
          <w:numId w:val="1018"/>
        </w:numPr>
        <w:spacing w:after="160"/>
      </w:pPr>
      <w:r>
        <w:rPr>
          <w:rFonts w:ascii="Times New Roman" w:hAnsi="Times New Roman"/>
          <w:sz w:val="24"/>
        </w:rPr>
        <w:t xml:space="preserve">Non-disparagement claim (EA § 5.5 contains a limited Company obligation). Keep executives’ statements disciplined.</w:t>
      </w:r>
    </w:p>
    <w:bookmarkEnd w:id="39"/>
    <w:bookmarkStart w:id="40" w:name="limitations-and-discovery"/>
    <w:p>
      <w:pPr>
        <w:pStyle w:val="Heading2"/>
      </w:pPr>
      <w:r>
        <w:rPr>
          <w:rFonts w:ascii="Times New Roman" w:hAnsi="Times New Roman"/>
          <w:b/>
          <w:color w:val="000000"/>
          <w:sz w:val="24"/>
        </w:rPr>
        <w:t xml:space="preserve">4.8 Limitations and discovery</w:t>
      </w:r>
    </w:p>
    <w:p>
      <w:pPr>
        <w:pStyle w:val="FirstParagraph"/>
        <w:spacing w:after="160" w:line="276" w:lineRule="auto"/>
      </w:pPr>
      <w:r>
        <w:rPr>
          <w:rFonts w:ascii="Times New Roman" w:hAnsi="Times New Roman"/>
          <w:sz w:val="24"/>
        </w:rPr>
        <w:t xml:space="preserve">This is not a real risk. The DTSA and NCTSPA periods are 3 years; contract is 3 years (N.C. Gen. Stat. § 1-52(1)); UDTPA is 4 years (§ 75-16.2). The earliest act is Oct. 27, 2024. Note: Showalter’s memo says Verdant had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no knowledge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until Feb. 15. Sentinel was actually engaged Jan. 15 at outside counsel’s direction, after IT saw the wiped laptop on Jan. 10. This does not matter for limitations, but it matters for the TRO</w:t>
      </w:r>
      <w:r>
        <w:rPr>
          <w:rFonts w:ascii="Times New Roman" w:hAnsi="Times New Roman"/>
          <w:sz w:val="24"/>
        </w:rPr>
        <w:t xml:space="preserve"> </w:t>
      </w:r>
      <w:r>
        <w:rPr>
          <w:rFonts w:ascii="Times New Roman" w:hAnsi="Times New Roman"/>
          <w:b/>
          <w:bCs/>
          <w:sz w:val="24"/>
        </w:rPr>
        <w:t xml:space="preserve">delay</w:t>
      </w:r>
      <w:r>
        <w:rPr>
          <w:rFonts w:ascii="Times New Roman" w:hAnsi="Times New Roman"/>
          <w:sz w:val="24"/>
        </w:rPr>
        <w:t xml:space="preserve"> </w:t>
      </w:r>
      <w:r>
        <w:rPr>
          <w:rFonts w:ascii="Times New Roman" w:hAnsi="Times New Roman"/>
          <w:sz w:val="24"/>
        </w:rPr>
        <w:t xml:space="preserve">narrative (§ 1, item 4). Witnesses should describe the chronology consistently.</w:t>
      </w:r>
    </w:p>
    <w:bookmarkEnd w:id="40"/>
    <w:bookmarkEnd w:id="41"/>
    <w:bookmarkStart w:id="42" w:name="Xe45c843e6241549af94ae328a65ddd42330c801"/>
    <w:p>
      <w:pPr>
        <w:pStyle w:val="Heading1"/>
      </w:pPr>
      <w:r>
        <w:rPr>
          <w:rFonts w:ascii="Times New Roman" w:hAnsi="Times New Roman"/>
          <w:b/>
          <w:color w:val="000000"/>
          <w:sz w:val="26"/>
        </w:rPr>
        <w:t xml:space="preserve">5. Document Discrepancies and Fact-Check Items</w:t>
      </w:r>
    </w:p>
    <w:tbl>
      <w:tblPr>
        <w:tblStyle w:val="Table"/>
        <w:tblW w:type="pct" w:w="5000"/>
        <w:jc w:val="left"/>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on"/>
        </w:trPr>
        <w:tc>
          <w:tcPr/>
          <w:p>
            <w:pPr>
              <w:pStyle w:val="Compact"/>
              <w:jc w:val="left"/>
            </w:pPr>
            <w:r>
              <w:rPr>
                <w:rFonts w:ascii="Times New Roman" w:hAnsi="Times New Roman"/>
                <w:sz w:val="21"/>
              </w:rPr>
              <w:t xml:space="preserve">Item</w:t>
            </w:r>
          </w:p>
        </w:tc>
        <w:tc>
          <w:tcPr/>
          <w:p>
            <w:pPr>
              <w:pStyle w:val="Compact"/>
              <w:jc w:val="left"/>
            </w:pPr>
            <w:r>
              <w:rPr>
                <w:rFonts w:ascii="Times New Roman" w:hAnsi="Times New Roman"/>
                <w:sz w:val="21"/>
              </w:rPr>
              <w:t xml:space="preserve">Issue</w:t>
            </w:r>
          </w:p>
        </w:tc>
        <w:tc>
          <w:tcPr/>
          <w:p>
            <w:pPr>
              <w:pStyle w:val="Compact"/>
              <w:jc w:val="left"/>
            </w:pPr>
            <w:r>
              <w:rPr>
                <w:rFonts w:ascii="Times New Roman" w:hAnsi="Times New Roman"/>
                <w:sz w:val="21"/>
              </w:rPr>
              <w:t xml:space="preserve">Action</w:t>
            </w:r>
          </w:p>
        </w:tc>
      </w:tr>
      <w:tr>
        <w:tc>
          <w:tcPr/>
          <w:p>
            <w:pPr>
              <w:pStyle w:val="Compact"/>
              <w:jc w:val="left"/>
            </w:pPr>
            <w:r>
              <w:rPr>
                <w:rFonts w:ascii="Times New Roman" w:hAnsi="Times New Roman"/>
                <w:sz w:val="21"/>
              </w:rPr>
              <w:t xml:space="preserve">Heartland rank</w:t>
            </w:r>
          </w:p>
        </w:tc>
        <w:tc>
          <w:tcPr/>
          <w:p>
            <w:pPr>
              <w:pStyle w:val="Compact"/>
              <w:jc w:val="left"/>
            </w:pPr>
            <w:r>
              <w:rPr>
                <w:rFonts w:ascii="Times New Roman" w:hAnsi="Times New Roman"/>
                <w:sz w:val="21"/>
              </w:rPr>
              <w:t xml:space="preserve">Showalter memo calls Heartland</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top 5</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and also the</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largest.</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The workbook lists it as #1 ($23.4M, 12.5%).</w:t>
            </w:r>
          </w:p>
        </w:tc>
        <w:tc>
          <w:tcPr/>
          <w:p>
            <w:pPr>
              <w:pStyle w:val="Compact"/>
              <w:jc w:val="left"/>
            </w:pPr>
            <w:r>
              <w:rPr>
                <w:rFonts w:ascii="Times New Roman" w:hAnsi="Times New Roman"/>
                <w:sz w:val="21"/>
              </w:rPr>
              <w:t xml:space="preserve">Complaint uses</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largest distributor.</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Confirm.</w:t>
            </w:r>
          </w:p>
        </w:tc>
      </w:tr>
      <w:tr>
        <w:tc>
          <w:tcPr/>
          <w:p>
            <w:pPr>
              <w:pStyle w:val="Compact"/>
              <w:jc w:val="left"/>
            </w:pPr>
            <w:r>
              <w:rPr>
                <w:rFonts w:ascii="Times New Roman" w:hAnsi="Times New Roman"/>
                <w:sz w:val="21"/>
              </w:rPr>
              <w:t xml:space="preserve">“</w:t>
            </w:r>
            <w:r>
              <w:rPr>
                <w:rFonts w:ascii="Times New Roman" w:hAnsi="Times New Roman"/>
                <w:sz w:val="21"/>
              </w:rPr>
              <w:t xml:space="preserve">Largest download in history</w:t>
            </w:r>
            <w:r>
              <w:rPr>
                <w:rFonts w:ascii="Times New Roman" w:hAnsi="Times New Roman"/>
                <w:sz w:val="21"/>
              </w:rPr>
              <w:t xml:space="preserve">”</w:t>
            </w:r>
          </w:p>
        </w:tc>
        <w:tc>
          <w:tcPr/>
          <w:p>
            <w:pPr>
              <w:pStyle w:val="Compact"/>
              <w:jc w:val="left"/>
            </w:pPr>
            <w:r>
              <w:rPr>
                <w:rFonts w:ascii="Times New Roman" w:hAnsi="Times New Roman"/>
                <w:sz w:val="21"/>
              </w:rPr>
              <w:t xml:space="preserve">Showalter says</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in Verdant’s history.</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Sentinel compared only the prior</w:t>
            </w:r>
            <w:r>
              <w:rPr>
                <w:rFonts w:ascii="Times New Roman" w:hAnsi="Times New Roman"/>
                <w:sz w:val="21"/>
              </w:rPr>
              <w:t xml:space="preserve"> </w:t>
            </w:r>
            <w:r>
              <w:rPr>
                <w:rFonts w:ascii="Times New Roman" w:hAnsi="Times New Roman"/>
                <w:b/>
                <w:bCs/>
                <w:sz w:val="21"/>
              </w:rPr>
              <w:t xml:space="preserve">24 months</w:t>
            </w:r>
            <w:r>
              <w:rPr>
                <w:rFonts w:ascii="Times New Roman" w:hAnsi="Times New Roman"/>
                <w:sz w:val="21"/>
              </w:rPr>
              <w:t xml:space="preserve"> </w:t>
            </w:r>
            <w:r>
              <w:rPr>
                <w:rFonts w:ascii="Times New Roman" w:hAnsi="Times New Roman"/>
                <w:sz w:val="21"/>
              </w:rPr>
              <w:t xml:space="preserve">of logs.</w:t>
            </w:r>
          </w:p>
        </w:tc>
        <w:tc>
          <w:tcPr/>
          <w:p>
            <w:pPr>
              <w:pStyle w:val="Compact"/>
              <w:jc w:val="left"/>
            </w:pPr>
            <w:r>
              <w:rPr>
                <w:rFonts w:ascii="Times New Roman" w:hAnsi="Times New Roman"/>
                <w:sz w:val="21"/>
              </w:rPr>
              <w:t xml:space="preserve">Complaint pleads</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at least the preceding twenty-four months.</w:t>
            </w:r>
            <w:r>
              <w:rPr>
                <w:rFonts w:ascii="Times New Roman" w:hAnsi="Times New Roman"/>
                <w:sz w:val="21"/>
              </w:rPr>
              <w:t xml:space="preserve">”</w:t>
            </w:r>
          </w:p>
        </w:tc>
      </w:tr>
      <w:tr>
        <w:tc>
          <w:tcPr/>
          <w:p>
            <w:pPr>
              <w:pStyle w:val="Compact"/>
              <w:jc w:val="left"/>
            </w:pPr>
            <w:r>
              <w:rPr>
                <w:rFonts w:ascii="Times New Roman" w:hAnsi="Times New Roman"/>
                <w:sz w:val="21"/>
              </w:rPr>
              <w:t xml:space="preserve">Formulation codenames</w:t>
            </w:r>
          </w:p>
        </w:tc>
        <w:tc>
          <w:tcPr/>
          <w:p>
            <w:pPr>
              <w:pStyle w:val="Compact"/>
              <w:jc w:val="left"/>
            </w:pPr>
            <w:r>
              <w:rPr>
                <w:rFonts w:ascii="Times New Roman" w:hAnsi="Times New Roman"/>
                <w:sz w:val="21"/>
              </w:rPr>
              <w:t xml:space="preserve">Sentinel: TP-101–TP-214. Summary: TP-101–TP-900. Development stages conflict with distributor sales.</w:t>
            </w:r>
          </w:p>
        </w:tc>
        <w:tc>
          <w:tcPr/>
          <w:p>
            <w:pPr>
              <w:pStyle w:val="Compact"/>
              <w:jc w:val="left"/>
            </w:pPr>
            <w:r>
              <w:rPr>
                <w:rFonts w:ascii="Times New Roman" w:hAnsi="Times New Roman"/>
                <w:sz w:val="21"/>
              </w:rPr>
              <w:t xml:space="preserve">Reconcile with R&amp;D and IT before any trade-secret identification is served.</w:t>
            </w:r>
          </w:p>
        </w:tc>
      </w:tr>
      <w:tr>
        <w:tc>
          <w:tcPr/>
          <w:p>
            <w:pPr>
              <w:pStyle w:val="Compact"/>
              <w:jc w:val="left"/>
            </w:pPr>
            <w:r>
              <w:rPr>
                <w:rFonts w:ascii="Times New Roman" w:hAnsi="Times New Roman"/>
                <w:sz w:val="21"/>
              </w:rPr>
              <w:t xml:space="preserve">Patent publication status</w:t>
            </w:r>
          </w:p>
        </w:tc>
        <w:tc>
          <w:tcPr/>
          <w:p>
            <w:pPr>
              <w:pStyle w:val="Compact"/>
              <w:jc w:val="left"/>
            </w:pPr>
            <w:r>
              <w:rPr>
                <w:rFonts w:ascii="Times New Roman" w:hAnsi="Times New Roman"/>
                <w:sz w:val="21"/>
              </w:rPr>
              <w:t xml:space="preserve">Summary says the applications are unpublished; the FY2021 filings are likely published by now.</w:t>
            </w:r>
          </w:p>
        </w:tc>
        <w:tc>
          <w:tcPr/>
          <w:p>
            <w:pPr>
              <w:pStyle w:val="Compact"/>
              <w:jc w:val="left"/>
            </w:pPr>
            <w:r>
              <w:rPr>
                <w:rFonts w:ascii="Times New Roman" w:hAnsi="Times New Roman"/>
                <w:sz w:val="21"/>
              </w:rPr>
              <w:t xml:space="preserve">Confirm with Ashford Cromwell.</w:t>
            </w:r>
          </w:p>
        </w:tc>
      </w:tr>
      <w:tr>
        <w:tc>
          <w:tcPr/>
          <w:p>
            <w:pPr>
              <w:pStyle w:val="Compact"/>
              <w:jc w:val="left"/>
            </w:pPr>
            <w:r>
              <w:rPr>
                <w:rFonts w:ascii="Times New Roman" w:hAnsi="Times New Roman"/>
                <w:sz w:val="21"/>
              </w:rPr>
              <w:t xml:space="preserve">Press-release phone number</w:t>
            </w:r>
          </w:p>
        </w:tc>
        <w:tc>
          <w:tcPr/>
          <w:p>
            <w:pPr>
              <w:pStyle w:val="Compact"/>
              <w:jc w:val="left"/>
            </w:pPr>
            <w:r>
              <w:rPr>
                <w:rFonts w:ascii="Times New Roman" w:hAnsi="Times New Roman"/>
                <w:sz w:val="21"/>
              </w:rPr>
              <w:t xml:space="preserve">AgriNova’s media contact number, (919) 555-0184, is</w:t>
            </w:r>
            <w:r>
              <w:rPr>
                <w:rFonts w:ascii="Times New Roman" w:hAnsi="Times New Roman"/>
                <w:sz w:val="21"/>
              </w:rPr>
              <w:t xml:space="preserve"> </w:t>
            </w:r>
            <w:r>
              <w:rPr>
                <w:rFonts w:ascii="Times New Roman" w:hAnsi="Times New Roman"/>
                <w:b/>
                <w:bCs/>
                <w:sz w:val="21"/>
              </w:rPr>
              <w:t xml:space="preserve">identical to Showalter’s direct line</w:t>
            </w:r>
            <w:r>
              <w:rPr>
                <w:rFonts w:ascii="Times New Roman" w:hAnsi="Times New Roman"/>
                <w:sz w:val="21"/>
              </w:rPr>
              <w:t xml:space="preserve"> </w:t>
            </w:r>
            <w:r>
              <w:rPr>
                <w:rFonts w:ascii="Times New Roman" w:hAnsi="Times New Roman"/>
                <w:sz w:val="21"/>
              </w:rPr>
              <w:t xml:space="preserve">in his memo.</w:t>
            </w:r>
          </w:p>
        </w:tc>
        <w:tc>
          <w:tcPr/>
          <w:p>
            <w:pPr>
              <w:pStyle w:val="Compact"/>
              <w:jc w:val="left"/>
            </w:pPr>
            <w:r>
              <w:rPr>
                <w:rFonts w:ascii="Times New Roman" w:hAnsi="Times New Roman"/>
                <w:sz w:val="21"/>
              </w:rPr>
              <w:t xml:space="preserve">Probably a transcription error in the file copy. Obtain an authenticated copy of the press release (AgriNova website or wire service) before attaching it as Exhibit D.</w:t>
            </w:r>
          </w:p>
        </w:tc>
      </w:tr>
      <w:tr>
        <w:tc>
          <w:tcPr/>
          <w:p>
            <w:pPr>
              <w:pStyle w:val="Compact"/>
              <w:jc w:val="left"/>
            </w:pPr>
            <w:r>
              <w:rPr>
                <w:rFonts w:ascii="Times New Roman" w:hAnsi="Times New Roman"/>
                <w:sz w:val="21"/>
              </w:rPr>
              <w:t xml:space="preserve">LinkedIn screenshot</w:t>
            </w:r>
          </w:p>
        </w:tc>
        <w:tc>
          <w:tcPr/>
          <w:p>
            <w:pPr>
              <w:pStyle w:val="Compact"/>
              <w:jc w:val="left"/>
            </w:pPr>
            <w:r>
              <w:rPr>
                <w:rFonts w:ascii="Times New Roman" w:hAnsi="Times New Roman"/>
                <w:sz w:val="21"/>
              </w:rPr>
              <w:t xml:space="preserve">Provided by the client; not forensically captured.</w:t>
            </w:r>
          </w:p>
        </w:tc>
        <w:tc>
          <w:tcPr/>
          <w:p>
            <w:pPr>
              <w:pStyle w:val="Compact"/>
              <w:jc w:val="left"/>
            </w:pPr>
            <w:r>
              <w:rPr>
                <w:rFonts w:ascii="Times New Roman" w:hAnsi="Times New Roman"/>
                <w:sz w:val="21"/>
              </w:rPr>
              <w:t xml:space="preserve">Get capture metadata or an archived copy, and a declarant to authenticate it.</w:t>
            </w:r>
          </w:p>
        </w:tc>
      </w:tr>
      <w:tr>
        <w:tc>
          <w:tcPr/>
          <w:p>
            <w:pPr>
              <w:pStyle w:val="Compact"/>
              <w:jc w:val="left"/>
            </w:pPr>
            <w:r>
              <w:rPr>
                <w:rFonts w:ascii="Times New Roman" w:hAnsi="Times New Roman"/>
                <w:sz w:val="21"/>
              </w:rPr>
              <w:t xml:space="preserve">Tate officer status</w:t>
            </w:r>
          </w:p>
        </w:tc>
        <w:tc>
          <w:tcPr/>
          <w:p>
            <w:pPr>
              <w:pStyle w:val="Compact"/>
              <w:jc w:val="left"/>
            </w:pPr>
            <w:r>
              <w:rPr>
                <w:rFonts w:ascii="Times New Roman" w:hAnsi="Times New Roman"/>
                <w:sz w:val="21"/>
              </w:rPr>
              <w:t xml:space="preserve">Unknown.</w:t>
            </w:r>
          </w:p>
        </w:tc>
        <w:tc>
          <w:tcPr/>
          <w:p>
            <w:pPr>
              <w:pStyle w:val="Compact"/>
              <w:jc w:val="left"/>
            </w:pPr>
            <w:r>
              <w:rPr>
                <w:rFonts w:ascii="Times New Roman" w:hAnsi="Times New Roman"/>
                <w:sz w:val="21"/>
              </w:rPr>
              <w:t xml:space="preserve">Check bylaws and board minutes (this bears on a fiduciary-duty claim).</w:t>
            </w:r>
          </w:p>
        </w:tc>
      </w:tr>
      <w:tr>
        <w:tc>
          <w:tcPr/>
          <w:p>
            <w:pPr>
              <w:pStyle w:val="Compact"/>
              <w:jc w:val="left"/>
            </w:pPr>
            <w:r>
              <w:rPr>
                <w:rFonts w:ascii="Times New Roman" w:hAnsi="Times New Roman"/>
                <w:sz w:val="21"/>
              </w:rPr>
              <w:t xml:space="preserve">Cease-and-desist / notice to AgriNova</w:t>
            </w:r>
          </w:p>
        </w:tc>
        <w:tc>
          <w:tcPr/>
          <w:p>
            <w:pPr>
              <w:pStyle w:val="Compact"/>
              <w:jc w:val="left"/>
            </w:pPr>
            <w:r>
              <w:rPr>
                <w:rFonts w:ascii="Times New Roman" w:hAnsi="Times New Roman"/>
                <w:sz w:val="21"/>
              </w:rPr>
              <w:t xml:space="preserve">None in the file.</w:t>
            </w:r>
          </w:p>
        </w:tc>
        <w:tc>
          <w:tcPr/>
          <w:p>
            <w:pPr>
              <w:pStyle w:val="Compact"/>
              <w:jc w:val="left"/>
            </w:pPr>
            <w:r>
              <w:rPr>
                <w:rFonts w:ascii="Times New Roman" w:hAnsi="Times New Roman"/>
                <w:sz w:val="21"/>
              </w:rPr>
              <w:t xml:space="preserve">Decide on timing (§ 3.4).</w:t>
            </w:r>
          </w:p>
        </w:tc>
      </w:tr>
      <w:tr>
        <w:tc>
          <w:tcPr/>
          <w:p>
            <w:pPr>
              <w:pStyle w:val="Compact"/>
              <w:jc w:val="left"/>
            </w:pPr>
            <w:r>
              <w:rPr>
                <w:rFonts w:ascii="Times New Roman" w:hAnsi="Times New Roman"/>
                <w:sz w:val="21"/>
              </w:rPr>
              <w:t xml:space="preserve">Kowalski / Okonkwo declarations</w:t>
            </w:r>
          </w:p>
        </w:tc>
        <w:tc>
          <w:tcPr/>
          <w:p>
            <w:pPr>
              <w:pStyle w:val="Compact"/>
              <w:jc w:val="left"/>
            </w:pPr>
            <w:r>
              <w:rPr>
                <w:rFonts w:ascii="Times New Roman" w:hAnsi="Times New Roman"/>
                <w:sz w:val="21"/>
              </w:rPr>
              <w:t xml:space="preserve">Captioned</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in support of complaint.</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Okonkwo ¶ 10 is hearsay.</w:t>
            </w:r>
          </w:p>
        </w:tc>
        <w:tc>
          <w:tcPr/>
          <w:p>
            <w:pPr>
              <w:pStyle w:val="Compact"/>
              <w:jc w:val="left"/>
            </w:pPr>
            <w:r>
              <w:rPr>
                <w:rFonts w:ascii="Times New Roman" w:hAnsi="Times New Roman"/>
                <w:sz w:val="21"/>
              </w:rPr>
              <w:t xml:space="preserve">Re-execute as TRO declarations, and add colleague declarations if the facts support them.</w:t>
            </w:r>
          </w:p>
        </w:tc>
      </w:tr>
      <w:tr>
        <w:tc>
          <w:tcPr/>
          <w:p>
            <w:pPr>
              <w:pStyle w:val="Compact"/>
              <w:jc w:val="left"/>
            </w:pPr>
            <w:r>
              <w:rPr>
                <w:rFonts w:ascii="Times New Roman" w:hAnsi="Times New Roman"/>
                <w:sz w:val="21"/>
              </w:rPr>
              <w:t xml:space="preserve">Verification</w:t>
            </w:r>
          </w:p>
        </w:tc>
        <w:tc>
          <w:tcPr/>
          <w:p>
            <w:pPr>
              <w:pStyle w:val="Compact"/>
              <w:jc w:val="left"/>
            </w:pPr>
            <w:r>
              <w:rPr>
                <w:rFonts w:ascii="Times New Roman" w:hAnsi="Times New Roman"/>
                <w:sz w:val="21"/>
              </w:rPr>
              <w:t xml:space="preserve">The complaint is drafted as verified (needed for a Rule 65(b) TRO).</w:t>
            </w:r>
          </w:p>
        </w:tc>
        <w:tc>
          <w:tcPr/>
          <w:p>
            <w:pPr>
              <w:pStyle w:val="Compact"/>
              <w:jc w:val="left"/>
            </w:pPr>
            <w:r>
              <w:rPr>
                <w:rFonts w:ascii="Times New Roman" w:hAnsi="Times New Roman"/>
                <w:sz w:val="21"/>
              </w:rPr>
              <w:t xml:space="preserve">Choose a verifier with personal knowledge (CEO or GC). Consider whether a GC verification risks a privilege waiver or makes the GC a witness. A business officer may be preferable.</w:t>
            </w:r>
          </w:p>
        </w:tc>
      </w:tr>
    </w:tbl>
    <w:bookmarkEnd w:id="42"/>
    <w:bookmarkStart w:id="43" w:name="recommended-next-steps-priority-order"/>
    <w:p>
      <w:pPr>
        <w:pStyle w:val="Heading1"/>
      </w:pPr>
      <w:r>
        <w:rPr>
          <w:rFonts w:ascii="Times New Roman" w:hAnsi="Times New Roman"/>
          <w:b/>
          <w:color w:val="000000"/>
          <w:sz w:val="26"/>
        </w:rPr>
        <w:t xml:space="preserve">6. Recommended Next Steps (priority order)</w:t>
      </w:r>
    </w:p>
    <w:p>
      <w:pPr>
        <w:pStyle w:val="Compact"/>
        <w:numPr>
          <w:ilvl w:val="0"/>
          <w:numId w:val="1019"/>
        </w:numPr>
        <w:spacing w:after="160"/>
      </w:pPr>
      <w:r>
        <w:rPr>
          <w:rFonts w:ascii="Times New Roman" w:hAnsi="Times New Roman"/>
          <w:sz w:val="24"/>
        </w:rPr>
        <w:t xml:space="preserve">Resolve the Heartland facts (who presented and whether Tate was involved). Then keep or drop Count VI.</w:t>
      </w:r>
    </w:p>
    <w:p>
      <w:pPr>
        <w:pStyle w:val="Compact"/>
        <w:numPr>
          <w:ilvl w:val="0"/>
          <w:numId w:val="1019"/>
        </w:numPr>
        <w:spacing w:after="160"/>
      </w:pPr>
      <w:r>
        <w:rPr>
          <w:rFonts w:ascii="Times New Roman" w:hAnsi="Times New Roman"/>
          <w:sz w:val="24"/>
        </w:rPr>
        <w:t xml:space="preserve">Confirm patent publication status and reconcile the codename and development-stage inconsistencies.</w:t>
      </w:r>
    </w:p>
    <w:p>
      <w:pPr>
        <w:pStyle w:val="Compact"/>
        <w:numPr>
          <w:ilvl w:val="0"/>
          <w:numId w:val="1019"/>
        </w:numPr>
        <w:spacing w:after="160"/>
      </w:pPr>
      <w:r>
        <w:rPr>
          <w:rFonts w:ascii="Times New Roman" w:hAnsi="Times New Roman"/>
          <w:sz w:val="24"/>
        </w:rPr>
        <w:t xml:space="preserve">Research AgriNova’s pre-2025 R&amp;D footprint.</w:t>
      </w:r>
    </w:p>
    <w:p>
      <w:pPr>
        <w:pStyle w:val="Compact"/>
        <w:numPr>
          <w:ilvl w:val="0"/>
          <w:numId w:val="1019"/>
        </w:numPr>
        <w:spacing w:after="160"/>
      </w:pPr>
      <w:r>
        <w:rPr>
          <w:rFonts w:ascii="Times New Roman" w:hAnsi="Times New Roman"/>
          <w:sz w:val="24"/>
        </w:rPr>
        <w:t xml:space="preserve">Prepare TRO papers: Driscoll declaration, IT Director (Marsh) declaration on protective measures, re-executed Kowalski and Okonkwo declarations, proposed forensic protocol, and a proposed order focused on no-use, turnover and sequestration, preservation, and expedited discovery.</w:t>
      </w:r>
    </w:p>
    <w:p>
      <w:pPr>
        <w:pStyle w:val="Compact"/>
        <w:numPr>
          <w:ilvl w:val="0"/>
          <w:numId w:val="1019"/>
        </w:numPr>
        <w:spacing w:after="160"/>
      </w:pPr>
      <w:r>
        <w:rPr>
          <w:rFonts w:ascii="Times New Roman" w:hAnsi="Times New Roman"/>
          <w:sz w:val="24"/>
        </w:rPr>
        <w:t xml:space="preserve">Client decisions: the DTSA seizure option; notice-letter timing; bond tolerance; the verifier.</w:t>
      </w:r>
    </w:p>
    <w:p>
      <w:pPr>
        <w:pStyle w:val="Compact"/>
        <w:numPr>
          <w:ilvl w:val="0"/>
          <w:numId w:val="1019"/>
        </w:numPr>
        <w:spacing w:after="160"/>
      </w:pPr>
      <w:r>
        <w:rPr>
          <w:rFonts w:ascii="Times New Roman" w:hAnsi="Times New Roman"/>
          <w:sz w:val="24"/>
        </w:rPr>
        <w:t xml:space="preserve">Retain a damages expert. Stop circulating the $85.02M figure externally.</w:t>
      </w:r>
    </w:p>
    <w:p>
      <w:pPr>
        <w:pStyle w:val="Compact"/>
        <w:numPr>
          <w:ilvl w:val="0"/>
          <w:numId w:val="1019"/>
        </w:numPr>
        <w:spacing w:after="160"/>
      </w:pPr>
      <w:r>
        <w:rPr>
          <w:rFonts w:ascii="Times New Roman" w:hAnsi="Times New Roman"/>
          <w:sz w:val="24"/>
        </w:rPr>
        <w:t xml:space="preserve">Accelerate filing ahead of April 7.</w:t>
      </w:r>
    </w:p>
    <w:p>
      <w:pPr>
        <w:pStyle w:val="Compact"/>
        <w:numPr>
          <w:ilvl w:val="0"/>
          <w:numId w:val="1019"/>
        </w:numPr>
        <w:spacing w:after="160"/>
      </w:pPr>
      <w:r>
        <w:rPr>
          <w:rFonts w:ascii="Times New Roman" w:hAnsi="Times New Roman"/>
          <w:sz w:val="24"/>
        </w:rPr>
        <w:t xml:space="preserve">Housekeeping for the client: add the § 1833(b) immunity notice to all employee and contractor confidentiality agreements; technically enforce the USB ban; add download-volume alerts; adopt a departing-employee protocol (immediate access review on resignation, and exit certification).</w:t>
      </w:r>
    </w:p>
    <w:p>
      <w:pPr>
        <w:pStyle w:val="FirstParagraph"/>
        <w:spacing w:after="160" w:line="276" w:lineRule="auto"/>
      </w:pPr>
      <w:r>
        <w:rPr>
          <w:rFonts w:ascii="Times New Roman" w:hAnsi="Times New Roman"/>
          <w:i/>
          <w:iCs/>
          <w:sz w:val="24"/>
        </w:rPr>
        <w:t xml:space="preserve">All case citations should be cite-checked and Shepardized before any filing. This memo reflects a first-pass analysis based solely on the client-provided documents.</w:t>
      </w:r>
    </w:p>
    <w:bookmarkEnd w:id="43"/>
    <w:sectPr>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olor w:val="000000"/>
    </w:rPr>
  </w:style>
  <w:style w:styleId="BodyText" w:type="paragraph">
    <w:name w:val="Body Text"/>
    <w:basedOn w:val="Normal"/>
    <w:link w:val="BodyTextChar"/>
    <w:qFormat/>
    <w:pPr>
      <w:spacing w:after="180" w:before="180"/>
    </w:pPr>
    <w:rPr>
      <w:rFonts w:ascii="Times New Roman" w:hAnsi="Times New Roman" w:eastAsia="Times New Roman"/>
      <w:color w:val="000000"/>
    </w:rPr>
  </w:style>
  <w:style w:customStyle="1" w:styleId="FirstParagraph" w:type="paragraph">
    <w:name w:val="First Paragraph"/>
    <w:basedOn w:val="BodyText"/>
    <w:next w:val="BodyText"/>
    <w:qFormat/>
    <w:rPr>
      <w:rFonts w:ascii="Times New Roman" w:hAnsi="Times New Roman" w:eastAsia="Times New Roman"/>
      <w:color w:val="000000"/>
    </w:rPr>
  </w:style>
  <w:style w:customStyle="1" w:styleId="Compact" w:type="paragraph">
    <w:name w:val="Compact"/>
    <w:basedOn w:val="BodyText"/>
    <w:qFormat/>
    <w:pPr>
      <w:spacing w:after="36" w:before="36"/>
    </w:pPr>
    <w:rPr>
      <w:rFonts w:ascii="Times New Roman" w:hAnsi="Times New Roman" w:eastAsia="Times New Roman"/>
      <w:color w:val="00000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olor w:val="000000"/>
      <w:sz w:val="30"/>
      <w:szCs w:val="30"/>
    </w:rPr>
  </w:style>
  <w:style w:customStyle="1" w:styleId="Author" w:type="paragraph">
    <w:name w:val="Author"/>
    <w:next w:val="BodyText"/>
    <w:qFormat/>
    <w:pPr>
      <w:keepNext/>
      <w:keepLines/>
      <w:jc w:val="center"/>
    </w:pPr>
    <w:rPr>
      <w:rFonts w:ascii="Times New Roman" w:hAnsi="Times New Roman" w:eastAsia="Times New Roman"/>
      <w:color w:val="000000"/>
    </w:rPr>
  </w:style>
  <w:style w:styleId="Date" w:type="paragraph">
    <w:name w:val="Date"/>
    <w:next w:val="BodyText"/>
    <w:qFormat/>
    <w:pPr>
      <w:keepNext/>
      <w:keepLines/>
      <w:jc w:val="center"/>
    </w:pPr>
    <w:rPr>
      <w:rFonts w:ascii="Times New Roman" w:hAnsi="Times New Roman" w:eastAsia="Times New Roman"/>
      <w:color w:val="000000"/>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Times New Roman"/>
      <w:color w:val="000000"/>
      <w:sz w:val="20"/>
      <w:szCs w:val="20"/>
    </w:rPr>
  </w:style>
  <w:style w:styleId="Bibliography" w:type="paragraph">
    <w:name w:val="Bibliography"/>
    <w:basedOn w:val="Normal"/>
    <w:next w:val="Bibliography"/>
    <w:qFormat/>
    <w:pPr/>
    <w:rPr>
      <w:rFonts w:ascii="Times New Roman" w:hAnsi="Times New Roman" w:eastAsia="Times New Roman"/>
      <w:color w:val="000000"/>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eastAsia="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eastAsia="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eastAsia="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eastAsia="Times New Roman"/>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eastAsia="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eastAsia="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eastAsia="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eastAsia="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eastAsia="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olor w:val="000000"/>
    </w:rPr>
  </w:style>
  <w:style w:styleId="FootnoteText" w:type="paragraph">
    <w:name w:val="Footnote Text"/>
    <w:basedOn w:val="Normal"/>
    <w:next w:val="FootnoteText"/>
    <w:uiPriority w:val="9"/>
    <w:unhideWhenUsed/>
    <w:qFormat/>
    <w:rPr>
      <w:rFonts w:ascii="Times New Roman" w:hAnsi="Times New Roman" w:eastAsia="Times New Roman"/>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eastAsia="Times New Roman"/>
      <w:color w:val="000000"/>
    </w:rPr>
  </w:style>
  <w:style w:default="1" w:styleId="DefaultParagraphFont" w:type="character">
    <w:name w:val="Default Paragraph Font"/>
    <w:semiHidden/>
    <w:unhideWhenUsed/>
    <w:rPr>
      <w:rFonts w:ascii="Times New Roman" w:hAnsi="Times New Roman" w:eastAsia="Times New Roman"/>
      <w:color w:val="000000"/>
    </w:rPr>
  </w:style>
  <w:style w:default="1" w:styleId="Table" w:type="table">
    <w:name w:val="Table"/>
    <w:basedOn w:val="TableNormal"/>
    <w:semiHidden/>
    <w:unhideWhenUsed/>
    <w:qFormat/>
    <w:rPr>
      <w:rFonts w:ascii="Times New Roman" w:hAnsi="Times New Roman" w:eastAsia="Times New Roman"/>
      <w:color w:val="000000"/>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b/>
      <w:color w:val="000000"/>
    </w:rPr>
  </w:style>
  <w:style w:customStyle="1" w:styleId="Definition" w:type="paragraph">
    <w:name w:val="Definition"/>
    <w:basedOn w:val="Normal"/>
    <w:rPr>
      <w:rFonts w:ascii="Times New Roman" w:hAnsi="Times New Roman" w:eastAsia="Times New Roman"/>
      <w:color w:val="000000"/>
    </w:rPr>
  </w:style>
  <w:style w:styleId="Caption" w:type="paragraph">
    <w:name w:val="Caption"/>
    <w:basedOn w:val="Normal"/>
    <w:link w:val="BodyTextChar"/>
    <w:pPr>
      <w:spacing w:after="120" w:before="0"/>
    </w:pPr>
    <w:rPr>
      <w:rFonts w:ascii="Times New Roman" w:hAnsi="Times New Roman" w:eastAsia="Times New Roman"/>
      <w:i/>
      <w:color w:val="000000"/>
    </w:rPr>
  </w:style>
  <w:style w:customStyle="1" w:styleId="TableCaption" w:type="paragraph">
    <w:name w:val="Table Caption"/>
    <w:basedOn w:val="Caption"/>
    <w:pPr>
      <w:keepNext/>
    </w:pPr>
    <w:rPr>
      <w:rFonts w:ascii="Times New Roman" w:hAnsi="Times New Roman" w:eastAsia="Times New Roman"/>
      <w:color w:val="000000"/>
    </w:rPr>
  </w:style>
  <w:style w:customStyle="1" w:styleId="ImageCaption" w:type="paragraph">
    <w:name w:val="Image Caption"/>
    <w:basedOn w:val="Caption"/>
    <w:rPr>
      <w:rFonts w:ascii="Times New Roman" w:hAnsi="Times New Roman" w:eastAsia="Times New Roman"/>
      <w:color w:val="000000"/>
    </w:rPr>
  </w:style>
  <w:style w:customStyle="1" w:styleId="Figure" w:type="paragraph">
    <w:name w:val="Figure"/>
    <w:basedOn w:val="Normal"/>
    <w:rPr>
      <w:rFonts w:ascii="Times New Roman" w:hAnsi="Times New Roman" w:eastAsia="Times New Roman"/>
      <w:color w:val="000000"/>
    </w:rPr>
  </w:style>
  <w:style w:customStyle="1" w:styleId="CaptionedFigure" w:type="paragraph">
    <w:name w:val="Captioned Figure"/>
    <w:basedOn w:val="Figure"/>
    <w:pPr>
      <w:keepNext/>
    </w:pPr>
    <w:rPr>
      <w:rFonts w:ascii="Times New Roman" w:hAnsi="Times New Roman" w:eastAsia="Times New Roman"/>
      <w:color w:val="000000"/>
    </w:rPr>
  </w:style>
  <w:style w:customStyle="1" w:styleId="BodyTextChar" w:type="character">
    <w:name w:val="Body Text Char"/>
    <w:basedOn w:val="DefaultParagraphFont"/>
    <w:link w:val="BodyText"/>
    <w:rPr>
      <w:rFonts w:ascii="Times New Roman" w:hAnsi="Times New Roman" w:eastAsia="Times New Roman"/>
      <w:color w:val="000000"/>
    </w:rPr>
  </w:style>
  <w:style w:customStyle="1" w:styleId="VerbatimChar" w:type="character">
    <w:name w:val="Verbatim Char"/>
    <w:basedOn w:val="BodyTextChar"/>
    <w:rPr>
      <w:rFonts w:ascii="Times New Roman" w:hAnsi="Times New Roman" w:eastAsia="Times New Roman"/>
      <w:color w:val="000000"/>
      <w:sz w:val="22"/>
    </w:rPr>
  </w:style>
  <w:style w:customStyle="1" w:styleId="SectionNumber" w:type="character">
    <w:name w:val="Section Number"/>
    <w:basedOn w:val="BodyTextChar"/>
    <w:rPr>
      <w:rFonts w:ascii="Times New Roman" w:hAnsi="Times New Roman" w:eastAsia="Times New Roman"/>
      <w:color w:val="000000"/>
    </w:rPr>
  </w:style>
  <w:style w:styleId="FootnoteReference" w:type="character">
    <w:name w:val="Footnote Reference"/>
    <w:basedOn w:val="BodyTextChar"/>
    <w:rPr>
      <w:rFonts w:ascii="Times New Roman" w:hAnsi="Times New Roman" w:eastAsia="Times New Roman"/>
      <w:color w:val="000000"/>
      <w:vertAlign w:val="superscript"/>
    </w:rPr>
  </w:style>
  <w:style w:styleId="Hyperlink" w:type="character">
    <w:name w:val="Hyperlink"/>
    <w:basedOn w:val="BodyTextChar"/>
    <w:rPr>
      <w:rFonts w:ascii="Times New Roman" w:hAnsi="Times New Roman" w:eastAsia="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eastAsia="Times New Roman"/>
      <w:b w:val="0"/>
      <w:bCs w:val="0"/>
      <w:color w:val="000000"/>
    </w:rPr>
  </w:style>
  <w:style w:type="paragraph" w:customStyle="1" w:styleId="SourceCode">
    <w:name w:val="Source Code"/>
    <w:basedOn w:val="Normal"/>
    <w:link w:val="VerbatimChar"/>
    <w:pPr>
      <w:wordWrap w:val="off"/>
    </w:pPr>
    <w:rPr>
      <w:rFonts w:ascii="Times New Roman" w:hAnsi="Times New Roman" w:eastAsia="Times New Roman"/>
      <w:color w:val="000000"/>
    </w:rPr>
  </w:style>
  <w:style w:type="character" w:customStyle="1" w:styleId="KeywordTok">
    <w:name w:val="KeywordTok"/>
    <w:basedOn w:val="VerbatimChar"/>
    <w:rPr>
      <w:rFonts w:ascii="Times New Roman" w:hAnsi="Times New Roman" w:eastAsia="Times New Roman"/>
      <w:b/>
      <w:color w:val="000000"/>
    </w:rPr>
  </w:style>
  <w:style w:type="character" w:customStyle="1" w:styleId="DataTypeTok">
    <w:name w:val="DataTypeTok"/>
    <w:basedOn w:val="VerbatimChar"/>
    <w:rPr>
      <w:rFonts w:ascii="Times New Roman" w:hAnsi="Times New Roman" w:eastAsia="Times New Roman"/>
      <w:color w:val="000000"/>
    </w:rPr>
  </w:style>
  <w:style w:type="character" w:customStyle="1" w:styleId="DecValTok">
    <w:name w:val="DecValTok"/>
    <w:basedOn w:val="VerbatimChar"/>
    <w:rPr>
      <w:rFonts w:ascii="Times New Roman" w:hAnsi="Times New Roman" w:eastAsia="Times New Roman"/>
      <w:color w:val="000000"/>
    </w:rPr>
  </w:style>
  <w:style w:type="character" w:customStyle="1" w:styleId="BaseNTok">
    <w:name w:val="BaseNTok"/>
    <w:basedOn w:val="VerbatimChar"/>
    <w:rPr>
      <w:rFonts w:ascii="Times New Roman" w:hAnsi="Times New Roman" w:eastAsia="Times New Roman"/>
      <w:color w:val="000000"/>
    </w:rPr>
  </w:style>
  <w:style w:type="character" w:customStyle="1" w:styleId="FloatTok">
    <w:name w:val="FloatTok"/>
    <w:basedOn w:val="VerbatimChar"/>
    <w:rPr>
      <w:rFonts w:ascii="Times New Roman" w:hAnsi="Times New Roman" w:eastAsia="Times New Roman"/>
      <w:color w:val="000000"/>
    </w:rPr>
  </w:style>
  <w:style w:type="character" w:customStyle="1" w:styleId="ConstantTok">
    <w:name w:val="ConstantTok"/>
    <w:basedOn w:val="VerbatimChar"/>
    <w:rPr>
      <w:rFonts w:ascii="Times New Roman" w:hAnsi="Times New Roman" w:eastAsia="Times New Roman"/>
      <w:color w:val="000000"/>
    </w:rPr>
  </w:style>
  <w:style w:type="character" w:customStyle="1" w:styleId="CharTok">
    <w:name w:val="CharTok"/>
    <w:basedOn w:val="VerbatimChar"/>
    <w:rPr>
      <w:rFonts w:ascii="Times New Roman" w:hAnsi="Times New Roman" w:eastAsia="Times New Roman"/>
      <w:color w:val="000000"/>
    </w:rPr>
  </w:style>
  <w:style w:type="character" w:customStyle="1" w:styleId="SpecialCharTok">
    <w:name w:val="SpecialCharTok"/>
    <w:basedOn w:val="VerbatimChar"/>
    <w:rPr>
      <w:rFonts w:ascii="Times New Roman" w:hAnsi="Times New Roman" w:eastAsia="Times New Roman"/>
      <w:color w:val="000000"/>
    </w:rPr>
  </w:style>
  <w:style w:type="character" w:customStyle="1" w:styleId="StringTok">
    <w:name w:val="StringTok"/>
    <w:basedOn w:val="VerbatimChar"/>
    <w:rPr>
      <w:rFonts w:ascii="Times New Roman" w:hAnsi="Times New Roman" w:eastAsia="Times New Roman"/>
      <w:color w:val="000000"/>
    </w:rPr>
  </w:style>
  <w:style w:type="character" w:customStyle="1" w:styleId="VerbatimStringTok">
    <w:name w:val="VerbatimStringTok"/>
    <w:basedOn w:val="VerbatimChar"/>
    <w:rPr>
      <w:rFonts w:ascii="Times New Roman" w:hAnsi="Times New Roman" w:eastAsia="Times New Roman"/>
      <w:color w:val="000000"/>
    </w:rPr>
  </w:style>
  <w:style w:type="character" w:customStyle="1" w:styleId="SpecialStringTok">
    <w:name w:val="SpecialStringTok"/>
    <w:basedOn w:val="VerbatimChar"/>
    <w:rPr>
      <w:rFonts w:ascii="Times New Roman" w:hAnsi="Times New Roman" w:eastAsia="Times New Roman"/>
      <w:color w:val="000000"/>
    </w:rPr>
  </w:style>
  <w:style w:type="character" w:customStyle="1" w:styleId="ImportTok">
    <w:name w:val="ImportTok"/>
    <w:basedOn w:val="VerbatimChar"/>
    <w:rPr>
      <w:rFonts w:ascii="Times New Roman" w:hAnsi="Times New Roman" w:eastAsia="Times New Roman"/>
      <w:b/>
      <w:color w:val="000000"/>
    </w:rPr>
  </w:style>
  <w:style w:type="character" w:customStyle="1" w:styleId="CommentTok">
    <w:name w:val="CommentTok"/>
    <w:basedOn w:val="VerbatimChar"/>
    <w:rPr>
      <w:rFonts w:ascii="Times New Roman" w:hAnsi="Times New Roman" w:eastAsia="Times New Roman"/>
      <w:i/>
      <w:color w:val="000000"/>
    </w:rPr>
  </w:style>
  <w:style w:type="character" w:customStyle="1" w:styleId="DocumentationTok">
    <w:name w:val="DocumentationTok"/>
    <w:basedOn w:val="VerbatimChar"/>
    <w:rPr>
      <w:rFonts w:ascii="Times New Roman" w:hAnsi="Times New Roman" w:eastAsia="Times New Roman"/>
      <w:i/>
      <w:color w:val="000000"/>
    </w:rPr>
  </w:style>
  <w:style w:type="character" w:customStyle="1" w:styleId="AnnotationTok">
    <w:name w:val="AnnotationTok"/>
    <w:basedOn w:val="VerbatimChar"/>
    <w:rPr>
      <w:rFonts w:ascii="Times New Roman" w:hAnsi="Times New Roman" w:eastAsia="Times New Roman"/>
      <w:b/>
      <w:i/>
      <w:color w:val="000000"/>
    </w:rPr>
  </w:style>
  <w:style w:type="character" w:customStyle="1" w:styleId="CommentVarTok">
    <w:name w:val="CommentVarTok"/>
    <w:basedOn w:val="VerbatimChar"/>
    <w:rPr>
      <w:rFonts w:ascii="Times New Roman" w:hAnsi="Times New Roman" w:eastAsia="Times New Roman"/>
      <w:b/>
      <w:i/>
      <w:color w:val="000000"/>
    </w:rPr>
  </w:style>
  <w:style w:type="character" w:customStyle="1" w:styleId="OtherTok">
    <w:name w:val="OtherTok"/>
    <w:basedOn w:val="VerbatimChar"/>
    <w:rPr>
      <w:rFonts w:ascii="Times New Roman" w:hAnsi="Times New Roman" w:eastAsia="Times New Roman"/>
      <w:color w:val="000000"/>
    </w:rPr>
  </w:style>
  <w:style w:type="character" w:customStyle="1" w:styleId="FunctionTok">
    <w:name w:val="FunctionTok"/>
    <w:basedOn w:val="VerbatimChar"/>
    <w:rPr>
      <w:rFonts w:ascii="Times New Roman" w:hAnsi="Times New Roman" w:eastAsia="Times New Roman"/>
      <w:color w:val="000000"/>
    </w:rPr>
  </w:style>
  <w:style w:type="character" w:customStyle="1" w:styleId="VariableTok">
    <w:name w:val="VariableTok"/>
    <w:basedOn w:val="VerbatimChar"/>
    <w:rPr>
      <w:rFonts w:ascii="Times New Roman" w:hAnsi="Times New Roman" w:eastAsia="Times New Roman"/>
      <w:color w:val="000000"/>
    </w:rPr>
  </w:style>
  <w:style w:type="character" w:customStyle="1" w:styleId="ControlFlowTok">
    <w:name w:val="ControlFlowTok"/>
    <w:basedOn w:val="VerbatimChar"/>
    <w:rPr>
      <w:rFonts w:ascii="Times New Roman" w:hAnsi="Times New Roman" w:eastAsia="Times New Roman"/>
      <w:b/>
      <w:color w:val="000000"/>
    </w:rPr>
  </w:style>
  <w:style w:type="character" w:customStyle="1" w:styleId="OperatorTok">
    <w:name w:val="OperatorTok"/>
    <w:basedOn w:val="VerbatimChar"/>
    <w:rPr>
      <w:rFonts w:ascii="Times New Roman" w:hAnsi="Times New Roman" w:eastAsia="Times New Roman"/>
      <w:color w:val="000000"/>
    </w:rPr>
  </w:style>
  <w:style w:type="character" w:customStyle="1" w:styleId="BuiltInTok">
    <w:name w:val="BuiltInTok"/>
    <w:basedOn w:val="VerbatimChar"/>
    <w:rPr>
      <w:rFonts w:ascii="Times New Roman" w:hAnsi="Times New Roman" w:eastAsia="Times New Roman"/>
      <w:color w:val="000000"/>
    </w:rPr>
  </w:style>
  <w:style w:type="character" w:customStyle="1" w:styleId="ExtensionTok">
    <w:name w:val="ExtensionTok"/>
    <w:basedOn w:val="VerbatimChar"/>
    <w:rPr>
      <w:rFonts w:ascii="Times New Roman" w:hAnsi="Times New Roman" w:eastAsia="Times New Roman"/>
      <w:color w:val="000000"/>
    </w:rPr>
  </w:style>
  <w:style w:type="character" w:customStyle="1" w:styleId="PreprocessorTok">
    <w:name w:val="PreprocessorTok"/>
    <w:basedOn w:val="VerbatimChar"/>
    <w:rPr>
      <w:rFonts w:ascii="Times New Roman" w:hAnsi="Times New Roman" w:eastAsia="Times New Roman"/>
      <w:color w:val="000000"/>
    </w:rPr>
  </w:style>
  <w:style w:type="character" w:customStyle="1" w:styleId="AttributeTok">
    <w:name w:val="AttributeTok"/>
    <w:basedOn w:val="VerbatimChar"/>
    <w:rPr>
      <w:rFonts w:ascii="Times New Roman" w:hAnsi="Times New Roman" w:eastAsia="Times New Roman"/>
      <w:color w:val="000000"/>
    </w:rPr>
  </w:style>
  <w:style w:type="character" w:customStyle="1" w:styleId="RegionMarkerTok">
    <w:name w:val="RegionMarkerTok"/>
    <w:basedOn w:val="VerbatimChar"/>
    <w:rPr>
      <w:rFonts w:ascii="Times New Roman" w:hAnsi="Times New Roman" w:eastAsia="Times New Roman"/>
      <w:color w:val="000000"/>
    </w:rPr>
  </w:style>
  <w:style w:type="character" w:customStyle="1" w:styleId="InformationTok">
    <w:name w:val="InformationTok"/>
    <w:basedOn w:val="VerbatimChar"/>
    <w:rPr>
      <w:rFonts w:ascii="Times New Roman" w:hAnsi="Times New Roman" w:eastAsia="Times New Roman"/>
      <w:b/>
      <w:i/>
      <w:color w:val="000000"/>
    </w:rPr>
  </w:style>
  <w:style w:type="character" w:customStyle="1" w:styleId="WarningTok">
    <w:name w:val="WarningTok"/>
    <w:basedOn w:val="VerbatimChar"/>
    <w:rPr>
      <w:rFonts w:ascii="Times New Roman" w:hAnsi="Times New Roman" w:eastAsia="Times New Roman"/>
      <w:b/>
      <w:i/>
      <w:color w:val="000000"/>
    </w:rPr>
  </w:style>
  <w:style w:type="character" w:customStyle="1" w:styleId="AlertTok">
    <w:name w:val="AlertTok"/>
    <w:basedOn w:val="VerbatimChar"/>
    <w:rPr>
      <w:rFonts w:ascii="Times New Roman" w:hAnsi="Times New Roman" w:eastAsia="Times New Roman"/>
      <w:b/>
      <w:color w:val="000000"/>
    </w:rPr>
  </w:style>
  <w:style w:type="character" w:customStyle="1" w:styleId="ErrorTok">
    <w:name w:val="ErrorTok"/>
    <w:basedOn w:val="VerbatimChar"/>
    <w:rPr>
      <w:rFonts w:ascii="Times New Roman" w:hAnsi="Times New Roman" w:eastAsia="Times New Roman"/>
      <w:b/>
      <w:color w:val="000000"/>
    </w:rPr>
  </w:style>
  <w:style w:type="character" w:customStyle="1" w:styleId="NormalTok">
    <w:name w:val="NormalTok"/>
    <w:basedOn w:val="VerbatimChar"/>
    <w:rPr>
      <w:rFonts w:ascii="Times New Roman" w:hAnsi="Times New Roman" w:eastAsia="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2026-09-27T00:41:31Z</dcterms:created>
  <dcterms:modified xsi:type="dcterms:W3CDTF">2026-09-27T00:41:31Z</dcterms:modified>
</cp:coreProperties>
</file>

<file path=docProps/custom.xml><?xml version="1.0" encoding="utf-8"?>
<Properties xmlns="http://schemas.openxmlformats.org/officeDocument/2006/custom-properties" xmlns:vt="http://schemas.openxmlformats.org/officeDocument/2006/docPropsVTypes"/>
</file>