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
        <w:widowControl/>
      </w:pPr>
      <w:r>
        <w:rPr>
          <w:rFonts w:ascii="Arial" w:hAnsi="Arial"/>
          <w:b/>
          <w:color w:val="17365D"/>
          <w:sz w:val="42"/>
        </w:rPr>
        <w:t>CONFLICT CHECK MEMORANDUM</w:t>
      </w:r>
    </w:p>
    <w:p>
      <w:pPr>
        <w:spacing w:after="220"/>
        <w:widowControl/>
      </w:pPr>
      <w:r>
        <w:rPr>
          <w:b/>
          <w:color w:val="1F4E79"/>
          <w:sz w:val="24"/>
        </w:rPr>
        <w:t>Proposed Verano Industries, Inc. representation</w:t>
      </w:r>
    </w:p>
    <w:tbl>
      <w:tblPr>
        <w:tblW w:type="auto" w:w="0"/>
        <w:jc w:val="left"/>
        <w:tblLayout w:type="fixed"/>
        <w:tblLook w:firstColumn="1" w:firstRow="1" w:lastColumn="0" w:lastRow="0" w:noHBand="0" w:noVBand="1" w:val="04A0"/>
      </w:tblPr>
      <w:tblGrid>
        <w:gridCol w:w="4939"/>
        <w:gridCol w:w="4939"/>
      </w:tblGrid>
      <w:tr>
        <w:tc>
          <w:tcPr>
            <w:tcW w:type="dxa" w:w="1512"/>
            <w:shd w:fill="F3F6F9"/>
            <w:tcMar>
              <w:top w:w="50" w:type="dxa"/>
              <w:start w:w="70" w:type="dxa"/>
              <w:bottom w:w="50" w:type="dxa"/>
              <w:end w:w="70" w:type="dxa"/>
            </w:tcMar>
            <w:tcBorders>
              <w:bottom w:val="single" w:sz="3" w:color="D4DCE4"/>
            </w:tcBorders>
          </w:tcPr>
          <w:p>
            <w:r>
              <w:rPr>
                <w:b/>
                <w:color w:val="5B6573"/>
                <w:sz w:val="16"/>
              </w:rPr>
              <w:t>TO</w:t>
            </w:r>
          </w:p>
        </w:tc>
        <w:tc>
          <w:tcPr>
            <w:tcW w:type="dxa" w:w="8568"/>
            <w:tcMar>
              <w:top w:w="50" w:type="dxa"/>
              <w:start w:w="70" w:type="dxa"/>
              <w:bottom w:w="50" w:type="dxa"/>
              <w:end w:w="70" w:type="dxa"/>
            </w:tcMar>
            <w:tcBorders>
              <w:bottom w:val="single" w:sz="3" w:color="D4DCE4"/>
            </w:tcBorders>
          </w:tcPr>
          <w:p>
            <w:r>
              <w:rPr>
                <w:sz w:val="17"/>
              </w:rPr>
              <w:t>Derek Pruitt, General Counsel; Ethics Committee</w:t>
            </w:r>
          </w:p>
        </w:tc>
      </w:tr>
      <w:tr>
        <w:tc>
          <w:tcPr>
            <w:tcW w:type="dxa" w:w="1512"/>
            <w:shd w:fill="F3F6F9"/>
            <w:tcMar>
              <w:top w:w="50" w:type="dxa"/>
              <w:start w:w="70" w:type="dxa"/>
              <w:bottom w:w="50" w:type="dxa"/>
              <w:end w:w="70" w:type="dxa"/>
            </w:tcMar>
            <w:tcBorders>
              <w:bottom w:val="single" w:sz="3" w:color="D4DCE4"/>
            </w:tcBorders>
          </w:tcPr>
          <w:p>
            <w:r>
              <w:rPr>
                <w:b/>
                <w:color w:val="5B6573"/>
                <w:sz w:val="16"/>
              </w:rPr>
              <w:t>FROM</w:t>
            </w:r>
          </w:p>
        </w:tc>
        <w:tc>
          <w:tcPr>
            <w:tcW w:type="dxa" w:w="8568"/>
            <w:tcMar>
              <w:top w:w="50" w:type="dxa"/>
              <w:start w:w="70" w:type="dxa"/>
              <w:bottom w:w="50" w:type="dxa"/>
              <w:end w:w="70" w:type="dxa"/>
            </w:tcMar>
            <w:tcBorders>
              <w:bottom w:val="single" w:sz="3" w:color="D4DCE4"/>
            </w:tcBorders>
          </w:tcPr>
          <w:p>
            <w:r>
              <w:rPr>
                <w:sz w:val="17"/>
              </w:rPr>
              <w:t>Office of the General Counsel — Conflicts Review</w:t>
            </w:r>
          </w:p>
        </w:tc>
      </w:tr>
      <w:tr>
        <w:tc>
          <w:tcPr>
            <w:tcW w:type="dxa" w:w="1512"/>
            <w:shd w:fill="F3F6F9"/>
            <w:tcMar>
              <w:top w:w="50" w:type="dxa"/>
              <w:start w:w="70" w:type="dxa"/>
              <w:bottom w:w="50" w:type="dxa"/>
              <w:end w:w="70" w:type="dxa"/>
            </w:tcMar>
            <w:tcBorders>
              <w:bottom w:val="single" w:sz="3" w:color="D4DCE4"/>
            </w:tcBorders>
          </w:tcPr>
          <w:p>
            <w:r>
              <w:rPr>
                <w:b/>
                <w:color w:val="5B6573"/>
                <w:sz w:val="16"/>
              </w:rPr>
              <w:t>DATE</w:t>
            </w:r>
          </w:p>
        </w:tc>
        <w:tc>
          <w:tcPr>
            <w:tcW w:type="dxa" w:w="8568"/>
            <w:tcMar>
              <w:top w:w="50" w:type="dxa"/>
              <w:start w:w="70" w:type="dxa"/>
              <w:bottom w:w="50" w:type="dxa"/>
              <w:end w:w="70" w:type="dxa"/>
            </w:tcMar>
            <w:tcBorders>
              <w:bottom w:val="single" w:sz="3" w:color="D4DCE4"/>
            </w:tcBorders>
          </w:tcPr>
          <w:p>
            <w:r>
              <w:rPr>
                <w:sz w:val="17"/>
              </w:rPr>
              <w:t>November 22, 2024</w:t>
            </w:r>
          </w:p>
        </w:tc>
      </w:tr>
      <w:tr>
        <w:tc>
          <w:tcPr>
            <w:tcW w:type="dxa" w:w="1512"/>
            <w:shd w:fill="F3F6F9"/>
            <w:tcMar>
              <w:top w:w="50" w:type="dxa"/>
              <w:start w:w="70" w:type="dxa"/>
              <w:bottom w:w="50" w:type="dxa"/>
              <w:end w:w="70" w:type="dxa"/>
            </w:tcMar>
            <w:tcBorders>
              <w:bottom w:val="single" w:sz="3" w:color="D4DCE4"/>
            </w:tcBorders>
          </w:tcPr>
          <w:p>
            <w:r>
              <w:rPr>
                <w:b/>
                <w:color w:val="5B6573"/>
                <w:sz w:val="16"/>
              </w:rPr>
              <w:t>RE</w:t>
            </w:r>
          </w:p>
        </w:tc>
        <w:tc>
          <w:tcPr>
            <w:tcW w:type="dxa" w:w="8568"/>
            <w:tcMar>
              <w:top w:w="50" w:type="dxa"/>
              <w:start w:w="70" w:type="dxa"/>
              <w:bottom w:w="50" w:type="dxa"/>
              <w:end w:w="70" w:type="dxa"/>
            </w:tcMar>
            <w:tcBorders>
              <w:bottom w:val="single" w:sz="3" w:color="D4DCE4"/>
            </w:tcBorders>
          </w:tcPr>
          <w:p>
            <w:r>
              <w:rPr>
                <w:sz w:val="17"/>
              </w:rPr>
              <w:t>Proposed plaintiff-side trade-secret litigation against TriPoint Dynamics LLC and two former Verano engineers</w:t>
            </w:r>
          </w:p>
        </w:tc>
      </w:tr>
      <w:tr>
        <w:tc>
          <w:tcPr>
            <w:tcW w:type="dxa" w:w="1512"/>
            <w:shd w:fill="F3F6F9"/>
            <w:tcMar>
              <w:top w:w="50" w:type="dxa"/>
              <w:start w:w="70" w:type="dxa"/>
              <w:bottom w:w="50" w:type="dxa"/>
              <w:end w:w="70" w:type="dxa"/>
            </w:tcMar>
            <w:tcBorders>
              <w:bottom w:val="single" w:sz="3" w:color="D4DCE4"/>
            </w:tcBorders>
          </w:tcPr>
          <w:p>
            <w:r>
              <w:rPr>
                <w:b/>
                <w:color w:val="5B6573"/>
                <w:sz w:val="16"/>
              </w:rPr>
              <w:t>RECORDS</w:t>
            </w:r>
          </w:p>
        </w:tc>
        <w:tc>
          <w:tcPr>
            <w:tcW w:type="dxa" w:w="8568"/>
            <w:tcMar>
              <w:top w:w="50" w:type="dxa"/>
              <w:start w:w="70" w:type="dxa"/>
              <w:bottom w:w="50" w:type="dxa"/>
              <w:end w:w="70" w:type="dxa"/>
            </w:tcMar>
            <w:tcBorders>
              <w:bottom w:val="single" w:sz="3" w:color="D4DCE4"/>
            </w:tcBorders>
          </w:tcPr>
          <w:p>
            <w:r>
              <w:rPr>
                <w:sz w:val="17"/>
              </w:rPr>
              <w:t>New Matter Intake (Nov. 18, 2024); ConflictTracker Report CT-2024-11-18-0042; listed lateral-hire, annual disclosure, HR and engagement records</w:t>
            </w:r>
          </w:p>
        </w:tc>
      </w:tr>
    </w:tbl>
    <w:p>
      <w:pPr>
        <w:widowControl/>
      </w:pPr>
    </w:p>
    <w:p>
      <w:pPr>
        <w:spacing w:before="20" w:after="160"/>
        <w:shd w:fill="FCE4D6"/>
        <w:ind w:left="120" w:right="120"/>
        <w:widowControl/>
      </w:pPr>
      <w:r>
        <w:rPr>
          <w:b/>
          <w:color w:val="9C0006"/>
          <w:sz w:val="22"/>
        </w:rPr>
        <w:t>STATUS: NOT CLEARED — HOLD PENDING ETHICS COMMITTEE REVIEW</w:t>
      </w:r>
    </w:p>
    <w:p>
      <w:pPr>
        <w:pStyle w:val="Heading1"/>
        <w:widowControl/>
      </w:pPr>
      <w:r>
        <w:t>1. Executive determination</w:t>
      </w:r>
    </w:p>
    <w:p>
      <w:pPr>
        <w:keepLines/>
        <w:widowControl/>
      </w:pPr>
      <w:r>
        <w:rPr>
          <w:i w:val="0"/>
        </w:rPr>
        <w:t>The proposed matter presents at least two substantial, unresolved conflict issues: (i) proposed lead partner Marcus Reilly previously served as lead counsel for Trident Sensor Solutions LLC, now TriPoint Dynamics LLC, and had extensive confidential access to the engineering division now implicated in the trade-secret allegations; and (ii) Whitaker &amp; Holm currently represents Ridgeline Capital Partners LP, TriPoint’s 72% controlling owner, in an active engagement. The proposed team also includes attorneys with material personal or relational connections to TriPoint: Lisa Chow’s spouse received $95,000 for sensor-coating consulting for TriPoint, Jordan Voss sits on a trade-association board with both proposed litigants as members, and Caleb Strand shares a home with his sister, a TriPoint IP paralegal.</w:t>
      </w:r>
    </w:p>
    <w:p>
      <w:pPr>
        <w:keepLines/>
        <w:widowControl/>
      </w:pPr>
      <w:r>
        <w:rPr>
          <w:i w:val="0"/>
        </w:rPr>
        <w:t>The records do not support unconditional clearance. The firm should not accept the engagement, begin substantive work, or issue a clearance representation until the General Counsel/Ethics Committee has completed the fact-finding and determined whether any conflict is consentable or can be addressed by a valid screen. Urgency and the December 16, 2024 target filing date do not change the analysis. The current ConflictTracker status should remain “Pending / Not Cleared.”</w:t>
      </w:r>
    </w:p>
    <w:p>
      <w:pPr>
        <w:keepLines/>
        <w:widowControl/>
      </w:pPr>
      <w:r>
        <w:rPr>
          <w:i w:val="0"/>
        </w:rPr>
        <w:t>The Reilly issue is the most acute. A screen and removal from the proposed team should be implemented immediately as an interim safeguard, but a screen should not be treated as dispositive until its timeliness and compliance with Illinois Rule of Professional Conduct 1.10(a)(2) are confirmed. If the firm cannot proceed consistently with Rules 1.9 and 1.10, it should decline the matter. The Ridgeline engagement letter’s advance waiver is relevant but is not a blanket clearance: the letter itself excludes matters involving material confidential information and requires notice.</w:t>
      </w:r>
    </w:p>
    <w:p>
      <w:pPr>
        <w:pStyle w:val="Heading1"/>
        <w:widowControl/>
      </w:pPr>
      <w:r>
        <w:t>2. Issues and provisional disposition</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376"/>
            <w:vAlign w:val="center"/>
            <w:tcMar>
              <w:top w:w="70" w:type="dxa"/>
              <w:start w:w="85" w:type="dxa"/>
              <w:bottom w:w="70" w:type="dxa"/>
              <w:end w:w="85" w:type="dxa"/>
            </w:tcMar>
            <w:tcBorders>
              <w:top w:val="single" w:sz="4" w:color="B7C9D6"/>
              <w:left w:val="single" w:sz="4" w:color="B7C9D6"/>
              <w:bottom w:val="single" w:sz="4" w:color="B7C9D6"/>
              <w:right w:val="single" w:sz="4" w:color="B7C9D6"/>
            </w:tcBorders>
            <w:shd w:fill="17365D"/>
          </w:tcPr>
          <w:p>
            <w:pPr>
              <w:spacing w:after="0"/>
            </w:pPr>
            <w:r>
              <w:rPr>
                <w:b/>
                <w:color w:val="FFFFFF"/>
                <w:sz w:val="16"/>
              </w:rPr>
              <w:t>Issue / record</w:t>
            </w:r>
          </w:p>
        </w:tc>
        <w:tc>
          <w:tcPr>
            <w:tcW w:type="dxa" w:w="3384"/>
            <w:vAlign w:val="center"/>
            <w:tcMar>
              <w:top w:w="70" w:type="dxa"/>
              <w:start w:w="85" w:type="dxa"/>
              <w:bottom w:w="70" w:type="dxa"/>
              <w:end w:w="85" w:type="dxa"/>
            </w:tcMar>
            <w:tcBorders>
              <w:top w:val="single" w:sz="4" w:color="B7C9D6"/>
              <w:left w:val="single" w:sz="4" w:color="B7C9D6"/>
              <w:bottom w:val="single" w:sz="4" w:color="B7C9D6"/>
              <w:right w:val="single" w:sz="4" w:color="B7C9D6"/>
            </w:tcBorders>
            <w:shd w:fill="17365D"/>
          </w:tcPr>
          <w:p>
            <w:pPr>
              <w:spacing w:after="0"/>
            </w:pPr>
            <w:r>
              <w:rPr>
                <w:b/>
                <w:color w:val="FFFFFF"/>
                <w:sz w:val="16"/>
              </w:rPr>
              <w:t>Provisional assessment</w:t>
            </w:r>
          </w:p>
        </w:tc>
        <w:tc>
          <w:tcPr>
            <w:tcW w:type="dxa" w:w="4392"/>
            <w:vAlign w:val="center"/>
            <w:tcMar>
              <w:top w:w="70" w:type="dxa"/>
              <w:start w:w="85" w:type="dxa"/>
              <w:bottom w:w="70" w:type="dxa"/>
              <w:end w:w="85" w:type="dxa"/>
            </w:tcMar>
            <w:tcBorders>
              <w:top w:val="single" w:sz="4" w:color="B7C9D6"/>
              <w:left w:val="single" w:sz="4" w:color="B7C9D6"/>
              <w:bottom w:val="single" w:sz="4" w:color="B7C9D6"/>
              <w:right w:val="single" w:sz="4" w:color="B7C9D6"/>
            </w:tcBorders>
            <w:shd w:fill="17365D"/>
          </w:tcPr>
          <w:p>
            <w:pPr>
              <w:spacing w:after="0"/>
            </w:pPr>
            <w:r>
              <w:rPr>
                <w:b/>
                <w:color w:val="FFFFFF"/>
                <w:sz w:val="16"/>
              </w:rPr>
              <w:t>Required disposition before clearance</w:t>
            </w:r>
          </w:p>
        </w:tc>
      </w:tr>
      <w:tr>
        <w:tc>
          <w:tcPr>
            <w:tcW w:type="dxa" w:w="2376"/>
            <w:vAlign w:val="center"/>
            <w:tcMar>
              <w:top w:w="70" w:type="dxa"/>
              <w:start w:w="85" w:type="dxa"/>
              <w:bottom w:w="70" w:type="dxa"/>
              <w:end w:w="85" w:type="dxa"/>
            </w:tcMar>
            <w:tcBorders>
              <w:top w:val="single" w:sz="4" w:color="B7C9D6"/>
              <w:left w:val="single" w:sz="4" w:color="B7C9D6"/>
              <w:bottom w:val="single" w:sz="4" w:color="B7C9D6"/>
              <w:right w:val="single" w:sz="4" w:color="B7C9D6"/>
            </w:tcBorders>
          </w:tcPr>
          <w:p>
            <w:pPr>
              <w:spacing w:after="20" w:line="240" w:lineRule="auto"/>
            </w:pPr>
            <w:r>
              <w:rPr>
                <w:sz w:val="16"/>
              </w:rPr>
              <w:t>Reilly / TriPoint (formerly Trident); prior-firm representation</w:t>
            </w:r>
          </w:p>
        </w:tc>
        <w:tc>
          <w:tcPr>
            <w:tcW w:type="dxa" w:w="3384"/>
            <w:vAlign w:val="center"/>
            <w:tcMar>
              <w:top w:w="70" w:type="dxa"/>
              <w:start w:w="85" w:type="dxa"/>
              <w:bottom w:w="70" w:type="dxa"/>
              <w:end w:w="85" w:type="dxa"/>
            </w:tcMar>
            <w:tcBorders>
              <w:top w:val="single" w:sz="4" w:color="B7C9D6"/>
              <w:left w:val="single" w:sz="4" w:color="B7C9D6"/>
              <w:bottom w:val="single" w:sz="4" w:color="B7C9D6"/>
              <w:right w:val="single" w:sz="4" w:color="B7C9D6"/>
            </w:tcBorders>
          </w:tcPr>
          <w:p>
            <w:pPr>
              <w:spacing w:after="20" w:line="240" w:lineRule="auto"/>
            </w:pPr>
            <w:r>
              <w:rPr>
                <w:sz w:val="16"/>
              </w:rPr>
              <w:t>HIGH — strong Rule 1.9 substantial-relationship and confidentiality concern; firm imputation requires analysis.</w:t>
            </w:r>
          </w:p>
        </w:tc>
        <w:tc>
          <w:tcPr>
            <w:tcW w:type="dxa" w:w="4392"/>
            <w:vAlign w:val="center"/>
            <w:tcMar>
              <w:top w:w="70" w:type="dxa"/>
              <w:start w:w="85" w:type="dxa"/>
              <w:bottom w:w="70" w:type="dxa"/>
              <w:end w:w="85" w:type="dxa"/>
            </w:tcMar>
            <w:tcBorders>
              <w:top w:val="single" w:sz="4" w:color="B7C9D6"/>
              <w:left w:val="single" w:sz="4" w:color="B7C9D6"/>
              <w:bottom w:val="single" w:sz="4" w:color="B7C9D6"/>
              <w:right w:val="single" w:sz="4" w:color="B7C9D6"/>
            </w:tcBorders>
          </w:tcPr>
          <w:p>
            <w:pPr>
              <w:spacing w:after="20" w:line="240" w:lineRule="auto"/>
            </w:pPr>
            <w:r>
              <w:rPr>
                <w:sz w:val="16"/>
              </w:rPr>
              <w:t>Remove from matter immediately. Test former-client consent or a valid Rule 1.10(a)(2) screen; obtain ethics determination.</w:t>
            </w:r>
          </w:p>
        </w:tc>
      </w:tr>
      <w:tr>
        <w:tc>
          <w:tcPr>
            <w:tcW w:type="dxa" w:w="2376"/>
            <w:vAlign w:val="center"/>
            <w:tcMar>
              <w:top w:w="70" w:type="dxa"/>
              <w:start w:w="85" w:type="dxa"/>
              <w:bottom w:w="70" w:type="dxa"/>
              <w:end w:w="85" w:type="dxa"/>
            </w:tcMar>
            <w:tcBorders>
              <w:top w:val="single" w:sz="4" w:color="B7C9D6"/>
              <w:left w:val="single" w:sz="4" w:color="B7C9D6"/>
              <w:bottom w:val="single" w:sz="4" w:color="B7C9D6"/>
              <w:right w:val="single" w:sz="4" w:color="B7C9D6"/>
            </w:tcBorders>
            <w:shd w:fill="F7F9FB"/>
          </w:tcPr>
          <w:p>
            <w:pPr>
              <w:spacing w:after="20" w:line="240" w:lineRule="auto"/>
            </w:pPr>
            <w:r>
              <w:rPr>
                <w:sz w:val="16"/>
              </w:rPr>
              <w:t>Ridgeline / active client; 72% owner of TriPoint</w:t>
            </w:r>
          </w:p>
        </w:tc>
        <w:tc>
          <w:tcPr>
            <w:tcW w:type="dxa" w:w="3384"/>
            <w:vAlign w:val="center"/>
            <w:tcMar>
              <w:top w:w="70" w:type="dxa"/>
              <w:start w:w="85" w:type="dxa"/>
              <w:bottom w:w="70" w:type="dxa"/>
              <w:end w:w="85" w:type="dxa"/>
            </w:tcMar>
            <w:tcBorders>
              <w:top w:val="single" w:sz="4" w:color="B7C9D6"/>
              <w:left w:val="single" w:sz="4" w:color="B7C9D6"/>
              <w:bottom w:val="single" w:sz="4" w:color="B7C9D6"/>
              <w:right w:val="single" w:sz="4" w:color="B7C9D6"/>
            </w:tcBorders>
            <w:shd w:fill="F7F9FB"/>
          </w:tcPr>
          <w:p>
            <w:pPr>
              <w:spacing w:after="20" w:line="240" w:lineRule="auto"/>
            </w:pPr>
            <w:r>
              <w:rPr>
                <w:sz w:val="16"/>
              </w:rPr>
              <w:t>HIGH — possible direct adversity/material limitation under Rule 1.7; waiver has express limits.</w:t>
            </w:r>
          </w:p>
        </w:tc>
        <w:tc>
          <w:tcPr>
            <w:tcW w:type="dxa" w:w="4392"/>
            <w:vAlign w:val="center"/>
            <w:tcMar>
              <w:top w:w="70" w:type="dxa"/>
              <w:start w:w="85" w:type="dxa"/>
              <w:bottom w:w="70" w:type="dxa"/>
              <w:end w:w="85" w:type="dxa"/>
            </w:tcMar>
            <w:tcBorders>
              <w:top w:val="single" w:sz="4" w:color="B7C9D6"/>
              <w:left w:val="single" w:sz="4" w:color="B7C9D6"/>
              <w:bottom w:val="single" w:sz="4" w:color="B7C9D6"/>
              <w:right w:val="single" w:sz="4" w:color="B7C9D6"/>
            </w:tcBorders>
            <w:shd w:fill="F7F9FB"/>
          </w:tcPr>
          <w:p>
            <w:pPr>
              <w:spacing w:after="20" w:line="240" w:lineRule="auto"/>
            </w:pPr>
            <w:r>
              <w:rPr>
                <w:sz w:val="16"/>
              </w:rPr>
              <w:t>Review actual Ridgeline work and information; comply with §7.4 notice; obtain informed written consent if required and permissible.</w:t>
            </w:r>
          </w:p>
        </w:tc>
      </w:tr>
      <w:tr>
        <w:tc>
          <w:tcPr>
            <w:tcW w:type="dxa" w:w="2376"/>
            <w:vAlign w:val="center"/>
            <w:tcMar>
              <w:top w:w="70" w:type="dxa"/>
              <w:start w:w="85" w:type="dxa"/>
              <w:bottom w:w="70" w:type="dxa"/>
              <w:end w:w="85" w:type="dxa"/>
            </w:tcMar>
            <w:tcBorders>
              <w:top w:val="single" w:sz="4" w:color="B7C9D6"/>
              <w:left w:val="single" w:sz="4" w:color="B7C9D6"/>
              <w:bottom w:val="single" w:sz="4" w:color="B7C9D6"/>
              <w:right w:val="single" w:sz="4" w:color="B7C9D6"/>
            </w:tcBorders>
          </w:tcPr>
          <w:p>
            <w:pPr>
              <w:spacing w:after="20" w:line="240" w:lineRule="auto"/>
            </w:pPr>
            <w:r>
              <w:rPr>
                <w:sz w:val="16"/>
              </w:rPr>
              <w:t>Lisa Chow / spouse’s TriPoint consulting; Hollcroft file</w:t>
            </w:r>
          </w:p>
        </w:tc>
        <w:tc>
          <w:tcPr>
            <w:tcW w:type="dxa" w:w="3384"/>
            <w:vAlign w:val="center"/>
            <w:tcMar>
              <w:top w:w="70" w:type="dxa"/>
              <w:start w:w="85" w:type="dxa"/>
              <w:bottom w:w="70" w:type="dxa"/>
              <w:end w:w="85" w:type="dxa"/>
            </w:tcMar>
            <w:tcBorders>
              <w:top w:val="single" w:sz="4" w:color="B7C9D6"/>
              <w:left w:val="single" w:sz="4" w:color="B7C9D6"/>
              <w:bottom w:val="single" w:sz="4" w:color="B7C9D6"/>
              <w:right w:val="single" w:sz="4" w:color="B7C9D6"/>
            </w:tcBorders>
          </w:tcPr>
          <w:p>
            <w:pPr>
              <w:spacing w:after="20" w:line="240" w:lineRule="auto"/>
            </w:pPr>
            <w:r>
              <w:rPr>
                <w:sz w:val="16"/>
              </w:rPr>
              <w:t>MODERATE–HIGH — recent paid spousal relationship and possible subject-matter overlap; former-client information must remain protected.</w:t>
            </w:r>
          </w:p>
        </w:tc>
        <w:tc>
          <w:tcPr>
            <w:tcW w:type="dxa" w:w="4392"/>
            <w:vAlign w:val="center"/>
            <w:tcMar>
              <w:top w:w="70" w:type="dxa"/>
              <w:start w:w="85" w:type="dxa"/>
              <w:bottom w:w="70" w:type="dxa"/>
              <w:end w:w="85" w:type="dxa"/>
            </w:tcMar>
            <w:tcBorders>
              <w:top w:val="single" w:sz="4" w:color="B7C9D6"/>
              <w:left w:val="single" w:sz="4" w:color="B7C9D6"/>
              <w:bottom w:val="single" w:sz="4" w:color="B7C9D6"/>
              <w:right w:val="single" w:sz="4" w:color="B7C9D6"/>
            </w:tcBorders>
          </w:tcPr>
          <w:p>
            <w:pPr>
              <w:spacing w:after="20" w:line="240" w:lineRule="auto"/>
            </w:pPr>
            <w:r>
              <w:rPr>
                <w:sz w:val="16"/>
              </w:rPr>
              <w:t>Hold Chow out pending inquiry; verify spouse engagement, information exposure, Hollcroft relevance and any required consent/recusal.</w:t>
            </w:r>
          </w:p>
        </w:tc>
      </w:tr>
      <w:tr>
        <w:tc>
          <w:tcPr>
            <w:tcW w:type="dxa" w:w="2376"/>
            <w:vAlign w:val="center"/>
            <w:tcMar>
              <w:top w:w="70" w:type="dxa"/>
              <w:start w:w="85" w:type="dxa"/>
              <w:bottom w:w="70" w:type="dxa"/>
              <w:end w:w="85" w:type="dxa"/>
            </w:tcMar>
            <w:tcBorders>
              <w:top w:val="single" w:sz="4" w:color="B7C9D6"/>
              <w:left w:val="single" w:sz="4" w:color="B7C9D6"/>
              <w:bottom w:val="single" w:sz="4" w:color="B7C9D6"/>
              <w:right w:val="single" w:sz="4" w:color="B7C9D6"/>
            </w:tcBorders>
            <w:shd w:fill="F7F9FB"/>
          </w:tcPr>
          <w:p>
            <w:pPr>
              <w:spacing w:after="20" w:line="240" w:lineRule="auto"/>
            </w:pPr>
            <w:r>
              <w:rPr>
                <w:sz w:val="16"/>
              </w:rPr>
              <w:t>Caleb Strand / sister employed at TriPoint; shared residence</w:t>
            </w:r>
          </w:p>
        </w:tc>
        <w:tc>
          <w:tcPr>
            <w:tcW w:type="dxa" w:w="3384"/>
            <w:vAlign w:val="center"/>
            <w:tcMar>
              <w:top w:w="70" w:type="dxa"/>
              <w:start w:w="85" w:type="dxa"/>
              <w:bottom w:w="70" w:type="dxa"/>
              <w:end w:w="85" w:type="dxa"/>
            </w:tcMar>
            <w:tcBorders>
              <w:top w:val="single" w:sz="4" w:color="B7C9D6"/>
              <w:left w:val="single" w:sz="4" w:color="B7C9D6"/>
              <w:bottom w:val="single" w:sz="4" w:color="B7C9D6"/>
              <w:right w:val="single" w:sz="4" w:color="B7C9D6"/>
            </w:tcBorders>
            <w:shd w:fill="F7F9FB"/>
          </w:tcPr>
          <w:p>
            <w:pPr>
              <w:spacing w:after="20" w:line="240" w:lineRule="auto"/>
            </w:pPr>
            <w:r>
              <w:rPr>
                <w:sz w:val="16"/>
              </w:rPr>
              <w:t>HIGH personal-interest and confidentiality risk for Strand.</w:t>
            </w:r>
          </w:p>
        </w:tc>
        <w:tc>
          <w:tcPr>
            <w:tcW w:type="dxa" w:w="4392"/>
            <w:vAlign w:val="center"/>
            <w:tcMar>
              <w:top w:w="70" w:type="dxa"/>
              <w:start w:w="85" w:type="dxa"/>
              <w:bottom w:w="70" w:type="dxa"/>
              <w:end w:w="85" w:type="dxa"/>
            </w:tcMar>
            <w:tcBorders>
              <w:top w:val="single" w:sz="4" w:color="B7C9D6"/>
              <w:left w:val="single" w:sz="4" w:color="B7C9D6"/>
              <w:bottom w:val="single" w:sz="4" w:color="B7C9D6"/>
              <w:right w:val="single" w:sz="4" w:color="B7C9D6"/>
            </w:tcBorders>
            <w:shd w:fill="F7F9FB"/>
          </w:tcPr>
          <w:p>
            <w:pPr>
              <w:spacing w:after="20" w:line="240" w:lineRule="auto"/>
            </w:pPr>
            <w:r>
              <w:rPr>
                <w:sz w:val="16"/>
              </w:rPr>
              <w:t>Exclude and screen Strand; confirm no information has crossed between the household and matter team.</w:t>
            </w:r>
          </w:p>
        </w:tc>
      </w:tr>
      <w:tr>
        <w:tc>
          <w:tcPr>
            <w:tcW w:type="dxa" w:w="2376"/>
            <w:vAlign w:val="center"/>
            <w:tcMar>
              <w:top w:w="70" w:type="dxa"/>
              <w:start w:w="85" w:type="dxa"/>
              <w:bottom w:w="70" w:type="dxa"/>
              <w:end w:w="85" w:type="dxa"/>
            </w:tcMar>
            <w:tcBorders>
              <w:top w:val="single" w:sz="4" w:color="B7C9D6"/>
              <w:left w:val="single" w:sz="4" w:color="B7C9D6"/>
              <w:bottom w:val="single" w:sz="4" w:color="B7C9D6"/>
              <w:right w:val="single" w:sz="4" w:color="B7C9D6"/>
            </w:tcBorders>
          </w:tcPr>
          <w:p>
            <w:pPr>
              <w:spacing w:after="20" w:line="240" w:lineRule="auto"/>
            </w:pPr>
            <w:r>
              <w:rPr>
                <w:sz w:val="16"/>
              </w:rPr>
              <w:t>Jordan Voss / MSIA director; both parties members</w:t>
            </w:r>
          </w:p>
        </w:tc>
        <w:tc>
          <w:tcPr>
            <w:tcW w:type="dxa" w:w="3384"/>
            <w:vAlign w:val="center"/>
            <w:tcMar>
              <w:top w:w="70" w:type="dxa"/>
              <w:start w:w="85" w:type="dxa"/>
              <w:bottom w:w="70" w:type="dxa"/>
              <w:end w:w="85" w:type="dxa"/>
            </w:tcMar>
            <w:tcBorders>
              <w:top w:val="single" w:sz="4" w:color="B7C9D6"/>
              <w:left w:val="single" w:sz="4" w:color="B7C9D6"/>
              <w:bottom w:val="single" w:sz="4" w:color="B7C9D6"/>
              <w:right w:val="single" w:sz="4" w:color="B7C9D6"/>
            </w:tcBorders>
          </w:tcPr>
          <w:p>
            <w:pPr>
              <w:spacing w:after="20" w:line="240" w:lineRule="auto"/>
            </w:pPr>
            <w:r>
              <w:rPr>
                <w:sz w:val="16"/>
              </w:rPr>
              <w:t>MODERATE, fact-dependent; possible access to sensitive member information and competing fiduciary duties.</w:t>
            </w:r>
          </w:p>
        </w:tc>
        <w:tc>
          <w:tcPr>
            <w:tcW w:type="dxa" w:w="4392"/>
            <w:vAlign w:val="center"/>
            <w:tcMar>
              <w:top w:w="70" w:type="dxa"/>
              <w:start w:w="85" w:type="dxa"/>
              <w:bottom w:w="70" w:type="dxa"/>
              <w:end w:w="85" w:type="dxa"/>
            </w:tcMar>
            <w:tcBorders>
              <w:top w:val="single" w:sz="4" w:color="B7C9D6"/>
              <w:left w:val="single" w:sz="4" w:color="B7C9D6"/>
              <w:bottom w:val="single" w:sz="4" w:color="B7C9D6"/>
              <w:right w:val="single" w:sz="4" w:color="B7C9D6"/>
            </w:tcBorders>
          </w:tcPr>
          <w:p>
            <w:pPr>
              <w:spacing w:after="20" w:line="240" w:lineRule="auto"/>
            </w:pPr>
            <w:r>
              <w:rPr>
                <w:sz w:val="16"/>
              </w:rPr>
              <w:t>Recuse/hold out while confirming committees, information access and board duties; then decide participation.</w:t>
            </w:r>
          </w:p>
        </w:tc>
      </w:tr>
      <w:tr>
        <w:tc>
          <w:tcPr>
            <w:tcW w:type="dxa" w:w="2376"/>
            <w:vAlign w:val="center"/>
            <w:tcMar>
              <w:top w:w="70" w:type="dxa"/>
              <w:start w:w="85" w:type="dxa"/>
              <w:bottom w:w="70" w:type="dxa"/>
              <w:end w:w="85" w:type="dxa"/>
            </w:tcMar>
            <w:tcBorders>
              <w:top w:val="single" w:sz="4" w:color="B7C9D6"/>
              <w:left w:val="single" w:sz="4" w:color="B7C9D6"/>
              <w:bottom w:val="single" w:sz="4" w:color="B7C9D6"/>
              <w:right w:val="single" w:sz="4" w:color="B7C9D6"/>
            </w:tcBorders>
            <w:shd w:fill="F7F9FB"/>
          </w:tcPr>
          <w:p>
            <w:pPr>
              <w:spacing w:after="20" w:line="240" w:lineRule="auto"/>
            </w:pPr>
            <w:r>
              <w:rPr>
                <w:sz w:val="16"/>
              </w:rPr>
              <w:t>Hollcroft / former Verano subsidiary; Alderman supplier to TriPoint</w:t>
            </w:r>
          </w:p>
        </w:tc>
        <w:tc>
          <w:tcPr>
            <w:tcW w:type="dxa" w:w="3384"/>
            <w:vAlign w:val="center"/>
            <w:tcMar>
              <w:top w:w="70" w:type="dxa"/>
              <w:start w:w="85" w:type="dxa"/>
              <w:bottom w:w="70" w:type="dxa"/>
              <w:end w:w="85" w:type="dxa"/>
            </w:tcMar>
            <w:tcBorders>
              <w:top w:val="single" w:sz="4" w:color="B7C9D6"/>
              <w:left w:val="single" w:sz="4" w:color="B7C9D6"/>
              <w:bottom w:val="single" w:sz="4" w:color="B7C9D6"/>
              <w:right w:val="single" w:sz="4" w:color="B7C9D6"/>
            </w:tcBorders>
            <w:shd w:fill="F7F9FB"/>
          </w:tcPr>
          <w:p>
            <w:pPr>
              <w:spacing w:after="20" w:line="240" w:lineRule="auto"/>
            </w:pPr>
            <w:r>
              <w:rPr>
                <w:sz w:val="16"/>
              </w:rPr>
              <w:t>LOW–MODERATE on current facts; Hollcroft was an independent former client, not a party.</w:t>
            </w:r>
          </w:p>
        </w:tc>
        <w:tc>
          <w:tcPr>
            <w:tcW w:type="dxa" w:w="4392"/>
            <w:vAlign w:val="center"/>
            <w:tcMar>
              <w:top w:w="70" w:type="dxa"/>
              <w:start w:w="85" w:type="dxa"/>
              <w:bottom w:w="70" w:type="dxa"/>
              <w:end w:w="85" w:type="dxa"/>
            </w:tcMar>
            <w:tcBorders>
              <w:top w:val="single" w:sz="4" w:color="B7C9D6"/>
              <w:left w:val="single" w:sz="4" w:color="B7C9D6"/>
              <w:bottom w:val="single" w:sz="4" w:color="B7C9D6"/>
              <w:right w:val="single" w:sz="4" w:color="B7C9D6"/>
            </w:tcBorders>
            <w:shd w:fill="F7F9FB"/>
          </w:tcPr>
          <w:p>
            <w:pPr>
              <w:spacing w:after="20" w:line="240" w:lineRule="auto"/>
            </w:pPr>
            <w:r>
              <w:rPr>
                <w:sz w:val="16"/>
              </w:rPr>
              <w:t>Review relevant portions of closed file; confirm no use or disclosure of its confidences and no actual adversity.</w:t>
            </w:r>
          </w:p>
        </w:tc>
      </w:tr>
      <w:tr>
        <w:tc>
          <w:tcPr>
            <w:tcW w:type="dxa" w:w="2376"/>
            <w:vAlign w:val="center"/>
            <w:tcMar>
              <w:top w:w="70" w:type="dxa"/>
              <w:start w:w="85" w:type="dxa"/>
              <w:bottom w:w="70" w:type="dxa"/>
              <w:end w:w="85" w:type="dxa"/>
            </w:tcMar>
            <w:tcBorders>
              <w:top w:val="single" w:sz="4" w:color="B7C9D6"/>
              <w:left w:val="single" w:sz="4" w:color="B7C9D6"/>
              <w:bottom w:val="single" w:sz="4" w:color="B7C9D6"/>
              <w:right w:val="single" w:sz="4" w:color="B7C9D6"/>
            </w:tcBorders>
          </w:tcPr>
          <w:p>
            <w:pPr>
              <w:spacing w:after="20" w:line="240" w:lineRule="auto"/>
            </w:pPr>
            <w:r>
              <w:rPr>
                <w:sz w:val="16"/>
              </w:rPr>
              <w:t>Kowalczyk Family Trust / David Kowalczyk beneficiary and affiant</w:t>
            </w:r>
          </w:p>
        </w:tc>
        <w:tc>
          <w:tcPr>
            <w:tcW w:type="dxa" w:w="3384"/>
            <w:vAlign w:val="center"/>
            <w:tcMar>
              <w:top w:w="70" w:type="dxa"/>
              <w:start w:w="85" w:type="dxa"/>
              <w:bottom w:w="70" w:type="dxa"/>
              <w:end w:w="85" w:type="dxa"/>
            </w:tcMar>
            <w:tcBorders>
              <w:top w:val="single" w:sz="4" w:color="B7C9D6"/>
              <w:left w:val="single" w:sz="4" w:color="B7C9D6"/>
              <w:bottom w:val="single" w:sz="4" w:color="B7C9D6"/>
              <w:right w:val="single" w:sz="4" w:color="B7C9D6"/>
            </w:tcBorders>
          </w:tcPr>
          <w:p>
            <w:pPr>
              <w:spacing w:after="20" w:line="240" w:lineRule="auto"/>
            </w:pPr>
            <w:r>
              <w:rPr>
                <w:sz w:val="16"/>
              </w:rPr>
              <w:t>POTENTIAL; no present evidence Kowalczyk was a client or is a named defendant.</w:t>
            </w:r>
          </w:p>
        </w:tc>
        <w:tc>
          <w:tcPr>
            <w:tcW w:type="dxa" w:w="4392"/>
            <w:vAlign w:val="center"/>
            <w:tcMar>
              <w:top w:w="70" w:type="dxa"/>
              <w:start w:w="85" w:type="dxa"/>
              <w:bottom w:w="70" w:type="dxa"/>
              <w:end w:w="85" w:type="dxa"/>
            </w:tcMar>
            <w:tcBorders>
              <w:top w:val="single" w:sz="4" w:color="B7C9D6"/>
              <w:left w:val="single" w:sz="4" w:color="B7C9D6"/>
              <w:bottom w:val="single" w:sz="4" w:color="B7C9D6"/>
              <w:right w:val="single" w:sz="4" w:color="B7C9D6"/>
            </w:tcBorders>
          </w:tcPr>
          <w:p>
            <w:pPr>
              <w:spacing w:after="20" w:line="240" w:lineRule="auto"/>
            </w:pPr>
            <w:r>
              <w:rPr>
                <w:sz w:val="16"/>
              </w:rPr>
              <w:t>Review engagement/file and any individual communications; confirm scope of representation and relevance.</w:t>
            </w:r>
          </w:p>
        </w:tc>
      </w:tr>
      <w:tr>
        <w:tc>
          <w:tcPr>
            <w:tcW w:type="dxa" w:w="2376"/>
            <w:vAlign w:val="center"/>
            <w:tcMar>
              <w:top w:w="70" w:type="dxa"/>
              <w:start w:w="85" w:type="dxa"/>
              <w:bottom w:w="70" w:type="dxa"/>
              <w:end w:w="85" w:type="dxa"/>
            </w:tcMar>
            <w:tcBorders>
              <w:top w:val="single" w:sz="4" w:color="B7C9D6"/>
              <w:left w:val="single" w:sz="4" w:color="B7C9D6"/>
              <w:bottom w:val="single" w:sz="4" w:color="B7C9D6"/>
              <w:right w:val="single" w:sz="4" w:color="B7C9D6"/>
            </w:tcBorders>
            <w:shd w:fill="F7F9FB"/>
          </w:tcPr>
          <w:p>
            <w:pPr>
              <w:spacing w:after="20" w:line="240" w:lineRule="auto"/>
            </w:pPr>
            <w:r>
              <w:rPr>
                <w:sz w:val="16"/>
              </w:rPr>
              <w:t>Verano 2022 declined intake</w:t>
            </w:r>
          </w:p>
        </w:tc>
        <w:tc>
          <w:tcPr>
            <w:tcW w:type="dxa" w:w="3384"/>
            <w:vAlign w:val="center"/>
            <w:tcMar>
              <w:top w:w="70" w:type="dxa"/>
              <w:start w:w="85" w:type="dxa"/>
              <w:bottom w:w="70" w:type="dxa"/>
              <w:end w:w="85" w:type="dxa"/>
            </w:tcMar>
            <w:tcBorders>
              <w:top w:val="single" w:sz="4" w:color="B7C9D6"/>
              <w:left w:val="single" w:sz="4" w:color="B7C9D6"/>
              <w:bottom w:val="single" w:sz="4" w:color="B7C9D6"/>
              <w:right w:val="single" w:sz="4" w:color="B7C9D6"/>
            </w:tcBorders>
            <w:shd w:fill="F7F9FB"/>
          </w:tcPr>
          <w:p>
            <w:pPr>
              <w:spacing w:after="20" w:line="240" w:lineRule="auto"/>
            </w:pPr>
            <w:r>
              <w:rPr>
                <w:sz w:val="16"/>
              </w:rPr>
              <w:t>LOW on present facts; same prospective client now seeks representation in a different matter.</w:t>
            </w:r>
          </w:p>
        </w:tc>
        <w:tc>
          <w:tcPr>
            <w:tcW w:type="dxa" w:w="4392"/>
            <w:vAlign w:val="center"/>
            <w:tcMar>
              <w:top w:w="70" w:type="dxa"/>
              <w:start w:w="85" w:type="dxa"/>
              <w:bottom w:w="70" w:type="dxa"/>
              <w:end w:w="85" w:type="dxa"/>
            </w:tcMar>
            <w:tcBorders>
              <w:top w:val="single" w:sz="4" w:color="B7C9D6"/>
              <w:left w:val="single" w:sz="4" w:color="B7C9D6"/>
              <w:bottom w:val="single" w:sz="4" w:color="B7C9D6"/>
              <w:right w:val="single" w:sz="4" w:color="B7C9D6"/>
            </w:tcBorders>
            <w:shd w:fill="F7F9FB"/>
          </w:tcPr>
          <w:p>
            <w:pPr>
              <w:spacing w:after="20" w:line="240" w:lineRule="auto"/>
            </w:pPr>
            <w:r>
              <w:rPr>
                <w:sz w:val="16"/>
              </w:rPr>
              <w:t>Retrieve intake and declination decision record; confirm no significant harmful information or unresolved underlying conflict.</w:t>
            </w:r>
          </w:p>
        </w:tc>
      </w:tr>
    </w:tbl>
    <w:p>
      <w:pPr>
        <w:pStyle w:val="Heading1"/>
        <w:widowControl/>
      </w:pPr>
      <w:r>
        <w:t>3. Scope and governing framework</w:t>
      </w:r>
    </w:p>
    <w:p>
      <w:pPr>
        <w:keepLines/>
        <w:widowControl/>
      </w:pPr>
      <w:r>
        <w:rPr>
          <w:i w:val="0"/>
        </w:rPr>
        <w:t>Proposed client: Verano Industries, Inc. Proposed matter: plaintiff-side federal litigation in the Northern District of Illinois against TriPoint Dynamics LLC, Dr. Samuel Kline and Rebecca Torres, asserting Illinois and federal trade-secret misappropriation, breach of fiduciary duty, and tortious interference; seeking approximately $42 million and emergency injunctive relief. The intake also identifies TriPoint’s CEO David Kowalczyk and general counsel Nathan Siddoway, but does not list them as defendants. The proposed engagement should identify the client and all parties precisely and should not silently extend to affiliates, employees, or other entities.</w:t>
      </w:r>
    </w:p>
    <w:p>
      <w:pPr>
        <w:keepLines/>
        <w:widowControl/>
      </w:pPr>
      <w:r>
        <w:rPr>
          <w:i w:val="0"/>
        </w:rPr>
        <w:t>The central rules are Illinois RPC 1.7 (current-client conflicts and consentability), 1.9 (former-client duties, substantial relationship and use of protected information), 1.10 (imputation and lateral-lawyer screening), 1.18 (prospective-client duties), and 1.6 (confidentiality). The analysis below is provisional and based on the documents supplied; it does not replace the Ethics Committee’s determination or review of underlying matter files.</w:t>
      </w:r>
    </w:p>
    <w:p>
      <w:pPr>
        <w:keepLines/>
        <w:widowControl/>
      </w:pPr>
      <w:r>
        <w:rPr>
          <w:i w:val="0"/>
        </w:rPr>
        <w:t>A conflict under Rule 1.7 is consentable only if the lawyer reasonably believes competent and diligent representation can be provided to each affected client, the representation is not otherwise prohibited, it does not involve one client asserting a claim against another client represented by the lawyer in the same litigation or proceeding, and each affected client gives informed consent confirmed in writing. A contractual advance waiver must be evaluated by its language, the circumstances and the information actually received; it does not waive nonconsentable conflicts or erase continuing confidentiality obligations.</w:t>
      </w:r>
    </w:p>
    <w:p>
      <w:pPr>
        <w:pStyle w:val="Heading1"/>
        <w:widowControl/>
      </w:pPr>
      <w:r>
        <w:t>4. Detailed analysis</w:t>
      </w:r>
    </w:p>
    <w:p>
      <w:pPr>
        <w:pStyle w:val="Heading2"/>
        <w:widowControl/>
      </w:pPr>
      <w:r>
        <w:t>A. Marcus Reilly — former representation of TriPoint / Trident (critical)</w:t>
      </w:r>
    </w:p>
    <w:p>
      <w:pPr>
        <w:keepLines/>
        <w:widowControl/>
      </w:pPr>
      <w:r>
        <w:rPr>
          <w:i w:val="0"/>
        </w:rPr>
        <w:t>Reilly’s September 2016 lateral disclosure states that, at Castellan Merritt LLP, he was lead counsel for Trident Sensor Solutions LLC (renamed TriPoint Dynamics LLC in March 2017) in an EEOC age-discrimination matter (2013–2014) and a wrongful-termination case (2015–2016). He also advised the company’s then-CEO on restructuring and strategic workforce planning for the engineering division. He had access to engineering personnel files, organizational charts, HR policies, compensation and retention data, performance reviews, employee capabilities and roles, and the division’s technical-direction plans. He retained no files, but that does not extinguish his continuing duties concerning remembered confidential information.</w:t>
      </w:r>
    </w:p>
    <w:p>
      <w:pPr>
        <w:keepLines/>
        <w:widowControl/>
      </w:pPr>
      <w:r>
        <w:rPr>
          <w:i w:val="0"/>
        </w:rPr>
        <w:t>The proposed claims put TriPoint directly adverse to Reilly’s proposed client. The current dispute concerns two former Verano engineers who joined TriPoint, alleged recruitment and use of trade secrets, and the engineering/R&amp;D organization at TriPoint. The current subject is not itself an employment claim, and it is not established that Project Helix or the alleged technology was involved in Reilly’s old matters. Nonetheless, the shared engineering division and Reilly’s unusually broad personnel, organizational and strategic access create a substantial risk that confidential factual information normally obtained in the former representation could materially advance Verano’s position in the new litigation. This is a serious Rule 1.9(a) substantial-relationship concern, not cured merely by a change in legal theories or by Reilly’s departure from his former firm.</w:t>
      </w:r>
    </w:p>
    <w:p>
      <w:pPr>
        <w:keepLines/>
        <w:widowControl/>
      </w:pPr>
      <w:r>
        <w:rPr>
          <w:i w:val="0"/>
        </w:rPr>
        <w:t>Because Reilly was personally involved in the former representation, the firm must also address imputation under Rule 1.10. Rule 1.10(a)(2) may permit the firm to proceed despite a lateral lawyer’s Rule 1.9 disqualification only if its requirements are met, including a timely screen preventing all participation, no part of the matter’s fee to the screened lawyer, and prompt written notice to the affected former client (with written certifications of compliance upon request and at conclusion). The record does not establish that Reilly has worked on the proposed matter; it does state that Verano informally spoke with him and names him as lead partner. The Committee must establish exactly what he has received, whether any substantive advice or work occurred, and whether a screen can still be considered timely and effective. His historical lateral disclosure and the firm’s long-standing knowledge also warrant careful scrutiny; do not presume the safe harbor applies.</w:t>
      </w:r>
    </w:p>
    <w:p>
      <w:pPr>
        <w:keepLines/>
        <w:widowControl/>
      </w:pPr>
      <w:r>
        <w:rPr>
          <w:b/>
          <w:color w:val="1F4E79"/>
        </w:rPr>
        <w:t xml:space="preserve">Interim direction: </w:t>
      </w:r>
      <w:r>
        <w:t>Reilly must not receive further matter information, advise the team, communicate with Verano about the merits, review the intake or work product, or participate in staffing, strategy or billing decisions. Document a screen immediately. Separately assess whether written informed consent from TriPoint (the same continuing entity, if confirmed) is obtainable and whether disclosure to seek consent is permissible without violating Verano’s prospective-client confidentiality. If neither valid consent nor a Rule 1.10-compliant screen is available, decline the engagement.</w:t>
      </w:r>
    </w:p>
    <w:p>
      <w:pPr>
        <w:pStyle w:val="Heading2"/>
        <w:widowControl/>
      </w:pPr>
      <w:r>
        <w:t>B. Ridgeline Capital Partners LP — active client and owner of TriPoint (critical)</w:t>
      </w:r>
    </w:p>
    <w:p>
      <w:pPr>
        <w:keepLines/>
        <w:widowControl/>
      </w:pPr>
      <w:r>
        <w:rPr>
          <w:i w:val="0"/>
        </w:rPr>
        <w:t>The firm’s January 15, 2023 engagement letter identifies Ridgeline Capital Partners LP as the client and limits the work to SEC regulatory advisory services related to Ridgeline Fund III LP. The letter expressly excludes other funds, portfolio companies and affiliates absent a separate writing. ConflictTracker reports the engagement as active, with 618 hours and $387,500 billed, current invoices, and Samuel Ottinger as responsible partner. The report’s matter-type label includes “Fund Formation / Regulatory Advisory,” while the engagement letter’s operative scope is SEC regulatory advisory; the actual services and client identities should be verified. Ridgeline owns 72% of TriPoint and therefore has a substantial economic interest in the proposed suit, although the intake does not propose claims against Ridgeline itself.</w:t>
      </w:r>
    </w:p>
    <w:p>
      <w:pPr>
        <w:keepLines/>
        <w:widowControl/>
      </w:pPr>
      <w:r>
        <w:rPr>
          <w:i w:val="0"/>
        </w:rPr>
        <w:t>The letter’s §7.2 advance waiver permits certain future representations adverse to Ridgeline or its affiliates in matters not substantially related to the Ridgeline engagement and where the firm does not use Ridgeline confidential information. TriPoint appears likely to be an affiliate under these facts, but the agreement does not define the term. The proposed trade-secret litigation appears different from SEC reporting advice; however, Rule 1.7 still requires analysis of whether duties to Ridgeline materially limit the firm’s advocacy against its controlling portfolio company. This firm-client relationship is significant, and strategy, requested relief or settlement could materially affect Ridgeline’s investment and the fund’s interests.</w:t>
      </w:r>
    </w:p>
    <w:p>
      <w:pPr>
        <w:keepLines/>
        <w:widowControl/>
      </w:pPr>
      <w:r>
        <w:rPr>
          <w:i w:val="0"/>
        </w:rPr>
        <w:t>Section 7.3 limits the waiver where the firm would advocate directly contrary to Ridgeline’s position in a matter in which the firm is actively representing it, or where the firm has received material Confidential Information relevant to the adverse representation. The letter’s definition covers information relating to Ridgeline, Fund III, investors, portfolio companies and business operations. Whether Ottinger or others have received material information about TriPoint, its finances, products, governance, strategy or Project Helix is not established. Section 7.4 also requires prompt notice when the firm becomes aware of a proposed representation within the waiver’s scope. The waiver therefore cannot be treated as blanket permission without the factual inquiry and notice contemplated by the letter.</w:t>
      </w:r>
    </w:p>
    <w:p>
      <w:pPr>
        <w:keepLines/>
        <w:widowControl/>
      </w:pPr>
      <w:r>
        <w:rPr>
          <w:b/>
          <w:color w:val="1F4E79"/>
        </w:rPr>
        <w:t xml:space="preserve">Required review: </w:t>
      </w:r>
      <w:r>
        <w:t>Ottinger and the conflicts team should provide a restricted, matter-specific report of scope, client identity, access to TriPoint/portfolio-company information, and any information potentially material to the suit. Keep litigation personnel from Ridgeline confidences. Determine whether the proposed representation is within §7.2 and whether either §7.3 limitation applies. If Rule 1.7 consent is required, obtain informed written consent from Ridgeline and Verano only if the conflict is consentable and the firm reasonably believes it can act competently and diligently. If Ridgeline is to become an opposing party in the same litigation, Rule 1.7(b)(3) would bar consent. Give any contractually required notice, disclosing no more of Verano’s confidential intake than necessary and only through an authorized process.</w:t>
      </w:r>
    </w:p>
    <w:p>
      <w:pPr>
        <w:pStyle w:val="Heading2"/>
        <w:widowControl/>
      </w:pPr>
      <w:r>
        <w:t>C. Lisa Chow — spouse’s former TriPoint consulting; Hollcroft representation</w:t>
      </w:r>
    </w:p>
    <w:p>
      <w:pPr>
        <w:keepLines/>
        <w:widowControl/>
      </w:pPr>
      <w:r>
        <w:rPr>
          <w:i w:val="0"/>
        </w:rPr>
        <w:t>Chow’s March 2024 annual disclosure reports that her spouse, Dr. Brian Chow, provided paid consulting services to TriPoint from April 2022 through September 2023 on sensor-coating technologies, receiving $95,000. His work included coating durability and performance specifications for precision sensor components. The engagement had ended by the date of the disclosure, and the form reports no equity interest. Chow is proposed as co-lead. A spouse’s consulting relationship does not automatically make the spouse a firm client or establish a legal conflict, but its recency, size and technical subject matter create a substantial fact-dependent Rule 1.7(a)(2) personal-interest question for Chow. Sensor-coating work is not shown to overlap with Project Helix’s piezoelectric platform, but the overlap cannot be excluded on the current record. Determine whether she received TriPoint confidences from her spouse, whether he was subject to confidentiality restrictions, and whether the relationship could materially limit her advice or advocacy. Do not seek or circulate TriPoint information obtained by Dr. Chow.</w:t>
      </w:r>
    </w:p>
    <w:p>
      <w:pPr>
        <w:keepLines/>
        <w:widowControl/>
      </w:pPr>
      <w:r>
        <w:rPr>
          <w:i w:val="0"/>
        </w:rPr>
        <w:t>The administrative portion of Chow’s disclosure indicates the disclosure was flagged for ConflictTracker entry, but the entry confirmation is blank. ConflictTracker’s report does not show this spousal relationship, consistent with its disclaimer that it does not automatically cross-reference annual disclosures. Verify whether the relationship was entered and correct the system if necessary.</w:t>
      </w:r>
    </w:p>
    <w:p>
      <w:pPr>
        <w:keepLines/>
        <w:widowControl/>
      </w:pPr>
      <w:r>
        <w:rPr>
          <w:i w:val="0"/>
        </w:rPr>
        <w:t>Chow and Voss also worked on W&amp;H matter WH-2020-0412 for Hollcroft Ventures Sensor Technologies, Inc., which settled in August 2021. Hollcroft was spun off from Verano on September 1, 2019, before W&amp;H opened its engagement in February 2020; the intake says it has operated independently since. Hollcroft—not Verano—is identified as the client, and it is not a party to the proposed case. Its former-subsidiary status does not by itself make it a current Verano client or make the two representations adverse. The old matter concerned defective titanium-alloy housings for military-grade sensor assemblies; Alderman Precision Machining, the former adverse party, is reportedly a current TriPoint supplier. That connection warrants file review but, absent facts tying the old dispute or Hollcroft’s confidential information to Project Helix or the proposed claims, does not establish a disqualifying conflict. Chow and Voss remain bound by Rule 1.9(c) not to use or reveal Hollcroft’s protected information.</w:t>
      </w:r>
    </w:p>
    <w:p>
      <w:pPr>
        <w:keepLines/>
        <w:widowControl/>
      </w:pPr>
      <w:r>
        <w:rPr>
          <w:b/>
          <w:color w:val="1F4E79"/>
        </w:rPr>
        <w:t xml:space="preserve">Required review: </w:t>
      </w:r>
      <w:r>
        <w:t>Hold Chow out as co-lead pending a confidential interview and targeted review of her spouse’s engagement and the Hollcroft file. Determine scope, dates, current ties, any information exposure, overlap with the alleged technology, and any effect on independent judgment. If a material personal-interest conflict remains, reassign her or obtain informed written consent if permissible; do not use Hollcroft or spouse-derived information. Correct the annual-disclosure/ConflictTracker record.</w:t>
      </w:r>
    </w:p>
    <w:p>
      <w:pPr>
        <w:pStyle w:val="Heading2"/>
        <w:widowControl/>
      </w:pPr>
      <w:r>
        <w:t>D. Caleb Strand — sister at TriPoint and shared residence</w:t>
      </w:r>
    </w:p>
    <w:p>
      <w:pPr>
        <w:keepLines/>
        <w:widowControl/>
      </w:pPr>
      <w:r>
        <w:rPr>
          <w:i w:val="0"/>
        </w:rPr>
        <w:t>Strand’s June 2023 HR questionnaire identifies his sister Morgan A. Strand as a TriPoint IP paralegal since approximately January 2022. Her duties include patent filings, IP portfolio management, coordination with outside patent counsel, prosecution docket records and organizing technical documentation. Caleb and Morgan share a leased Chicago apartment and divide expenses, although they maintain separate offices. This is a close personal and household relationship with an employee of the directly adverse party, in a department that may hold technical records relevant to trade-secret and product-development claims. It presents a significant risk of materially limiting Strand’s independent professional judgment or creating inadvertent exchange of confidential information under Rule 1.7(a)(2) and Rule 1.6.</w:t>
      </w:r>
    </w:p>
    <w:p>
      <w:pPr>
        <w:keepLines/>
        <w:widowControl/>
      </w:pPr>
      <w:r>
        <w:rPr>
          <w:i w:val="0"/>
        </w:rPr>
        <w:t>The questionnaire does not establish that Morgan worked on Project Helix or this dispute, or that the siblings shared any TriPoint or W&amp;H confidential information. Her employment alone does not make her a client or automatically disqualify the entire firm. Given their shared home and her IP role, however, Strand should not be on the matter team. The firm should also examine any matter-specific exposure already occurring and whether his personal-interest conflict creates a material risk for the remaining team under Rule 1.10(a)(1).</w:t>
      </w:r>
    </w:p>
    <w:p>
      <w:pPr>
        <w:keepLines/>
        <w:widowControl/>
      </w:pPr>
      <w:r>
        <w:rPr>
          <w:b/>
          <w:color w:val="1F4E79"/>
        </w:rPr>
        <w:t xml:space="preserve">Interim direction: </w:t>
      </w:r>
      <w:r>
        <w:t>Exclude Strand from all case communications and materials, establish a documented screen, and instruct him not to discuss the matter with Morgan or receive TriPoint information from her. Instruct the team not to disclose Verano’s confidences or case information to Strand or Morgan. Confirm no such exchange has occurred; do not ask Morgan for TriPoint information. Reassess only if the factual review shows no material limitation and the Ethics Committee approves his participation.</w:t>
      </w:r>
    </w:p>
    <w:p>
      <w:pPr>
        <w:pStyle w:val="Heading2"/>
        <w:widowControl/>
      </w:pPr>
      <w:r>
        <w:t>E. Jordan Voss — Midwest Sensor Industry Alliance board</w:t>
      </w:r>
    </w:p>
    <w:p>
      <w:pPr>
        <w:keepLines/>
        <w:widowControl/>
      </w:pPr>
      <w:r>
        <w:rPr>
          <w:i w:val="0"/>
        </w:rPr>
        <w:t>Voss’s March 1, 2024 annual disclosure says he has served since January 2023 as an unpaid director of the Midwest Sensor Industry Alliance (MSIA), a regional precision-sensor trade association whose dues-paying members include both Verano and TriPoint. He states that activities are general advocacy and do not involve proprietary or competitively sensitive exchanges. The questionnaire’s administrative “entered into ConflictTracker” field is not completed, and the system does not search board service or annual disclosures. Voss is a proposed senior associate and personally submitted the intake.</w:t>
      </w:r>
    </w:p>
    <w:p>
      <w:pPr>
        <w:keepLines/>
        <w:widowControl/>
      </w:pPr>
      <w:r>
        <w:rPr>
          <w:i w:val="0"/>
        </w:rPr>
        <w:t>Board service is not, standing alone, a conflict. The Committee must confirm committee assignments, director confidentiality duties, meeting materials and whether Voss has had access to nonpublic information about either member, sensor technology, personnel moves, product timelines, supply chains, disputes or Project Helix. If he possesses relevant information or has a duty that materially limits his advocacy, he should be recused and screened; he must not use, reveal or bring MSIA information into the representation. If the board activity is genuinely general and no relevant information or divided duty exists, his participation may be permissible with documented safeguards. Verify and update the annual disclosure/ConflictTracker record.</w:t>
      </w:r>
    </w:p>
    <w:p>
      <w:pPr>
        <w:pStyle w:val="Heading2"/>
        <w:widowControl/>
      </w:pPr>
      <w:r>
        <w:t>F. Kowalczyk Family Trust — David Kowalczyk relationship</w:t>
      </w:r>
    </w:p>
    <w:p>
      <w:pPr>
        <w:keepLines/>
        <w:widowControl/>
      </w:pPr>
      <w:r>
        <w:rPr>
          <w:i w:val="0"/>
        </w:rPr>
        <w:t>ConflictTracker identifies former client Kowalczyk Family Trust, represented in a 2019 will contest through trustee First Heritage Bank &amp; Trust. David Kowalczyk, now TriPoint’s CEO, is a beneficiary and provided a sworn affidavit supporting the trust’s position. The report states that he was not a direct client, but that he may have communicated with firm attorneys; the intake characterizes the record more generally as an estate/trust administration matter. The matter description and client identity therefore require verification against the engagement letter and file.</w:t>
      </w:r>
    </w:p>
    <w:p>
      <w:pPr>
        <w:keepLines/>
        <w:widowControl/>
      </w:pPr>
      <w:r>
        <w:rPr>
          <w:i w:val="0"/>
        </w:rPr>
        <w:t>Beneficiary status or being an affiant does not, without more, establish an attorney-client relationship. Determine whether the firm represented Kowalczyk individually, whether he consulted the firm about obtaining legal services, the nature of any communications, and whether protected information could be material to the present dispute. He is not listed as a proposed defendant in the intake, though he may be a witness or corporate decision-maker. If an individual former-client or prospective-client relationship is established, analyze Rules 1.9 or 1.18 and whether the former matter is substantially related; otherwise, preserve trust-file confidentiality and confirm no use of it.</w:t>
      </w:r>
    </w:p>
    <w:p>
      <w:pPr>
        <w:pStyle w:val="Heading2"/>
        <w:widowControl/>
      </w:pPr>
      <w:r>
        <w:t>G. Verano’s 2022 declined engagement — prospective-client file</w:t>
      </w:r>
    </w:p>
    <w:p>
      <w:pPr>
        <w:keepLines/>
        <w:widowControl/>
      </w:pPr>
      <w:r>
        <w:rPr>
          <w:i w:val="0"/>
        </w:rPr>
        <w:t>Verano contacted W&amp;H in April 2022 about a patent-infringement suit against SynaptiCore LLC. The firm declined one week later because of an unspecified potential conflict; no engagement letter, legal advice or work product is reported. The information received was a preliminary intake form with patent numbers and a one-paragraph dispute summary. Rule 1.18 confidentiality obligations apply to information from a prospective client. On the present facts, that prior inquiry does not itself bar the firm from representing Verano now: the new matter is brought for the same prospective client, concerns different claims and a different adverse party, and is not materially adverse to Verano. The limited intake information is not presently shown to be significantly harmful to Verano in this matter.</w:t>
      </w:r>
    </w:p>
    <w:p>
      <w:pPr>
        <w:keepLines/>
        <w:widowControl/>
      </w:pPr>
      <w:r>
        <w:rPr>
          <w:i w:val="0"/>
        </w:rPr>
        <w:t>Nonetheless, the reason for declining is undocumented. Retrieve the old intake, conflict notes and any available decision-maker record to determine whether the underlying issue involved TriPoint, Ridgeline, or a person/entity implicated now. Confirm the current matter does not reuse or reveal the patent intake information beyond the firm’s permitted internal review. The prior decline is a diligence item, not a basis to infer that the current matter is either cleared or barred.</w:t>
      </w:r>
    </w:p>
    <w:p>
      <w:pPr>
        <w:pStyle w:val="Heading2"/>
        <w:widowControl/>
      </w:pPr>
      <w:r>
        <w:t>H. Other search results and record-quality matters</w:t>
      </w:r>
    </w:p>
    <w:p>
      <w:pPr>
        <w:keepLines/>
        <w:widowControl/>
      </w:pPr>
      <w:r>
        <w:rPr>
          <w:i w:val="0"/>
        </w:rPr>
        <w:t>ConflictTracker returned no hits for Kline, Torres, Siddoway, Thomas Verano as an individual, or SynaptiCore other than the declined Verano intake. No apparent connection to the proposed matter is identified in Reilly’s other disclosed former clients (Harmon Creek Logistics, Platte River Environmental Services, Northgate Hospitality Group, and Brennan-Lyle Construction). These negative results are limited to the records searched and should be re-run after all relevant names and aliases are confirmed.</w:t>
      </w:r>
    </w:p>
    <w:p>
      <w:pPr>
        <w:keepLines/>
        <w:widowControl/>
      </w:pPr>
      <w:r>
        <w:rPr>
          <w:i w:val="0"/>
        </w:rPr>
        <w:t>The ConflictTracker report’s Hit 1 heading says “Greylock Sensor Technologies, Inc.,” while the matched term, client field, matter description, intake and attorney disclosures identify Hollcroft Ventures Sensor Technologies, Inc. for WH-2020-0412. Resolve this apparent label/record anomaly and confirm whether Greylock is an unrelated entity or an alias/data-entry error. The report also describes the Kowalczyk matter differently from the intake. Both discrepancies should be reconciled against source files before final clearance. ConflictTracker expressly excludes annual attorney disclosures, HR/family records and board memberships from automated cross-reference; the unindexed Chow, Strand and Voss facts demonstrate that a database “no hit” is not a complete clearance.</w:t>
      </w:r>
    </w:p>
    <w:p>
      <w:pPr>
        <w:pStyle w:val="Heading1"/>
        <w:widowControl/>
      </w:pPr>
      <w:r>
        <w:t>5. Required actions before any clearance</w:t>
      </w:r>
    </w:p>
    <w:p>
      <w:pPr>
        <w:pStyle w:val="ListNumber"/>
        <w:keepLines/>
        <w:spacing w:after="40"/>
        <w:widowControl/>
      </w:pPr>
      <w:r>
        <w:t>Keep the matter in pending status. No engagement acceptance, substantive legal work, TRO drafting, external case-related communications or client promise of clearance before written approval by the General Counsel/Ethics Committee.</w:t>
      </w:r>
    </w:p>
    <w:p>
      <w:pPr>
        <w:pStyle w:val="ListNumber"/>
        <w:keepLines/>
        <w:spacing w:after="40"/>
        <w:widowControl/>
      </w:pPr>
      <w:r>
        <w:t>Immediately isolate Reilly, Strand, and (until the inquiry is complete) Chow and Voss from substantive work and restrict access to the matter workspace. Record who has received the intake, proposed client information, adverse-party information or work product. Implement an access-controlled screen for Reilly and Strand pending final determinations; no fee allocation to Reilly if Rule 1.10(a)(2) is relied upon.</w:t>
      </w:r>
    </w:p>
    <w:p>
      <w:pPr>
        <w:pStyle w:val="ListNumber"/>
        <w:keepLines/>
        <w:spacing w:after="40"/>
        <w:widowControl/>
      </w:pPr>
      <w:r>
        <w:t>Review Reilly’s lateral file and current communications to determine scope of his prior representation, precise confidential information, any personal representation of employees, his contact with Verano, and whether a timely/effective screen remains available. Decide whether TriPoint’s informed written consent is necessary/obtainable or the firm must decline. Preserve Verano’s confidentiality when considering any external consent request.</w:t>
      </w:r>
    </w:p>
    <w:p>
      <w:pPr>
        <w:pStyle w:val="ListNumber"/>
        <w:keepLines/>
        <w:spacing w:after="40"/>
        <w:widowControl/>
      </w:pPr>
      <w:r>
        <w:t>Have Ottinger and the Ridgeline team perform a restricted review of the active engagement, engagement-letter scope, actual client(s), Ridgeline/portfolio-company information received, and possible overlap. Determine affiliate status, apply §§7.2–7.4 of the letter, provide required notice in a confidentiality-compliant manner, and obtain informed written consent if required and available.</w:t>
      </w:r>
    </w:p>
    <w:p>
      <w:pPr>
        <w:pStyle w:val="ListNumber"/>
        <w:keepLines/>
        <w:spacing w:after="40"/>
        <w:widowControl/>
      </w:pPr>
      <w:r>
        <w:t>Interview Chow about the spousal consulting relationship, any knowledge or receipt of TriPoint information, and potential effect on judgment; review the relevant Hollcroft file narrowly. Confirm and correct the missing ConflictTracker entry. Do not transfer any confidential TriPoint or Hollcroft information to the proposed litigation team.</w:t>
      </w:r>
    </w:p>
    <w:p>
      <w:pPr>
        <w:pStyle w:val="ListNumber"/>
        <w:keepLines/>
        <w:spacing w:after="40"/>
        <w:widowControl/>
      </w:pPr>
      <w:r>
        <w:t>Confirm Voss’s MSIA committees, board duties and information access, including any nonpublic member/technology matters; document whether recusal/screening is needed and update the annual disclosure record.</w:t>
      </w:r>
    </w:p>
    <w:p>
      <w:pPr>
        <w:pStyle w:val="ListNumber"/>
        <w:keepLines/>
        <w:spacing w:after="40"/>
        <w:widowControl/>
      </w:pPr>
      <w:r>
        <w:t>Review Strand’s HR file and obtain a confidential confirmation that no case information has been shared with Morgan or TriPoint, and no relevant TriPoint information has been shared with the firm. Keep Strand screened and do not solicit TriPoint information from his sister.</w:t>
      </w:r>
    </w:p>
    <w:p>
      <w:pPr>
        <w:pStyle w:val="ListNumber"/>
        <w:keepLines/>
        <w:spacing w:after="40"/>
        <w:widowControl/>
      </w:pPr>
      <w:r>
        <w:t>Review the Kowalczyk Trust engagement letter, pleadings, affidavit and communications to determine the client’s identity and any individual relationship or relevant confidential information. Reconcile whether the matter was a will contest or broader trust administration.</w:t>
      </w:r>
    </w:p>
    <w:p>
      <w:pPr>
        <w:pStyle w:val="ListNumber"/>
        <w:keepLines/>
        <w:spacing w:after="40"/>
        <w:widowControl/>
      </w:pPr>
      <w:r>
        <w:t>Retrieve Verano’s 2022 intake/declination record and establish why the firm declined; reconcile the ConflictTracker Hit 1 heading/client discrepancy; re-run searches for confirmed aliases, entities, individual parties and any additional affiliates or anticipated defendants.</w:t>
      </w:r>
    </w:p>
    <w:p>
      <w:pPr>
        <w:pStyle w:val="ListNumber"/>
        <w:keepLines/>
        <w:spacing w:after="40"/>
        <w:widowControl/>
      </w:pPr>
      <w:r>
        <w:t>Obtain updated conflict certifications from every proposed team member (including Priya Nambiar, for whom no separate disclosure is included in the supplied materials), document all screening and consent steps, and issue a written clearance decision with any conditions. Update ConflictTracker and the matter intake only after approval.</w:t>
      </w:r>
    </w:p>
    <w:p>
      <w:pPr>
        <w:pStyle w:val="Heading1"/>
        <w:widowControl/>
      </w:pPr>
      <w:r>
        <w:t>6. Recommended committee disposition</w:t>
      </w:r>
    </w:p>
    <w:p>
      <w:pPr>
        <w:keepLines/>
        <w:widowControl/>
      </w:pPr>
      <w:r>
        <w:rPr>
          <w:i w:val="0"/>
        </w:rPr>
        <w:t>Recommended decision today: NOT CLEARED / PENDING. The Committee should not approve the proposed staffing as submitted. The matter may be reconsidered only after the Reilly and Ridgeline issues are resolved and the personal-interest issues involving Chow, Strand and Voss have been assessed. The Committee may authorize a separate litigation team if the applicable rules and Ridgeline engagement terms permit the firm to act; the team composition should not include a lawyer who remains personally disqualified or materially limited.</w:t>
      </w:r>
    </w:p>
    <w:p>
      <w:pPr>
        <w:keepLines/>
        <w:widowControl/>
      </w:pPr>
      <w:r>
        <w:rPr>
          <w:i w:val="0"/>
        </w:rPr>
        <w:t>If the necessary informed consent is unavailable, a screen is untimely or ineffective, the firm cannot reasonably believe it can represent Verano competently and diligently while honoring duties to Ridgeline, or the proposed scope makes the conflict nonconsentable, the firm should decline the representation. Only after a written final decision should the firm communicate a definitive acceptance or clearance to Verano. Any engagement letter should identify Verano Industries, Inc. alone as client unless separately approved, define the defendants and scope, address affiliates and nonclient employees expressly, and not imply that the Ridgeline advance waiver resolves the present issues.</w:t>
      </w:r>
    </w:p>
    <w:sectPr w:rsidR="00FC693F" w:rsidRPr="0006063C" w:rsidSect="00034616">
      <w:headerReference w:type="default" r:id="rId9"/>
      <w:footerReference w:type="default" r:id="rId10"/>
      <w:pgSz w:w="12240" w:h="15840"/>
      <w:pgMar w:top="1037" w:right="1181" w:bottom="1008"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3"/>
        <w:sz w:val="15"/>
      </w:rPr>
      <w:t xml:space="preserve">CONFIDENTIAL • ATTORNEY-CLIENT PRIVILEGED • ATTORNEY WORK PRODUCT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17365D"/>
      </w:pBdr>
    </w:pPr>
    <w:r>
      <w:rPr>
        <w:rFonts w:ascii="Arial" w:hAnsi="Arial"/>
        <w:b/>
        <w:color w:val="5B6573"/>
        <w:sz w:val="16"/>
      </w:rPr>
      <w:t>WHITAKER &amp; HOLM LLP  |  OFFICE OF THE GENERAL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0252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Conflict Check Memorandum — Verano Industries, Inc.</dc:title>
  <dc:subject>Internal conflicts review of proposed Verano v. TriPoint litigation</dc:subject>
  <dc:creator>Whitaker &amp; Holm LLP — Office of the General Counsel</dc:creator>
  <cp:keywords>Confidential; conflicts; attorney-client privilege; work product</cp:keywords>
  <dc:description>generated by python-docx</dc:description>
  <cp:lastModifiedBy/>
  <cp:revision>1</cp:revision>
  <dcterms:created xsi:type="dcterms:W3CDTF">2013-12-23T23:15:00Z</dcterms:created>
  <dcterms:modified xsi:type="dcterms:W3CDTF">2013-12-23T23:15:00Z</dcterms:modified>
  <cp:category/>
</cp:coreProperties>
</file>