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b/>
          <w:sz w:val="24"/>
        </w:rPr>
        <w:t>IN THE UNITED STATES DISTRICT COURT</w:t>
      </w:r>
    </w:p>
    <w:p>
      <w:pPr>
        <w:spacing w:line="240" w:lineRule="auto" w:after="0"/>
        <w:jc w:val="center"/>
      </w:pPr>
      <w:r>
        <w:rPr>
          <w:b/>
        </w:rPr>
        <w:t>FOR THE WESTERN DISTRICT OF TEXAS</w:t>
      </w:r>
    </w:p>
    <w:p>
      <w:pPr>
        <w:spacing w:line="240" w:lineRule="auto" w:after="160"/>
        <w:jc w:val="center"/>
      </w:pPr>
      <w:r>
        <w:rPr>
          <w:b/>
        </w:rPr>
        <w:t>AUSTIN DIVISION</w:t>
      </w:r>
    </w:p>
    <w:tbl>
      <w:tblPr>
        <w:tblW w:type="auto" w:w="0"/>
        <w:jc w:val="center"/>
        <w:tblLayout w:type="fixed"/>
        <w:tblLook w:firstColumn="1" w:firstRow="1" w:lastColumn="0" w:lastRow="0" w:noHBand="0" w:noVBand="1" w:val="04A0"/>
      </w:tblPr>
      <w:tblGrid>
        <w:gridCol w:w="5040"/>
        <w:gridCol w:w="3528"/>
      </w:tblGrid>
      <w:tr>
        <w:tc>
          <w:tcPr>
            <w:tcW w:type="dxa" w:w="3528"/>
            <w:vAlign w:val="center"/>
            <w:tcBorders>
              <w:top w:val="nil"/>
              <w:left w:val="nil"/>
              <w:bottom w:val="nil"/>
              <w:right w:val="nil"/>
              <w:insideH w:val="nil"/>
              <w:insideV w:val="nil"/>
            </w:tcBorders>
          </w:tcPr>
          <w:p>
            <w:pPr>
              <w:spacing w:line="276" w:lineRule="auto"/>
            </w:pPr>
            <w:r>
              <w:rPr>
                <w:rFonts w:ascii="Times New Roman" w:hAnsi="Times New Roman"/>
                <w:b/>
                <w:sz w:val="22"/>
              </w:rPr>
              <w:t>LUMENARA OPTICS CORPORATION,</w:t>
              <w:br/>
              <w:t>a California corporation,</w:t>
              <w:br/>
              <w:br/>
              <w:t>Plaintiff and Counterclaim Defendant,</w:t>
              <w:br/>
              <w:br/>
              <w:t>v.</w:t>
              <w:br/>
              <w:br/>
              <w:t>VANTAGE MICRO SYSTEMS, INC.,</w:t>
              <w:br/>
              <w:t>a Delaware corporation,</w:t>
              <w:br/>
              <w:br/>
              <w:t>Defendant and Counterclaim Plaintiff,</w:t>
              <w:br/>
              <w:br/>
            </w:r>
          </w:p>
        </w:tc>
        <w:tc>
          <w:tcPr>
            <w:tcW w:type="dxa" w:w="3528"/>
            <w:vAlign w:val="center"/>
            <w:tcBorders>
              <w:top w:val="nil"/>
              <w:left w:val="nil"/>
              <w:bottom w:val="nil"/>
              <w:right w:val="nil"/>
              <w:insideH w:val="nil"/>
              <w:insideV w:val="nil"/>
            </w:tcBorders>
          </w:tcPr>
          <w:p>
            <w:pPr>
              <w:spacing w:line="276" w:lineRule="auto"/>
            </w:pPr>
            <w:r>
              <w:rPr>
                <w:rFonts w:ascii="Times New Roman" w:hAnsi="Times New Roman"/>
                <w:b/>
                <w:sz w:val="22"/>
              </w:rPr>
              <w:t>Civil Action No. 1:24-cv-00583-DAE</w:t>
              <w:br/>
              <w:br/>
              <w:br/>
              <w:br/>
              <w:br/>
              <w:br/>
              <w:br/>
              <w:br/>
              <w:br/>
              <w:br/>
              <w:br/>
              <w:br/>
              <w:br/>
              <w:br/>
            </w:r>
          </w:p>
        </w:tc>
      </w:tr>
    </w:tbl>
    <w:p>
      <w:pPr>
        <w:spacing w:line="240" w:lineRule="auto" w:before="160" w:after="160"/>
        <w:jc w:val="center"/>
      </w:pPr>
      <w:r>
        <w:rPr>
          <w:b/>
          <w:sz w:val="24"/>
        </w:rPr>
        <w:t>VANTAGE MICRO SYSTEMS, INC.'S COUNTERCLAIMS</w:t>
        <w:br/>
        <w:t>AGAINST PLAINTIFF LUMENARA OPTICS CORPORATION</w:t>
      </w:r>
    </w:p>
    <w:p>
      <w:pPr>
        <w:pStyle w:val="Heading1"/>
      </w:pPr>
      <w:r>
        <w:t>COUNTERCLAIMS</w:t>
      </w:r>
    </w:p>
    <w:p>
      <w:pPr>
        <w:keepLines w:val="0"/>
        <w:spacing w:line="480" w:lineRule="auto" w:after="0"/>
        <w:ind w:left="461" w:hanging="461"/>
      </w:pPr>
      <w:r>
        <w:rPr>
          <w:b w:val="0"/>
        </w:rPr>
        <w:t xml:space="preserve">1. </w:t>
      </w:r>
      <w:r>
        <w:t>Vantage Micro Systems, Inc. ("Vantage"), Defendant and Counterclaim Plaintiff, asserts these counterclaims against Plaintiff and Counterclaim Defendant Lumenara Optics Corporation ("Lumenara"). Vantage seeks relief arising from Lumenara’s misuse of Vantage’s proprietary SensorCore™ substrate technology, Lumenara’s failure to perform its material obligations under the parties’ Joint Development Agreement, and Lumenara’s inducement of Vantage to enter that agreement while concealing a contrary plan.</w:t>
      </w:r>
    </w:p>
    <w:p>
      <w:pPr>
        <w:keepLines w:val="0"/>
        <w:spacing w:line="480" w:lineRule="auto" w:after="0"/>
        <w:ind w:left="461" w:hanging="461"/>
      </w:pPr>
      <w:r>
        <w:rPr>
          <w:b w:val="0"/>
        </w:rPr>
        <w:t xml:space="preserve">2. </w:t>
      </w:r>
      <w:r>
        <w:t>These counterclaims arise from the same parties, agreements, information exchange, and Project Meridian relationship placed at issue by Lumenara’s Complaint. They are compulsory counterclaims under Federal Rule of Civil Procedure 13(a). Vantage seeks damages, equitable relief, fees, costs, and all other relief available under law, subject to proof and without duplicative recovery.</w:t>
      </w:r>
    </w:p>
    <w:p>
      <w:pPr>
        <w:pStyle w:val="Heading1"/>
      </w:pPr>
      <w:r>
        <w:t>PARTIES</w:t>
      </w:r>
    </w:p>
    <w:p>
      <w:pPr>
        <w:keepLines w:val="0"/>
        <w:spacing w:line="480" w:lineRule="auto" w:after="0"/>
        <w:ind w:left="461" w:hanging="461"/>
      </w:pPr>
      <w:r>
        <w:rPr>
          <w:b w:val="0"/>
        </w:rPr>
        <w:t xml:space="preserve">3. </w:t>
      </w:r>
      <w:r>
        <w:t>Vantage is a Delaware corporation with its principal place of business at 4200 Balcones Research Boulevard, Austin, Texas 78759. Vantage designs and manufactures miniaturized optical sensor modules, including the SensorCore™ substrate architecture, for aerospace and defense applications.</w:t>
      </w:r>
    </w:p>
    <w:p>
      <w:pPr>
        <w:keepLines w:val="0"/>
        <w:spacing w:line="480" w:lineRule="auto" w:after="0"/>
        <w:ind w:left="461" w:hanging="461"/>
      </w:pPr>
      <w:r>
        <w:rPr>
          <w:b w:val="0"/>
        </w:rPr>
        <w:t xml:space="preserve">4. </w:t>
      </w:r>
      <w:r>
        <w:t>Lumenara is a California corporation with its principal place of business at 1875 Innovation Way, Irvine, California 92617. Lumenara develops and manufactures optical coatings, lens assemblies, and sensor products, including the LumiSense 400.</w:t>
      </w:r>
    </w:p>
    <w:p>
      <w:pPr>
        <w:pStyle w:val="Heading1"/>
      </w:pPr>
      <w:r>
        <w:t>JURISDICTION AND VENUE</w:t>
      </w:r>
    </w:p>
    <w:p>
      <w:pPr>
        <w:keepLines w:val="0"/>
        <w:spacing w:line="480" w:lineRule="auto" w:after="0"/>
        <w:ind w:left="461" w:hanging="461"/>
      </w:pPr>
      <w:r>
        <w:rPr>
          <w:b w:val="0"/>
        </w:rPr>
        <w:t xml:space="preserve">5. </w:t>
      </w:r>
      <w:r>
        <w:t>This Court has federal-question jurisdiction under 28 U.S.C. § 1331 over Vantage’s claims under the Defend Trade Secrets Act ("DTSA"), 18 U.S.C. § 1836 et seq. The Court has original jurisdiction over Vantage’s patent-infringement claim under 28 U.S.C. §§ 1331 and 1338(a), and supplemental jurisdiction under 28 U.S.C. § 1367 over the related state-law claims, which arise from the same nucleus of operative facts as the federal claims and Lumenara’s Complaint.</w:t>
      </w:r>
    </w:p>
    <w:p>
      <w:pPr>
        <w:keepLines w:val="0"/>
        <w:spacing w:line="480" w:lineRule="auto" w:after="0"/>
        <w:ind w:left="461" w:hanging="461"/>
      </w:pPr>
      <w:r>
        <w:rPr>
          <w:b w:val="0"/>
        </w:rPr>
        <w:t xml:space="preserve">6. </w:t>
      </w:r>
      <w:r>
        <w:t>The Court also has diversity jurisdiction under 28 U.S.C. § 1332(a): Vantage is a citizen of Delaware and Texas; Lumenara is a citizen of California; and the amount in controversy exceeds $75,000, exclusive of interest and costs. Vantage’s claims also arise from the same case or controversy already before the Court.</w:t>
      </w:r>
    </w:p>
    <w:p>
      <w:pPr>
        <w:keepLines w:val="0"/>
        <w:spacing w:line="480" w:lineRule="auto" w:after="0"/>
        <w:ind w:left="461" w:hanging="461"/>
      </w:pPr>
      <w:r>
        <w:rPr>
          <w:b w:val="0"/>
        </w:rPr>
        <w:t xml:space="preserve">7. </w:t>
      </w:r>
      <w:r>
        <w:t>Lumenara is subject to personal jurisdiction in this District. It executed agreements expressly submitting disputes arising out of or relating to the MNDA and JDA—including claims for misappropriation and patent infringement—to the exclusive jurisdiction of state and federal courts located in Travis County, Texas. Lumenara also purposefully entered and performed the parties’ business relationship with Vantage, whose headquarters and Project Meridian portal were in Austin, and the challenged access and use of Vantage’s materials occurred through that relationship.</w:t>
      </w:r>
    </w:p>
    <w:p>
      <w:pPr>
        <w:keepLines w:val="0"/>
        <w:spacing w:line="480" w:lineRule="auto" w:after="0"/>
        <w:ind w:left="461" w:hanging="461"/>
      </w:pPr>
      <w:r>
        <w:rPr>
          <w:b w:val="0"/>
        </w:rPr>
        <w:t xml:space="preserve">8. </w:t>
      </w:r>
      <w:r>
        <w:t>Venue is proper in this District under the parties’ forum-selection provisions and 28 U.S.C. § 1391. The JDA selects the federal and state courts located in Travis County, Texas, for disputes arising out of or relating to the Agreement, expressly including trade-secret and patent-infringement claims; the MNDA likewise selects the state and federal courts located in Travis County for disputes arising out of or relating to that agreement. The counterclaims are compulsory and arise directly from those agreements and the Project Meridian transaction. On information and belief, Lumenara has also offered and sold LumiSense 400 products into this District as part of its nationwide commercial sales. Vantage pleads venue consistent with the agreements and applicable law and will supplement the factual basis as discovery proceeds.</w:t>
      </w:r>
    </w:p>
    <w:p>
      <w:pPr>
        <w:pStyle w:val="Heading1"/>
      </w:pPr>
      <w:r>
        <w:t>FACTUAL ALLEGATIONS</w:t>
      </w:r>
    </w:p>
    <w:p>
      <w:pPr>
        <w:pStyle w:val="Heading2"/>
      </w:pPr>
      <w:r>
        <w:t>The parties’ agreements and Project Meridian</w:t>
      </w:r>
    </w:p>
    <w:p>
      <w:pPr>
        <w:keepLines w:val="0"/>
        <w:spacing w:line="480" w:lineRule="auto" w:after="0"/>
        <w:ind w:left="461" w:hanging="461"/>
      </w:pPr>
      <w:r>
        <w:rPr>
          <w:b w:val="0"/>
        </w:rPr>
        <w:t xml:space="preserve">9. </w:t>
      </w:r>
      <w:r>
        <w:t>On February 14, 2022, Vantage and Lumenara executed a Mutual Non-Disclosure Agreement ("MNDA"). The MNDA defines Confidential Information to include nonpublic technical information, trade secrets, substrate designs, lithographic mask layouts, doping profiles, thermal-management schematics, sensor architectures, and engineering documentation. It bars the receiving party from using the other party’s Confidential Information except to evaluate and pursue a potential business relationship and joint development activities (the "Purpose"), and specifically bars use to develop, manufacture, market, sell, or distribute a product except within the Purpose. The MNDA also prohibits reverse engineering and preserves trade-secret confidentiality for so long as the information remains a trade secret.</w:t>
      </w:r>
    </w:p>
    <w:p>
      <w:pPr>
        <w:keepLines w:val="0"/>
        <w:spacing w:line="480" w:lineRule="auto" w:after="0"/>
        <w:ind w:left="461" w:hanging="461"/>
      </w:pPr>
      <w:r>
        <w:rPr>
          <w:b w:val="0"/>
        </w:rPr>
        <w:t xml:space="preserve">10. </w:t>
      </w:r>
      <w:r>
        <w:t>On June 1, 2022, the parties executed the Joint Development Agreement ("JDA") for Project Meridian, a collaboration to develop an integrated sensor-optics module combining Vantage’s substrate-level sensor arrays with Lumenara’s anti-reflective coatings. The JDA had an initial 24-month term ending May 31, 2024, absent mutual written extension. No written extension is alleged here.</w:t>
      </w:r>
    </w:p>
    <w:p>
      <w:pPr>
        <w:keepLines w:val="0"/>
        <w:spacing w:line="480" w:lineRule="auto" w:after="0"/>
        <w:ind w:left="461" w:hanging="461"/>
      </w:pPr>
      <w:r>
        <w:rPr>
          <w:b w:val="0"/>
        </w:rPr>
        <w:t xml:space="preserve">11. </w:t>
      </w:r>
      <w:r>
        <w:t>The JDA assigned complementary work and resources. Vantage committed engineering and technical resources valued at $3.4 million over the initial term. Lumenara committed resources valued at $2.8 million and undertook, among other things, coating development, fabrication and delivery of prototype coated lens assemblies, MIL-STD-810H environmental testing, and production-ready coating-process documentation.</w:t>
      </w:r>
    </w:p>
    <w:p>
      <w:pPr>
        <w:keepLines w:val="0"/>
        <w:spacing w:line="480" w:lineRule="auto" w:after="0"/>
        <w:ind w:left="461" w:hanging="461"/>
      </w:pPr>
      <w:r>
        <w:rPr>
          <w:b w:val="0"/>
        </w:rPr>
        <w:t xml:space="preserve">12. </w:t>
      </w:r>
      <w:r>
        <w:t>The Milestone Schedule required Lumenara to deliver: (a) complete coating specifications by September 30, 2022 (M1); (b) 50 prototype coated lens assemblies by March 31, 2023 (M2); (c) complete environmental test results demonstrating full compliance with applicable MIL-STD-810H methods by September 30, 2023 (M3); and (d) complete, production-ready coating-process documentation by March 31, 2024 (M4). The JDA expressly provides that M2 is not achieved if fewer than 50 units are delivered or delivery is late, and that partial or incomplete test data do not satisfy M3.</w:t>
      </w:r>
    </w:p>
    <w:p>
      <w:pPr>
        <w:keepLines w:val="0"/>
        <w:spacing w:line="480" w:lineRule="auto" w:after="0"/>
        <w:ind w:left="461" w:hanging="461"/>
      </w:pPr>
      <w:r>
        <w:rPr>
          <w:b w:val="0"/>
        </w:rPr>
        <w:t xml:space="preserve">13. </w:t>
      </w:r>
      <w:r>
        <w:t>The JDA made timely milestone performance essential to the collaboration and expressly provides that a party’s failure to achieve two or more of its milestones is a material breach. Lumenara’s M2, M3, and M4 deliverables were sequentially important to integration, qualification, and production readiness of the intended module.</w:t>
      </w:r>
    </w:p>
    <w:p>
      <w:pPr>
        <w:keepLines w:val="0"/>
        <w:spacing w:line="480" w:lineRule="auto" w:after="0"/>
        <w:ind w:left="461" w:hanging="461"/>
      </w:pPr>
      <w:r>
        <w:rPr>
          <w:b w:val="0"/>
        </w:rPr>
        <w:t xml:space="preserve">14. </w:t>
      </w:r>
      <w:r>
        <w:t>The JDA preserves each party’s Background IP as that party’s sole property. It expressly identifies Vantage’s substrate-level sensor array designs—including lithographic mask layouts, doping profiles, thermal-management schematics, related design data, and SensorCore™ patents and trade secrets—as Vantage Background IP. Foreground IP is limited to IP jointly created by both parties in performing the Project and excludes Background IP even when used in or contributing to Foreground IP.</w:t>
      </w:r>
    </w:p>
    <w:p>
      <w:pPr>
        <w:keepLines w:val="0"/>
        <w:spacing w:line="480" w:lineRule="auto" w:after="0"/>
        <w:ind w:left="461" w:hanging="461"/>
      </w:pPr>
      <w:r>
        <w:rPr>
          <w:b w:val="0"/>
        </w:rPr>
        <w:t xml:space="preserve">15. </w:t>
      </w:r>
      <w:r>
        <w:t>Sections 2.4 and 7.3 of the JDA prohibit either party from using the other party’s Background IP or Confidential Information for any purpose other than performing Project work, and prohibit incorporating the other party’s Background IP into any product other than the Project Module, absent specific prior written consent. Section 7.3 also prohibits use to develop, design, manufacture, or market a competing product. No such consent was requested or granted for LumiSense 400.</w:t>
      </w:r>
    </w:p>
    <w:p>
      <w:pPr>
        <w:keepLines w:val="0"/>
        <w:spacing w:line="480" w:lineRule="auto" w:after="0"/>
        <w:ind w:left="461" w:hanging="461"/>
      </w:pPr>
      <w:r>
        <w:rPr>
          <w:b w:val="0"/>
        </w:rPr>
        <w:t xml:space="preserve">16. </w:t>
      </w:r>
      <w:r>
        <w:t>The JDA required Vantage to host a secure Shared Technical Portal, limited access to authorized personnel with a demonstrated Project need to know, and required individualized credentials, access controls, and logging. The JDA required all Background IP files to be marked "PROPRIETARY — [PARTY NAME]" and restricted use of all Portal materials solely to Project purposes. The MNDA’s confidentiality and use restrictions were incorporated into the JDA; the more restrictive protection controls in the event of conflict. The JDA’s restrictions on Background IP and confidentiality survive expiration, and its liability exclusions do not apply to misappropriation or unauthorized use of Background IP, breach of Sections 7 or 8, fraud, or willful misconduct.</w:t>
      </w:r>
    </w:p>
    <w:p>
      <w:pPr>
        <w:keepLines w:val="0"/>
        <w:spacing w:line="480" w:lineRule="auto" w:after="0"/>
        <w:ind w:left="461" w:hanging="461"/>
      </w:pPr>
      <w:r>
        <w:rPr>
          <w:b w:val="0"/>
        </w:rPr>
        <w:t xml:space="preserve">17. </w:t>
      </w:r>
      <w:r>
        <w:t>Lumenara also expressly represented in JDA § 9.3 that it was entering the Agreement in good faith with genuine intent to perform its obligations and devote necessary resources to the Project, and that it had no present plan to use the collaboration for any purpose other than the Project. The JDA further provides for equitable relief for breach or threatened breach of its IP and confidentiality provisions and for recovery by the prevailing party of reasonable attorneys’ fees, expert-witness fees, consulting fees, and litigation expenses.</w:t>
      </w:r>
    </w:p>
    <w:p>
      <w:pPr>
        <w:pStyle w:val="Heading2"/>
      </w:pPr>
      <w:r>
        <w:t>Lumenara’s concealed plan and use of SensorCore™</w:t>
      </w:r>
    </w:p>
    <w:p>
      <w:pPr>
        <w:keepLines w:val="0"/>
        <w:spacing w:line="480" w:lineRule="auto" w:after="0"/>
        <w:ind w:left="461" w:hanging="461"/>
      </w:pPr>
      <w:r>
        <w:rPr>
          <w:b w:val="0"/>
        </w:rPr>
        <w:t xml:space="preserve">18. </w:t>
      </w:r>
      <w:r>
        <w:t>Before the JDA was signed, Lumenara’s own internal communications revealed a plan inconsistent with its good-faith representations. On May 15, 2022, Lumenara Program Manager Craig Bellingham wrote to Lumenara CEO Martin DeLuca that the "real value" of the collaboration was "getting our hands on their substrate tech," that Lumenara did not need Vantage’s sensor expertise, and that SensorCore™ could advance Lumenara’s own LiDAR program by more than two years. Bellingham recommended that Lumenara proceed with the JDA and give Lumenara engineer Elena Vasquez full Portal access to review Vantage’s design files.</w:t>
      </w:r>
    </w:p>
    <w:p>
      <w:pPr>
        <w:keepLines w:val="0"/>
        <w:spacing w:line="480" w:lineRule="auto" w:after="0"/>
        <w:ind w:left="461" w:hanging="461"/>
      </w:pPr>
      <w:r>
        <w:rPr>
          <w:b w:val="0"/>
        </w:rPr>
        <w:t xml:space="preserve">19. </w:t>
      </w:r>
      <w:r>
        <w:t>On May 16, 2022, DeLuca replied that he was aligned: "Let’s keep Meridian going long enough to extract what we need." DeLuca instructed Bellingham to ensure Vasquez received full Portal access from day one, to keep the rationale close-hold, and to maintain an external appearance of good faith by delivering early coating milestones and keeping the partnership warm. These communications preceded the June 1 JDA and evidence that Lumenara planned to obtain Vantage’s technology while concealing its actual purpose.</w:t>
      </w:r>
    </w:p>
    <w:p>
      <w:pPr>
        <w:keepLines w:val="0"/>
        <w:spacing w:line="480" w:lineRule="auto" w:after="0"/>
        <w:ind w:left="461" w:hanging="461"/>
      </w:pPr>
      <w:r>
        <w:rPr>
          <w:b w:val="0"/>
        </w:rPr>
        <w:t xml:space="preserve">20. </w:t>
      </w:r>
      <w:r>
        <w:t>Vantage uploaded its SensorCore™ design package to the Portal on July 15, 2022, in accordance with the JDA’s V1 schedule. The package comprised 847 files totaling approximately 2.3 gigabytes, including detailed lithographic mask layouts, doping profiles, thermal-via schematics, interconnect specifications, design data, and process-flow documentation. The files were marked "PROPRIETARY — VANTAGE MICRO SYSTEMS" and were accessible only through individually authenticated Portal accounts. Vantage disclosed them only for Project Meridian, in reliance on the MNDA and JDA restrictions.</w:t>
      </w:r>
    </w:p>
    <w:p>
      <w:pPr>
        <w:keepLines w:val="0"/>
        <w:spacing w:line="480" w:lineRule="auto" w:after="0"/>
        <w:ind w:left="461" w:hanging="461"/>
      </w:pPr>
      <w:r>
        <w:rPr>
          <w:b w:val="0"/>
        </w:rPr>
        <w:t xml:space="preserve">21. </w:t>
      </w:r>
      <w:r>
        <w:t>Portal logs identify Lumenara engineer Elena Vasquez as downloading the complete SensorCore™ package on August 9, September 2, and October 18, 2022. Those downloads occurred while Project Meridian was active. The logs record a fourth full-package download on December 12, 2023, at 2:14 a.m. UTC, as well as downloads that session of updated doping-profile and thermal-via-schematic files. That late download occurred about 420 days after Vasquez’s prior full-package download, after Lumenara had missed M3 and provided only partial, noncompliant data, and 27 days before Lumenara publicly announced LumiSense 400 at CES. On the known facts, the fourth full-package download had no legitimate Project Meridian purpose.</w:t>
      </w:r>
    </w:p>
    <w:p>
      <w:pPr>
        <w:keepLines w:val="0"/>
        <w:spacing w:line="480" w:lineRule="auto" w:after="0"/>
        <w:ind w:left="461" w:hanging="461"/>
      </w:pPr>
      <w:r>
        <w:rPr>
          <w:b w:val="0"/>
        </w:rPr>
        <w:t xml:space="preserve">22. </w:t>
      </w:r>
      <w:r>
        <w:t>The Portal records identify Vasquez as the Lumenara user who made the downloads. The records also show that Vantage CTO Rebecca Holt later reviewed SensorCore™ materials in January 2024 after observing LumiSense 400 and initiated an investigation; those Vantage views were investigative, not an authorization for Lumenara’s commercial use. The SensorCore™ downloads by Vasquez were not authorized for a separate Lumenara product program.</w:t>
      </w:r>
    </w:p>
    <w:p>
      <w:pPr>
        <w:keepLines w:val="0"/>
        <w:spacing w:line="480" w:lineRule="auto" w:after="0"/>
        <w:ind w:left="461" w:hanging="461"/>
      </w:pPr>
      <w:r>
        <w:rPr>
          <w:b w:val="0"/>
        </w:rPr>
        <w:t xml:space="preserve">23. </w:t>
      </w:r>
      <w:r>
        <w:t>Lumenara did not confine its use of SensorCore™ to Project Meridian. It developed, announced, manufactured, marketed, and sold LumiSense 400 as a standalone commercial sensor product, including a LiDAR product for applications outside the Project Module. Lumenara publicly announced LumiSense 400 on January 8, 2024, and commercially launched it on March 1, 2024. The product incorporates a substrate architecture derived from Vantage’s SensorCore™ designs. No written license, consent, or other authorization permits that use.</w:t>
      </w:r>
    </w:p>
    <w:p>
      <w:pPr>
        <w:pStyle w:val="Heading2"/>
      </w:pPr>
      <w:r>
        <w:t>Technical evidence, commercial use, and harm</w:t>
      </w:r>
    </w:p>
    <w:p>
      <w:pPr>
        <w:keepLines w:val="0"/>
        <w:spacing w:line="480" w:lineRule="auto" w:after="0"/>
        <w:ind w:left="461" w:hanging="461"/>
      </w:pPr>
      <w:r>
        <w:rPr>
          <w:b w:val="0"/>
        </w:rPr>
        <w:t xml:space="preserve">24. </w:t>
      </w:r>
      <w:r>
        <w:t>Vantage retained Dr. Franklin Ayers, a technical expert in semiconductor packaging and substrate architecture, to inspect a commercially purchased LumiSense 400 unit and compare it to SensorCore™. His May 20, 2024 report describes physical teardown, CT imaging, cross-sectioning, microscopy, measurements, and comparison with Vantage’s design materials. Dr. Ayers concluded to a reasonable degree of engineering certainty that LumiSense 400’s substrate is substantially derived from SensorCore™ and that independent development is not a plausible explanation for the totality of the similarities.</w:t>
      </w:r>
    </w:p>
    <w:p>
      <w:pPr>
        <w:keepLines w:val="0"/>
        <w:spacing w:line="480" w:lineRule="auto" w:after="0"/>
        <w:ind w:left="461" w:hanging="461"/>
      </w:pPr>
      <w:r>
        <w:rPr>
          <w:b w:val="0"/>
        </w:rPr>
        <w:t xml:space="preserve">25. </w:t>
      </w:r>
      <w:r>
        <w:t>Among other findings, Dr. Ayers identified a 14-layer copper-pillar micro-bump structure and approximately 45-micrometer pitch corresponding to SensorCore™; a radial-array thermal-via arrangement with 93% positional correspondence; and matching via dimensions, under-bump metallization, solder composition, and registration marks. He also identified matching nonfunctional cross-hair/quadrant-notch registration marks and distinctive dog-leg routing paths in multiple layers—design artifacts that serve no independent purpose in LumiSense 400 and are strong evidence that Lumenara used specific SensorCore™ design files, rather than merely developing a general concept independently.</w:t>
      </w:r>
    </w:p>
    <w:p>
      <w:pPr>
        <w:keepLines w:val="0"/>
        <w:spacing w:line="480" w:lineRule="auto" w:after="0"/>
        <w:ind w:left="461" w:hanging="461"/>
      </w:pPr>
      <w:r>
        <w:rPr>
          <w:b w:val="0"/>
        </w:rPr>
        <w:t xml:space="preserve">26. </w:t>
      </w:r>
      <w:r>
        <w:t>Dr. Ayers further concluded that LumiSense 400 practices at least the limitations of independent Claim 1 of U.S. Patent No. 11,234,567, issued to Vantage on January 10, 2023. His report identifies the claim’s requirements as at least 14 copper-pillar micro-bump interconnect layers, approximately 45-micrometer pitch, and a radial-array thermal-via pattern, and explains how the inspected unit meets each limitation. Vantage owns the patent and has not licensed Lumenara to practice it.</w:t>
      </w:r>
    </w:p>
    <w:p>
      <w:pPr>
        <w:keepLines w:val="0"/>
        <w:spacing w:line="480" w:lineRule="auto" w:after="0"/>
        <w:ind w:left="461" w:hanging="461"/>
      </w:pPr>
      <w:r>
        <w:rPr>
          <w:b w:val="0"/>
        </w:rPr>
        <w:t xml:space="preserve">27. </w:t>
      </w:r>
      <w:r>
        <w:t>The SensorCore™ trade secrets asserted here are the nonpublic technical information and compilations in the Portal package, including detailed mask layouts, doping profiles, design files, thermal-management and via-placement data, routing topologies, process-flow information, and technical parameters not generally known or readily ascertainable from the issued patent or public sources. Vantage does not claim that information disclosed in the patent itself remains secret. The value lies in the nonpublic details and their particular combination, which would materially reduce the time, cost, and uncertainty of developing a high-performance substrate architecture.</w:t>
      </w:r>
    </w:p>
    <w:p>
      <w:pPr>
        <w:keepLines w:val="0"/>
        <w:spacing w:line="480" w:lineRule="auto" w:after="0"/>
        <w:ind w:left="461" w:hanging="461"/>
      </w:pPr>
      <w:r>
        <w:rPr>
          <w:b w:val="0"/>
        </w:rPr>
        <w:t xml:space="preserve">28. </w:t>
      </w:r>
      <w:r>
        <w:t>Vantage developed and refined SensorCore™ over more than seven years of research, design, simulation, prototyping, and testing. The technology has independent economic value because competitors could obtain a substantial development and market advantage by using it without bearing those costs. The exact package and underlying technical data were not generally known or readily ascertainable by proper means.</w:t>
      </w:r>
    </w:p>
    <w:p>
      <w:pPr>
        <w:keepLines w:val="0"/>
        <w:spacing w:line="480" w:lineRule="auto" w:after="0"/>
        <w:ind w:left="461" w:hanging="461"/>
      </w:pPr>
      <w:r>
        <w:rPr>
          <w:b w:val="0"/>
        </w:rPr>
        <w:t xml:space="preserve">29. </w:t>
      </w:r>
      <w:r>
        <w:t>Vantage used reasonable measures to preserve secrecy. It marked the design files as proprietary, restricted Portal access to named users with a Project need to know, required individualized credentials, maintained access logs, and disclosed the package under the MNDA and JDA’s express non-use, confidentiality, and Background-IP protections. The MNDA expressly identifies substrate designs, lithographic masks, doping profiles, thermal schematics, and sensor architectures as Confidential Information.</w:t>
      </w:r>
    </w:p>
    <w:p>
      <w:pPr>
        <w:keepLines w:val="0"/>
        <w:spacing w:line="480" w:lineRule="auto" w:after="0"/>
        <w:ind w:left="461" w:hanging="461"/>
      </w:pPr>
      <w:r>
        <w:rPr>
          <w:b w:val="0"/>
        </w:rPr>
        <w:t xml:space="preserve">30. </w:t>
      </w:r>
      <w:r>
        <w:t>Lumenara has commercially exploited LumiSense 400. Dr. Patricia Langford, Vantage’s economic damages expert, estimates product revenue of approximately $14.2 million from March 1 through June 30, 2024. Applying her present reasonable-royalty analysis yields approximately $5.7 million through June 30, with an estimated ongoing royalty-damage rate of approximately $1.4 million per month at current revenue trends. These amounts are estimates subject to discovery, proof, and refinement; Vantage does not seek duplicative recovery under the DTSA, TUTSA, contract, and patent laws.</w:t>
      </w:r>
    </w:p>
    <w:p>
      <w:pPr>
        <w:keepLines w:val="0"/>
        <w:spacing w:line="480" w:lineRule="auto" w:after="0"/>
        <w:ind w:left="461" w:hanging="461"/>
      </w:pPr>
      <w:r>
        <w:rPr>
          <w:b w:val="0"/>
        </w:rPr>
        <w:t xml:space="preserve">31. </w:t>
      </w:r>
      <w:r>
        <w:t>Vantage also incurred approximately $3.4 million in Project Meridian resource costs. Dr. Langford presently estimates that Lumenara’s milestone breaches rendered those expenditures unrecoverable and estimates an $8.7 million lost Northfield Aerospace Solutions contract opportunity. Northfield’s procurement required environmental qualification data and production documentation that Lumenara was obligated to supply but did not deliver. Vantage was one of two finalists, and Northfield’s February 2024 award communication identified the missing qualification and production-readiness materials as the reason Vantage was not selected. The $8.7 million figure is the estimated contract opportunity value; the proper recoverable measure, including any net lost profits or probability adjustment, will be established at trial.</w:t>
      </w:r>
    </w:p>
    <w:p>
      <w:pPr>
        <w:keepLines w:val="0"/>
        <w:spacing w:line="480" w:lineRule="auto" w:after="0"/>
        <w:ind w:left="461" w:hanging="461"/>
      </w:pPr>
      <w:r>
        <w:rPr>
          <w:b w:val="0"/>
        </w:rPr>
        <w:t xml:space="preserve">32. </w:t>
      </w:r>
      <w:r>
        <w:t>Dr. Langford’s current schedule totals $18,087,500 through June 30, 2024, comprising the $3.4 million wasted-development estimate, $8.7 million lost-opportunity estimate, $5.7 million reasonable-royalty estimate, and $287,500 in expert and investigation fees. Vantage seeks the $287,500 only to the extent recoverable as litigation costs or fees under the JDA or other law, and not as a duplicative compensatory-damages item. Ongoing sales and other proven harm may increase the recoverable amount.</w:t>
      </w:r>
    </w:p>
    <w:p>
      <w:pPr>
        <w:pStyle w:val="Heading1"/>
      </w:pPr>
      <w:r>
        <w:t>COUNT I — BREACH OF JOINT DEVELOPMENT AGREEMENT</w:t>
      </w:r>
    </w:p>
    <w:p>
      <w:pPr>
        <w:keepLines w:val="0"/>
        <w:spacing w:line="480" w:lineRule="auto" w:after="0"/>
      </w:pPr>
      <w:r>
        <w:t>(Against Lumenara)</w:t>
      </w:r>
    </w:p>
    <w:p>
      <w:pPr>
        <w:keepLines w:val="0"/>
        <w:spacing w:line="480" w:lineRule="auto" w:after="0"/>
        <w:ind w:left="461" w:hanging="461"/>
      </w:pPr>
      <w:r>
        <w:rPr>
          <w:b w:val="0"/>
        </w:rPr>
        <w:t xml:space="preserve">33. </w:t>
      </w:r>
      <w:r>
        <w:t>Vantage incorporates paragraphs 1 through 32 as if fully set forth here.</w:t>
      </w:r>
    </w:p>
    <w:p>
      <w:pPr>
        <w:keepLines w:val="0"/>
        <w:spacing w:line="480" w:lineRule="auto" w:after="0"/>
        <w:ind w:left="461" w:hanging="461"/>
      </w:pPr>
      <w:r>
        <w:rPr>
          <w:b w:val="0"/>
        </w:rPr>
        <w:t xml:space="preserve">34. </w:t>
      </w:r>
      <w:r>
        <w:t>The JDA is a valid and enforceable contract supported by consideration. Vantage performed its material obligations or was excused from any further performance by Lumenara’s material breaches. Vantage committed substantial engineering resources, supplied its SensorCore™ package for the Project, and performed its assigned Project work.</w:t>
      </w:r>
    </w:p>
    <w:p>
      <w:pPr>
        <w:keepLines w:val="0"/>
        <w:spacing w:line="480" w:lineRule="auto" w:after="0"/>
        <w:ind w:left="461" w:hanging="461"/>
      </w:pPr>
      <w:r>
        <w:rPr>
          <w:b w:val="0"/>
        </w:rPr>
        <w:t xml:space="preserve">35. </w:t>
      </w:r>
      <w:r>
        <w:t>Lumenara breached the JDA in multiple independent respects. M2 required 50 prototype coated lens assemblies by March 31, 2023, and expressly provided that a late or short delivery fails the milestone. Lumenara delivered only 28 units on April 22, 2023—22 days late and only 56% of the required quantity. Lumenara thus failed M2.</w:t>
      </w:r>
    </w:p>
    <w:p>
      <w:pPr>
        <w:keepLines w:val="0"/>
        <w:spacing w:line="480" w:lineRule="auto" w:after="0"/>
        <w:ind w:left="461" w:hanging="461"/>
      </w:pPr>
      <w:r>
        <w:rPr>
          <w:b w:val="0"/>
        </w:rPr>
        <w:t xml:space="preserve">36. </w:t>
      </w:r>
      <w:r>
        <w:t>Lumenara failed M3, which required a complete package demonstrating full MIL-STD-810H compliance by September 30, 2023. Lumenara delivered no compliant M3 package by that date. The partial thermal data submitted on November 15, 2023 did not include the full required testing and did not satisfy M3 under the express acceptance criteria.</w:t>
      </w:r>
    </w:p>
    <w:p>
      <w:pPr>
        <w:keepLines w:val="0"/>
        <w:spacing w:line="480" w:lineRule="auto" w:after="0"/>
        <w:ind w:left="461" w:hanging="461"/>
      </w:pPr>
      <w:r>
        <w:rPr>
          <w:b w:val="0"/>
        </w:rPr>
        <w:t xml:space="preserve">37. </w:t>
      </w:r>
      <w:r>
        <w:t>Lumenara failed M4, which required complete production-ready coating-process documentation by March 31, 2024. Lumenara did not deliver the required documentation by that deadline. The failures of M2, M3, and M4 constitute material breaches under JDA §§ 6.2 and 6.4(c), as well as breaches of Lumenara’s obligations under §§ 2.3 and 6.1.</w:t>
      </w:r>
    </w:p>
    <w:p>
      <w:pPr>
        <w:keepLines w:val="0"/>
        <w:spacing w:line="480" w:lineRule="auto" w:after="0"/>
        <w:ind w:left="461" w:hanging="461"/>
      </w:pPr>
      <w:r>
        <w:rPr>
          <w:b w:val="0"/>
        </w:rPr>
        <w:t xml:space="preserve">38. </w:t>
      </w:r>
      <w:r>
        <w:t>Lumenara separately and materially breached JDA §§ 2.4, 4.5, 7.3, and 8.2 by using Vantage’s Background IP and Confidential Information outside Project Meridian, and by incorporating or using SensorCore™ in the separate LumiSense 400 product without Vantage’s prior express written consent. That use was expressly prohibited, including by the ban on incorporating Background IP into any product other than the Project Module and the prohibition on using it to develop, manufacture, or market a competing product. These duties survived expiration of the JDA. Lumenara also breached § 9.3 by making its express good-faith and no-conflicting-plan representations when it lacked the represented intent and plan.</w:t>
      </w:r>
    </w:p>
    <w:p>
      <w:pPr>
        <w:keepLines w:val="0"/>
        <w:spacing w:line="480" w:lineRule="auto" w:after="0"/>
        <w:ind w:left="461" w:hanging="461"/>
      </w:pPr>
      <w:r>
        <w:rPr>
          <w:b w:val="0"/>
        </w:rPr>
        <w:t xml:space="preserve">39. </w:t>
      </w:r>
      <w:r>
        <w:t>Lumenara’s breaches were material and deprived Vantage of the benefit of the bargain, including the agreed integrated, qualified module and the exclusive control of Vantage’s Background IP. Lumenara’s misuse of SensorCore™ is within the JDA’s express exceptions to liability limitations in §§ 11.1–11.3; the milestone-related damages are recoverable to the extent allowed by the Agreement and applicable law, including the exceptions for fraud, willful misconduct, and IP misuse.</w:t>
      </w:r>
    </w:p>
    <w:p>
      <w:pPr>
        <w:keepLines w:val="0"/>
        <w:spacing w:line="480" w:lineRule="auto" w:after="0"/>
        <w:ind w:left="461" w:hanging="461"/>
      </w:pPr>
      <w:r>
        <w:rPr>
          <w:b w:val="0"/>
        </w:rPr>
        <w:t xml:space="preserve">40. </w:t>
      </w:r>
      <w:r>
        <w:t>As a direct and proximate result, Vantage has suffered damages in amounts to be proven at trial, including wasted development costs presently estimated at $3.4 million; the lost Northfield business opportunity presently estimated at up to $8.7 million, subject to proof of the proper lost-profit or opportunity measure; damages for unauthorized use of Background IP; and continuing losses. Alternatively or additionally, Vantage seeks an appropriate reasonable royalty, restitution, or other measure permitted by law, without duplication.</w:t>
      </w:r>
    </w:p>
    <w:p>
      <w:pPr>
        <w:keepLines w:val="0"/>
        <w:spacing w:line="480" w:lineRule="auto" w:after="0"/>
        <w:ind w:left="461" w:hanging="461"/>
      </w:pPr>
      <w:r>
        <w:rPr>
          <w:b w:val="0"/>
        </w:rPr>
        <w:t xml:space="preserve">41. </w:t>
      </w:r>
      <w:r>
        <w:t>Vantage is entitled to equitable relief under JDA § 13.4 and applicable law to prevent continued misuse of its Background IP and Confidential Information. As the prevailing party, Vantage also seeks its reasonable attorneys’ fees, expert-witness fees, consulting fees, and litigation costs under JDA § 13.5, and fees under Texas Civil Practice &amp; Remedies Code § 38.001 to the extent applicable.</w:t>
      </w:r>
    </w:p>
    <w:p>
      <w:pPr>
        <w:pStyle w:val="Heading1"/>
      </w:pPr>
      <w:r>
        <w:t>COUNT II — MISAPPROPRIATION OF TRADE SECRETS (DTSA)</w:t>
      </w:r>
    </w:p>
    <w:p>
      <w:pPr>
        <w:keepLines w:val="0"/>
        <w:spacing w:line="480" w:lineRule="auto" w:after="0"/>
      </w:pPr>
      <w:r>
        <w:t>(18 U.S.C. § 1836; against Lumenara)</w:t>
      </w:r>
    </w:p>
    <w:p>
      <w:pPr>
        <w:keepLines w:val="0"/>
        <w:spacing w:line="480" w:lineRule="auto" w:after="0"/>
        <w:ind w:left="461" w:hanging="461"/>
      </w:pPr>
      <w:r>
        <w:rPr>
          <w:b w:val="0"/>
        </w:rPr>
        <w:t xml:space="preserve">42. </w:t>
      </w:r>
      <w:r>
        <w:t>Vantage incorporates paragraphs 1 through 32 as if fully set forth here.</w:t>
      </w:r>
    </w:p>
    <w:p>
      <w:pPr>
        <w:keepLines w:val="0"/>
        <w:spacing w:line="480" w:lineRule="auto" w:after="0"/>
        <w:ind w:left="461" w:hanging="461"/>
      </w:pPr>
      <w:r>
        <w:rPr>
          <w:b w:val="0"/>
        </w:rPr>
        <w:t xml:space="preserve">43. </w:t>
      </w:r>
      <w:r>
        <w:t>The nonpublic SensorCore™ technical information and compilation described above constitute trade secrets under 18 U.S.C. § 1839(3). They are technical information that derive independent economic value, actual and potential, from not being generally known to, and not being readily ascertainable through proper means by, persons who could obtain economic value from their disclosure or use. Vantage’s trade secrets exclude the subject matter publicly disclosed in the patent and other public sources.</w:t>
      </w:r>
    </w:p>
    <w:p>
      <w:pPr>
        <w:keepLines w:val="0"/>
        <w:spacing w:line="480" w:lineRule="auto" w:after="0"/>
        <w:ind w:left="461" w:hanging="461"/>
      </w:pPr>
      <w:r>
        <w:rPr>
          <w:b w:val="0"/>
        </w:rPr>
        <w:t xml:space="preserve">44. </w:t>
      </w:r>
      <w:r>
        <w:t>Vantage took reasonable measures to maintain secrecy, including proprietary markings, access limitations, individualized Portal credentials, logging, and contractual obligations requiring confidentiality and use only for Project Meridian. Vantage shared the trade secrets with Lumenara only under the MNDA and JDA.</w:t>
      </w:r>
    </w:p>
    <w:p>
      <w:pPr>
        <w:keepLines w:val="0"/>
        <w:spacing w:line="480" w:lineRule="auto" w:after="0"/>
        <w:ind w:left="461" w:hanging="461"/>
      </w:pPr>
      <w:r>
        <w:rPr>
          <w:b w:val="0"/>
        </w:rPr>
        <w:t xml:space="preserve">45. </w:t>
      </w:r>
      <w:r>
        <w:t>Lumenara acquired access to Vantage’s trade secrets through the parties’ confidential relationship and knew or had reason to know that Vantage disclosed them subject to duties to maintain secrecy and limit use. Lumenara’s employees downloaded the Portal files for the Project, and Lumenara used or authorized use of the information outside the Project by reproducing SensorCore™ design elements in LumiSense 400. The use was without Vantage’s consent and in violation of duties imposed by the MNDA and JDA. Lumenara’s acts constitute misappropriation under 18 U.S.C. § 1839(5), including unauthorized use by a person who knew or had reason to know of the duty limiting use.</w:t>
      </w:r>
    </w:p>
    <w:p>
      <w:pPr>
        <w:keepLines w:val="0"/>
        <w:spacing w:line="480" w:lineRule="auto" w:after="0"/>
        <w:ind w:left="461" w:hanging="461"/>
      </w:pPr>
      <w:r>
        <w:rPr>
          <w:b w:val="0"/>
        </w:rPr>
        <w:t xml:space="preserve">46. </w:t>
      </w:r>
      <w:r>
        <w:t>The use and threatened continued use concern products used in and intended for use in interstate and foreign commerce. Lumenara has commercialized LumiSense 400 and continues to manufacture, market, offer, and sell it. The December 2023 full-package download, the direct design correspondences identified by Dr. Ayers, and Lumenara’s pre-JDA internal plan support a finding of willful and malicious misappropriation.</w:t>
      </w:r>
    </w:p>
    <w:p>
      <w:pPr>
        <w:keepLines w:val="0"/>
        <w:spacing w:line="480" w:lineRule="auto" w:after="0"/>
        <w:ind w:left="461" w:hanging="461"/>
      </w:pPr>
      <w:r>
        <w:rPr>
          <w:b w:val="0"/>
        </w:rPr>
        <w:t xml:space="preserve">47. </w:t>
      </w:r>
      <w:r>
        <w:t>Lumenara’s misappropriation caused actual loss and unjust enrichment, including development-cost savings and revenues or profits attributable to use of SensorCore™. Vantage seeks the available remedies under 18 U.S.C. § 1836(b)(3)(B): damages for actual loss, unjust enrichment not included in actual-loss damages, or, in the alternative, a reasonable royalty. Vantage presently estimates reasonable-royalty damages of approximately $5.7 million through June 30, 2024, with continuing damages presently estimated at approximately $1.4 million per month, subject to proof and updated sales information.</w:t>
      </w:r>
    </w:p>
    <w:p>
      <w:pPr>
        <w:keepLines w:val="0"/>
        <w:spacing w:line="480" w:lineRule="auto" w:after="0"/>
        <w:ind w:left="461" w:hanging="461"/>
      </w:pPr>
      <w:r>
        <w:rPr>
          <w:b w:val="0"/>
        </w:rPr>
        <w:t xml:space="preserve">48. </w:t>
      </w:r>
      <w:r>
        <w:t>Vantage is entitled to an injunction preventing actual or threatened misappropriation under 18 U.S.C. § 1836(b)(3)(A), including an order preventing further unauthorized use or disclosure and requiring return or destruction of materials embodying Vantage’s trade secrets, subject to appropriate preservation obligations and the Court’s order. For willful and malicious misappropriation, Vantage seeks exemplary damages up to twice the damages awarded and reasonable attorneys’ fees under 18 U.S.C. § 1836(b)(3)(C)–(D).</w:t>
      </w:r>
    </w:p>
    <w:p>
      <w:pPr>
        <w:pStyle w:val="Heading1"/>
      </w:pPr>
      <w:r>
        <w:t>COUNT III — MISAPPROPRIATION OF TRADE SECRETS (TUTSA)</w:t>
      </w:r>
    </w:p>
    <w:p>
      <w:pPr>
        <w:keepLines w:val="0"/>
        <w:spacing w:line="480" w:lineRule="auto" w:after="0"/>
      </w:pPr>
      <w:r>
        <w:t>(Tex. Civ. Prac. &amp; Rem. Code ch. 134A; against Lumenara)</w:t>
      </w:r>
    </w:p>
    <w:p>
      <w:pPr>
        <w:keepLines w:val="0"/>
        <w:spacing w:line="480" w:lineRule="auto" w:after="0"/>
        <w:ind w:left="461" w:hanging="461"/>
      </w:pPr>
      <w:r>
        <w:rPr>
          <w:b w:val="0"/>
        </w:rPr>
        <w:t xml:space="preserve">49. </w:t>
      </w:r>
      <w:r>
        <w:t>Vantage incorporates paragraphs 1 through 32 as if fully set forth here.</w:t>
      </w:r>
    </w:p>
    <w:p>
      <w:pPr>
        <w:keepLines w:val="0"/>
        <w:spacing w:line="480" w:lineRule="auto" w:after="0"/>
        <w:ind w:left="461" w:hanging="461"/>
      </w:pPr>
      <w:r>
        <w:rPr>
          <w:b w:val="0"/>
        </w:rPr>
        <w:t xml:space="preserve">50. </w:t>
      </w:r>
      <w:r>
        <w:t>The nonpublic SensorCore™ technical information and compilation described in Count II constitute trade secrets under Tex. Civ. Prac. &amp; Rem. Code § 134A.002(6). Vantage derived independent economic value from their secrecy and took reasonable measures to maintain that secrecy, as alleged above.</w:t>
      </w:r>
    </w:p>
    <w:p>
      <w:pPr>
        <w:keepLines w:val="0"/>
        <w:spacing w:line="480" w:lineRule="auto" w:after="0"/>
        <w:ind w:left="461" w:hanging="461"/>
      </w:pPr>
      <w:r>
        <w:rPr>
          <w:b w:val="0"/>
        </w:rPr>
        <w:t xml:space="preserve">51. </w:t>
      </w:r>
      <w:r>
        <w:t>Lumenara acquired the trade secrets under circumstances imposing a duty to limit their use, then used them without Vantage’s consent by incorporating the specific SensorCore™ architecture and file-specific design features into LumiSense 400. Lumenara knew or had reason to know that its use was unauthorized and that the information was acquired subject to confidentiality and use restrictions. This constitutes misappropriation under § 134A.002(3). The Portal was hosted and administered by Vantage in Austin, and the misappropriation includes access to, acquisition, and use of the trade secrets in connection with a Texas-based collaboration and commercial product development. Vantage pleads TUTSA as applicable to the Texas conduct and in the alternative to the DTSA claim.</w:t>
      </w:r>
    </w:p>
    <w:p>
      <w:pPr>
        <w:keepLines w:val="0"/>
        <w:spacing w:line="480" w:lineRule="auto" w:after="0"/>
        <w:ind w:left="461" w:hanging="461"/>
      </w:pPr>
      <w:r>
        <w:rPr>
          <w:b w:val="0"/>
        </w:rPr>
        <w:t xml:space="preserve">52. </w:t>
      </w:r>
      <w:r>
        <w:t>Vantage has suffered actual loss and Lumenara has been unjustly enriched. Vantage seeks damages under § 134A.004(a), including actual loss and unjust enrichment not otherwise included, or alternatively a reasonable royalty for no longer than the period of unauthorized use. Vantage also seeks injunctive relief under § 134A.003, exemplary damages of up to twice the damages awarded for willful and malicious misappropriation under § 134A.004(b), and reasonable attorneys’ fees under § 134A.005(3). No remedy is sought twice for the same injury.</w:t>
      </w:r>
    </w:p>
    <w:p>
      <w:pPr>
        <w:pStyle w:val="Heading1"/>
      </w:pPr>
      <w:r>
        <w:t>COUNT IV — BREACH OF MUTUAL NON-DISCLOSURE AGREEMENT</w:t>
      </w:r>
    </w:p>
    <w:p>
      <w:pPr>
        <w:keepLines w:val="0"/>
        <w:spacing w:line="480" w:lineRule="auto" w:after="0"/>
      </w:pPr>
      <w:r>
        <w:t>(Against Lumenara)</w:t>
      </w:r>
    </w:p>
    <w:p>
      <w:pPr>
        <w:keepLines w:val="0"/>
        <w:spacing w:line="480" w:lineRule="auto" w:after="0"/>
        <w:ind w:left="461" w:hanging="461"/>
      </w:pPr>
      <w:r>
        <w:rPr>
          <w:b w:val="0"/>
        </w:rPr>
        <w:t xml:space="preserve">53. </w:t>
      </w:r>
      <w:r>
        <w:t>Vantage incorporates paragraphs 1 through 32 as if fully set forth here.</w:t>
      </w:r>
    </w:p>
    <w:p>
      <w:pPr>
        <w:keepLines w:val="0"/>
        <w:spacing w:line="480" w:lineRule="auto" w:after="0"/>
        <w:ind w:left="461" w:hanging="461"/>
      </w:pPr>
      <w:r>
        <w:rPr>
          <w:b w:val="0"/>
        </w:rPr>
        <w:t xml:space="preserve">54. </w:t>
      </w:r>
      <w:r>
        <w:t>The MNDA is a valid and enforceable contract supported by consideration. Vantage performed its obligations, including disclosing selected SensorCore™ information for the stated Purpose and protecting Lumenara’s Confidential Information under the parties’ reciprocal terms.</w:t>
      </w:r>
    </w:p>
    <w:p>
      <w:pPr>
        <w:keepLines w:val="0"/>
        <w:spacing w:line="480" w:lineRule="auto" w:after="0"/>
        <w:ind w:left="461" w:hanging="461"/>
      </w:pPr>
      <w:r>
        <w:rPr>
          <w:b w:val="0"/>
        </w:rPr>
        <w:t xml:space="preserve">55. </w:t>
      </w:r>
      <w:r>
        <w:t>SensorCore™ substrate designs, lithographic layouts, doping profiles, thermal-management schematics, and related technical documentation are expressly within the MNDA’s definition of Confidential Information. The information was disclosed for the Purpose of evaluating and pursuing the parties’ business relationship and joint development activities, and then for Project Meridian under the JDA’s incorporation of the MNDA.</w:t>
      </w:r>
    </w:p>
    <w:p>
      <w:pPr>
        <w:keepLines w:val="0"/>
        <w:spacing w:line="480" w:lineRule="auto" w:after="0"/>
        <w:ind w:left="461" w:hanging="461"/>
      </w:pPr>
      <w:r>
        <w:rPr>
          <w:b w:val="0"/>
        </w:rPr>
        <w:t xml:space="preserve">56. </w:t>
      </w:r>
      <w:r>
        <w:t>Lumenara breached MNDA §§ 3.2 and 3.4 by using SensorCore™ information to develop, manufacture, market, and sell LumiSense 400 outside the Purpose, and by using or reproducing the underlying structure and design information without authorization. Lumenara’s use of the files in a standalone commercial product was not a Project Meridian activity and was not an authorized reverse-engineering or other use. To the extent discovery shows that Lumenara disclosed the information or failed to take reasonable measures to prevent its unauthorized use, that conduct also breached MNDA §§ 3.1 and 3.3.</w:t>
      </w:r>
    </w:p>
    <w:p>
      <w:pPr>
        <w:keepLines w:val="0"/>
        <w:spacing w:line="480" w:lineRule="auto" w:after="0"/>
        <w:ind w:left="461" w:hanging="461"/>
      </w:pPr>
      <w:r>
        <w:rPr>
          <w:b w:val="0"/>
        </w:rPr>
        <w:t xml:space="preserve">57. </w:t>
      </w:r>
      <w:r>
        <w:t>Lumenara’s breach caused Vantage actual damages, including reasonable-royalty damages, lost competitive advantage, and other losses to be proven at trial. Vantage seeks damages, appropriate injunctive relief under MNDA § 8.1, and attorneys’ fees under Texas Civil Practice &amp; Remedies Code § 38.001 to the extent available. Vantage will not recover duplicative damages for the same use under the MNDA, JDA, or trade-secret statutes.</w:t>
      </w:r>
    </w:p>
    <w:p>
      <w:pPr>
        <w:pStyle w:val="Heading1"/>
      </w:pPr>
      <w:r>
        <w:t>COUNT V — PATENT INFRINGEMENT</w:t>
      </w:r>
    </w:p>
    <w:p>
      <w:pPr>
        <w:keepLines w:val="0"/>
        <w:spacing w:line="480" w:lineRule="auto" w:after="0"/>
      </w:pPr>
      <w:r>
        <w:t>(35 U.S.C. §§ 271, 281; against Lumenara)</w:t>
      </w:r>
    </w:p>
    <w:p>
      <w:pPr>
        <w:keepLines w:val="0"/>
        <w:spacing w:line="480" w:lineRule="auto" w:after="0"/>
        <w:ind w:left="461" w:hanging="461"/>
      </w:pPr>
      <w:r>
        <w:rPr>
          <w:b w:val="0"/>
        </w:rPr>
        <w:t xml:space="preserve">58. </w:t>
      </w:r>
      <w:r>
        <w:t>Vantage incorporates paragraphs 1 through 32 as if fully set forth here.</w:t>
      </w:r>
    </w:p>
    <w:p>
      <w:pPr>
        <w:keepLines w:val="0"/>
        <w:spacing w:line="480" w:lineRule="auto" w:after="0"/>
        <w:ind w:left="461" w:hanging="461"/>
      </w:pPr>
      <w:r>
        <w:rPr>
          <w:b w:val="0"/>
        </w:rPr>
        <w:t xml:space="preserve">59. </w:t>
      </w:r>
      <w:r>
        <w:t>Vantage owns all right, title, and interest in U.S. Patent No. 11,234,567, entitled "Multi-Layer Copper-Pillar Micro-Bump Interconnect Architecture for Integrated Optical Sensor Substrates," which issued on January 10, 2023 (the "’567 patent"). The patent is valid and enforceable. SensorCore™ is Vantage Background IP, and the JDA grants no license to practice the ’567 patent in a standalone Lumenara product. Lumenara has never received a license or authorization to practice the asserted patent claims.</w:t>
      </w:r>
    </w:p>
    <w:p>
      <w:pPr>
        <w:keepLines w:val="0"/>
        <w:spacing w:line="480" w:lineRule="auto" w:after="0"/>
        <w:ind w:left="461" w:hanging="461"/>
      </w:pPr>
      <w:r>
        <w:rPr>
          <w:b w:val="0"/>
        </w:rPr>
        <w:t xml:space="preserve">60. </w:t>
      </w:r>
      <w:r>
        <w:t>Lumenara has directly infringed, and continues to infringe, at least Claim 1 of the ’567 patent, literally and/or under the doctrine of equivalents, by making, using, offering to sell, and selling LumiSense 400 products in the United States without authority, in violation of 35 U.S.C. § 271(a). The product’s use of the patented substrate architecture is outside Project Meridian and any license under the MNDA or JDA.</w:t>
      </w:r>
    </w:p>
    <w:p>
      <w:pPr>
        <w:keepLines w:val="0"/>
        <w:spacing w:line="480" w:lineRule="auto" w:after="0"/>
        <w:ind w:left="461" w:hanging="461"/>
      </w:pPr>
      <w:r>
        <w:rPr>
          <w:b w:val="0"/>
        </w:rPr>
        <w:t xml:space="preserve">61. </w:t>
      </w:r>
      <w:r>
        <w:t>Dr. Ayers inspected a LumiSense 400 unit and concluded that it contains each Claim 1 feature: at least 14 copper-pillar micro-bump interconnect layers; a micro-bump pitch of approximately 45 micrometers; and a radial-array thermal-via pattern. The measured architecture and additional corresponding features are set out in his May 20, 2024 report. Vantage will prove infringement through the patent, product inspection, expert testimony, and discovery.</w:t>
      </w:r>
    </w:p>
    <w:p>
      <w:pPr>
        <w:keepLines w:val="0"/>
        <w:spacing w:line="480" w:lineRule="auto" w:after="0"/>
        <w:ind w:left="461" w:hanging="461"/>
      </w:pPr>
      <w:r>
        <w:rPr>
          <w:b w:val="0"/>
        </w:rPr>
        <w:t xml:space="preserve">62. </w:t>
      </w:r>
      <w:r>
        <w:t>Lumenara knew or should have known that SensorCore™ was Vantage’s protected technology: it received marked files under agreements that prohibit unauthorized use, and its product reproduces distinctive design features. The evidence supports willful infringement, including after the ’567 patent issued, and supports enhanced damages under 35 U.S.C. § 284 to the extent warranted by the proof.</w:t>
      </w:r>
    </w:p>
    <w:p>
      <w:pPr>
        <w:keepLines w:val="0"/>
        <w:spacing w:line="480" w:lineRule="auto" w:after="0"/>
        <w:ind w:left="461" w:hanging="461"/>
      </w:pPr>
      <w:r>
        <w:rPr>
          <w:b w:val="0"/>
        </w:rPr>
        <w:t xml:space="preserve">63. </w:t>
      </w:r>
      <w:r>
        <w:t>Vantage has suffered and continues to suffer damages from infringement, including no less than a reasonable royalty under 35 U.S.C. § 284, in an amount to be determined at trial. Vantage seeks damages for infringement through judgment, including ongoing royalties as allowed by law, an injunction under 35 U.S.C. § 283 against further infringement if the equitable requirements are met, pre- and post-judgment interest, and its reasonable attorneys’ fees in an exceptional case under 35 U.S.C. § 285. Patent damages will not duplicate amounts awarded for the same conduct under other counts.</w:t>
      </w:r>
    </w:p>
    <w:p>
      <w:pPr>
        <w:pStyle w:val="Heading1"/>
      </w:pPr>
      <w:r>
        <w:t>COUNT VI — FRAUDULENT INDUCEMENT</w:t>
      </w:r>
    </w:p>
    <w:p>
      <w:pPr>
        <w:keepLines w:val="0"/>
        <w:spacing w:line="480" w:lineRule="auto" w:after="0"/>
      </w:pPr>
      <w:r>
        <w:t>(Texas common law; against Lumenara)</w:t>
      </w:r>
    </w:p>
    <w:p>
      <w:pPr>
        <w:keepLines w:val="0"/>
        <w:spacing w:line="480" w:lineRule="auto" w:after="0"/>
        <w:ind w:left="461" w:hanging="461"/>
      </w:pPr>
      <w:r>
        <w:rPr>
          <w:b w:val="0"/>
        </w:rPr>
        <w:t xml:space="preserve">64. </w:t>
      </w:r>
      <w:r>
        <w:t>Vantage incorporates paragraphs 1 through 32 as if fully set forth here.</w:t>
      </w:r>
    </w:p>
    <w:p>
      <w:pPr>
        <w:keepLines w:val="0"/>
        <w:spacing w:line="480" w:lineRule="auto" w:after="0"/>
        <w:ind w:left="461" w:hanging="461"/>
      </w:pPr>
      <w:r>
        <w:rPr>
          <w:b w:val="0"/>
        </w:rPr>
        <w:t xml:space="preserve">65. </w:t>
      </w:r>
      <w:r>
        <w:t>In the JDA, executed June 1, 2022, Lumenara—through its authorized CEO, Martin DeLuca—made the specific representation in § 9.3 that Lumenara was entering the Agreement in good faith with genuine intent to perform its obligations and devote the resources necessary to achieve the Project Objective, had no present intention or plan to use the collaboration for any purpose other than the Project, and had no arrangement that would undermine the collaboration. These representations were made to Vantage in the written JDA as part of the parties’ execution of that agreement.</w:t>
      </w:r>
    </w:p>
    <w:p>
      <w:pPr>
        <w:keepLines w:val="0"/>
        <w:spacing w:line="480" w:lineRule="auto" w:after="0"/>
        <w:ind w:left="461" w:hanging="461"/>
      </w:pPr>
      <w:r>
        <w:rPr>
          <w:b w:val="0"/>
        </w:rPr>
        <w:t xml:space="preserve">66. </w:t>
      </w:r>
      <w:r>
        <w:t>When Lumenara made those representations, they were false. Bellingham’s May 15, 2022 email to DeLuca described the goal as getting access to Vantage’s substrate technology, stated that Lumenara did not need Vantage’s sensor expertise, and recommended using the Portal to review SensorCore™. DeLuca’s May 16 response expressly agreed to continue Meridian "long enough to extract what we need," directed that Vasquez receive full Portal access, and instructed that the strategy be concealed while Lumenara outwardly demonstrated good faith and delivered early milestones. These contemporaneous communications identify the speakers, dates, content, and concealed purpose underlying the misrepresentations.</w:t>
      </w:r>
    </w:p>
    <w:p>
      <w:pPr>
        <w:keepLines w:val="0"/>
        <w:spacing w:line="480" w:lineRule="auto" w:after="0"/>
        <w:ind w:left="461" w:hanging="461"/>
      </w:pPr>
      <w:r>
        <w:rPr>
          <w:b w:val="0"/>
        </w:rPr>
        <w:t xml:space="preserve">67. </w:t>
      </w:r>
      <w:r>
        <w:t>Lumenara knew the representations were false or made them recklessly, intended that Vantage rely on them in signing the JDA and providing access to its SensorCore™ Background IP, and concealed its contrary plan. Vantage justifiably relied by executing the JDA, uploading the 847-file package, and committing approximately $3.4 million in resources. Had Lumenara disclosed its plan, Vantage would not have granted access or entered the collaboration on those terms.</w:t>
      </w:r>
    </w:p>
    <w:p>
      <w:pPr>
        <w:keepLines w:val="0"/>
        <w:spacing w:line="480" w:lineRule="auto" w:after="0"/>
        <w:ind w:left="461" w:hanging="461"/>
      </w:pPr>
      <w:r>
        <w:rPr>
          <w:b w:val="0"/>
        </w:rPr>
        <w:t xml:space="preserve">68. </w:t>
      </w:r>
      <w:r>
        <w:t>Lumenara’s fraudulent inducement caused injury independent of the mere failure to perform, including exposure and commercial exploitation of Vantage’s proprietary technology, loss of control over its competitive advantage, development-cost injury, and other actual damages to be proven. Vantage seeks actual damages, exemplary damages under Tex. Civ. Prac. &amp; Rem. Code § 41.003 upon the required proof, and all other relief allowed by law. The JDA expressly excludes fraud and intentional misrepresentation from its damages limitations. Any recovery will be subject to the prohibition against duplicative awards.</w:t>
      </w:r>
    </w:p>
    <w:p>
      <w:pPr>
        <w:pStyle w:val="Heading1"/>
      </w:pPr>
      <w:r>
        <w:t>COUNT VII — UNJUST ENRICHMENT (ALTERNATIVE)</w:t>
      </w:r>
    </w:p>
    <w:p>
      <w:pPr>
        <w:keepLines w:val="0"/>
        <w:spacing w:line="480" w:lineRule="auto" w:after="0"/>
      </w:pPr>
      <w:r>
        <w:t>(Texas law; against Lumenara)</w:t>
      </w:r>
    </w:p>
    <w:p>
      <w:pPr>
        <w:keepLines w:val="0"/>
        <w:spacing w:line="480" w:lineRule="auto" w:after="0"/>
        <w:ind w:left="461" w:hanging="461"/>
      </w:pPr>
      <w:r>
        <w:rPr>
          <w:b w:val="0"/>
        </w:rPr>
        <w:t xml:space="preserve">69. </w:t>
      </w:r>
      <w:r>
        <w:t>Vantage incorporates paragraphs 1 through 32 as if fully set forth here.</w:t>
      </w:r>
    </w:p>
    <w:p>
      <w:pPr>
        <w:keepLines w:val="0"/>
        <w:spacing w:line="480" w:lineRule="auto" w:after="0"/>
        <w:ind w:left="461" w:hanging="461"/>
      </w:pPr>
      <w:r>
        <w:rPr>
          <w:b w:val="0"/>
        </w:rPr>
        <w:t xml:space="preserve">70. </w:t>
      </w:r>
      <w:r>
        <w:t>Pursuant to Federal Rule of Civil Procedure 8(d), Vantage pleads unjust enrichment in the alternative, only to the extent the Court determines that an enforceable contract does not govern a particular benefit or that the contractual and statutory remedies do not provide a remedy for that benefit. Vantage does not seek an equitable recovery duplicating its contract or trade-secret remedies, and pleads this count only to the extent it is not displaced by TUTSA or other law.</w:t>
      </w:r>
    </w:p>
    <w:p>
      <w:pPr>
        <w:keepLines w:val="0"/>
        <w:spacing w:line="480" w:lineRule="auto" w:after="0"/>
        <w:ind w:left="461" w:hanging="461"/>
      </w:pPr>
      <w:r>
        <w:rPr>
          <w:b w:val="0"/>
        </w:rPr>
        <w:t xml:space="preserve">71. </w:t>
      </w:r>
      <w:r>
        <w:t>Lumenara obtained and retained the substantial benefit of access to Vantage’s SensorCore™ design package and the development time, cost savings, and commercial value resulting from its use in LumiSense 400. Vantage conferred that benefit only for the restricted purpose of Project Meridian and reasonably expected Lumenara to honor the use restrictions. Lumenara’s retention and commercial exploitation of that benefit without authorization or compensation would be unjust.</w:t>
      </w:r>
    </w:p>
    <w:p>
      <w:pPr>
        <w:keepLines w:val="0"/>
        <w:spacing w:line="480" w:lineRule="auto" w:after="0"/>
        <w:ind w:left="461" w:hanging="461"/>
      </w:pPr>
      <w:r>
        <w:rPr>
          <w:b w:val="0"/>
        </w:rPr>
        <w:t xml:space="preserve">72. </w:t>
      </w:r>
      <w:r>
        <w:t>If no contract or other claim affords relief for the benefit at issue, Vantage seeks restitution or disgorgement measured by the value of the benefit unjustly retained, including an accounting of revenue and profits attributable to the use, subject to proof, applicable preemption rules, and no double recovery.</w:t>
      </w:r>
    </w:p>
    <w:p>
      <w:pPr>
        <w:pStyle w:val="Heading1"/>
      </w:pPr>
      <w:r>
        <w:t>PRAYER FOR RELIEF</w:t>
      </w:r>
    </w:p>
    <w:p>
      <w:pPr>
        <w:keepLines w:val="0"/>
        <w:spacing w:line="480" w:lineRule="auto" w:after="0"/>
      </w:pPr>
      <w:r>
        <w:t>WHEREFORE, Vantage Micro Systems, Inc. requests that judgment be entered in its favor and against Lumenara Optics Corporation as follows:</w:t>
      </w:r>
    </w:p>
    <w:p>
      <w:pPr>
        <w:spacing w:line="480" w:lineRule="auto"/>
        <w:ind w:left="936" w:hanging="403"/>
      </w:pPr>
      <w:r>
        <w:rPr>
          <w:b/>
        </w:rPr>
        <w:t xml:space="preserve">A. </w:t>
      </w:r>
      <w:r>
        <w:t>Compensatory damages in an amount to be proven at trial, including damages for breach of the JDA and MNDA, fraudulent inducement, trade-secret misappropriation, and patent infringement; currently estimated at approximately $17.8 million through June 30, 2024 for wasted development costs, the Northfield opportunity, and reasonable royalty, subject to proof, contract limitations and exceptions, and no double recovery;</w:t>
      </w:r>
    </w:p>
    <w:p>
      <w:pPr>
        <w:spacing w:line="480" w:lineRule="auto"/>
        <w:ind w:left="936" w:hanging="403"/>
      </w:pPr>
      <w:r>
        <w:rPr>
          <w:b/>
        </w:rPr>
        <w:t xml:space="preserve">B. </w:t>
      </w:r>
      <w:r>
        <w:t>A reasonable royalty, actual-loss damages, and/or unjust-enrichment damages under the DTSA and TUTSA, and damages under 35 U.S.C. § 284, including continuing damages through judgment, without duplicating recovery for the same injury;</w:t>
      </w:r>
    </w:p>
    <w:p>
      <w:pPr>
        <w:spacing w:line="480" w:lineRule="auto"/>
        <w:ind w:left="936" w:hanging="403"/>
      </w:pPr>
      <w:r>
        <w:rPr>
          <w:b/>
        </w:rPr>
        <w:t xml:space="preserve">C. </w:t>
      </w:r>
      <w:r>
        <w:t>Restitution or disgorgement of Lumenara’s unjustly retained benefits, if and to the extent equitable relief is available and not duplicative or displaced by contract or statute;</w:t>
      </w:r>
    </w:p>
    <w:p>
      <w:pPr>
        <w:spacing w:line="480" w:lineRule="auto"/>
        <w:ind w:left="936" w:hanging="403"/>
      </w:pPr>
      <w:r>
        <w:rPr>
          <w:b/>
        </w:rPr>
        <w:t xml:space="preserve">D. </w:t>
      </w:r>
      <w:r>
        <w:t>Preliminary and permanent injunctive relief, as supported by the evidence and equitable factors, prohibiting unauthorized use or disclosure of Vantage’s SensorCore™ trade secrets and infringement of the ’567 patent; requiring return or destruction of Vantage’s confidential technical materials, subject to lawful preservation duties; and enjoining manufacture, use, offers for sale, or sale of LumiSense 400 to the extent it embodies Vantage’s trade secrets or practices the ’567 patent;</w:t>
      </w:r>
    </w:p>
    <w:p>
      <w:pPr>
        <w:spacing w:line="480" w:lineRule="auto"/>
        <w:ind w:left="936" w:hanging="403"/>
      </w:pPr>
      <w:r>
        <w:rPr>
          <w:b/>
        </w:rPr>
        <w:t xml:space="preserve">E. </w:t>
      </w:r>
      <w:r>
        <w:t>Exemplary damages under the DTSA and TUTSA for willful and malicious misappropriation, up to the statutory limits; enhanced patent-infringement damages under 35 U.S.C. § 284 if warranted; and exemplary damages for fraud under Texas law, in each case as permitted by law and without duplicative enhancement;</w:t>
      </w:r>
    </w:p>
    <w:p>
      <w:pPr>
        <w:spacing w:line="480" w:lineRule="auto"/>
        <w:ind w:left="936" w:hanging="403"/>
      </w:pPr>
      <w:r>
        <w:rPr>
          <w:b/>
        </w:rPr>
        <w:t xml:space="preserve">F. </w:t>
      </w:r>
      <w:r>
        <w:t>Reasonable attorneys’ fees, expert-witness fees, consulting fees, and litigation costs under JDA § 13.5, 18 U.S.C. § 1836(b)(3)(D), Tex. Civ. Prac. &amp; Rem. Code §§ 38.001 and 134A.005, 35 U.S.C. § 285 where applicable, and other law;</w:t>
      </w:r>
    </w:p>
    <w:p>
      <w:pPr>
        <w:spacing w:line="480" w:lineRule="auto"/>
        <w:ind w:left="936" w:hanging="403"/>
      </w:pPr>
      <w:r>
        <w:rPr>
          <w:b/>
        </w:rPr>
        <w:t xml:space="preserve">G. </w:t>
      </w:r>
      <w:r>
        <w:t>Prejudgment and post-judgment interest as allowed by law; costs of suit; and such other and further legal or equitable relief as the Court deems just and proper.</w:t>
      </w:r>
    </w:p>
    <w:p>
      <w:pPr>
        <w:pStyle w:val="Heading1"/>
      </w:pPr>
      <w:r>
        <w:t>JURY DEMAND</w:t>
      </w:r>
    </w:p>
    <w:p>
      <w:pPr>
        <w:keepLines w:val="0"/>
        <w:spacing w:line="480" w:lineRule="auto" w:after="0"/>
        <w:ind w:left="461" w:hanging="461"/>
      </w:pPr>
      <w:r>
        <w:rPr>
          <w:b w:val="0"/>
        </w:rPr>
        <w:t xml:space="preserve">73. </w:t>
      </w:r>
      <w:r>
        <w:t>Vantage demands a trial by jury on all issues so triable. To the extent the Court determines that JDA § 13.3’s jury-trial waiver applies to any claim or issue, Vantage preserves its position as to the waiver’s enforceability and scope and demands a jury on all claims and issues not subject to an enforceable waiver.</w:t>
      </w:r>
    </w:p>
    <w:p>
      <w:pPr>
        <w:pStyle w:val="Heading2"/>
      </w:pPr>
      <w:r>
        <w:t>Respectfully submitted,</w:t>
      </w:r>
    </w:p>
    <w:p>
      <w:pPr>
        <w:spacing w:line="276" w:lineRule="auto" w:after="0"/>
      </w:pPr>
      <w:r>
        <w:rPr>
          <w:rFonts w:ascii="Times New Roman" w:hAnsi="Times New Roman"/>
          <w:b/>
          <w:sz w:val="24"/>
        </w:rPr>
        <w:t>STONEBRIDGE &amp; WHITAKER LLP</w:t>
      </w:r>
    </w:p>
    <w:p>
      <w:pPr>
        <w:spacing w:line="276" w:lineRule="auto" w:after="0"/>
      </w:pPr>
      <w:r>
        <w:rPr>
          <w:rFonts w:ascii="Times New Roman" w:hAnsi="Times New Roman"/>
          <w:sz w:val="24"/>
        </w:rPr>
        <w:t>600 Congress Avenue, Suite 2400</w:t>
      </w:r>
    </w:p>
    <w:p>
      <w:pPr>
        <w:spacing w:line="276" w:lineRule="auto" w:after="0"/>
      </w:pPr>
      <w:r>
        <w:rPr>
          <w:rFonts w:ascii="Times New Roman" w:hAnsi="Times New Roman"/>
          <w:sz w:val="24"/>
        </w:rPr>
        <w:t>Austin, Texas 78701</w:t>
      </w:r>
    </w:p>
    <w:p>
      <w:pPr>
        <w:spacing w:line="276" w:lineRule="auto" w:after="0"/>
      </w:pPr>
      <w:r>
        <w:rPr>
          <w:rFonts w:ascii="Times New Roman" w:hAnsi="Times New Roman"/>
          <w:sz w:val="24"/>
        </w:rPr>
      </w:r>
    </w:p>
    <w:p>
      <w:pPr>
        <w:spacing w:line="276" w:lineRule="auto" w:after="0"/>
      </w:pPr>
      <w:r>
        <w:rPr>
          <w:rFonts w:ascii="Times New Roman" w:hAnsi="Times New Roman"/>
          <w:sz w:val="24"/>
        </w:rPr>
        <w:t>By: /s/ Sarah Caldwell</w:t>
      </w:r>
    </w:p>
    <w:p>
      <w:pPr>
        <w:spacing w:line="276" w:lineRule="auto" w:after="0"/>
      </w:pPr>
      <w:r>
        <w:rPr>
          <w:rFonts w:ascii="Times New Roman" w:hAnsi="Times New Roman"/>
          <w:sz w:val="24"/>
        </w:rPr>
        <w:t xml:space="preserve">    Sarah Caldwell</w:t>
      </w:r>
    </w:p>
    <w:p>
      <w:pPr>
        <w:spacing w:line="276" w:lineRule="auto" w:after="0"/>
      </w:pPr>
      <w:r>
        <w:rPr>
          <w:rFonts w:ascii="Times New Roman" w:hAnsi="Times New Roman"/>
          <w:sz w:val="24"/>
        </w:rPr>
        <w:t xml:space="preserve">    State Bar No. [to be supplied]</w:t>
      </w:r>
    </w:p>
    <w:p>
      <w:pPr>
        <w:spacing w:line="276" w:lineRule="auto" w:after="0"/>
      </w:pPr>
      <w:r>
        <w:rPr>
          <w:rFonts w:ascii="Times New Roman" w:hAnsi="Times New Roman"/>
          <w:sz w:val="24"/>
        </w:rPr>
        <w:t xml:space="preserve">    Attorney for Defendant and Counterclaim Plaintiff</w:t>
      </w:r>
    </w:p>
    <w:p>
      <w:pPr>
        <w:spacing w:line="276" w:lineRule="auto" w:after="0"/>
      </w:pPr>
      <w:r>
        <w:rPr>
          <w:rFonts w:ascii="Times New Roman" w:hAnsi="Times New Roman"/>
          <w:sz w:val="24"/>
        </w:rPr>
        <w:t xml:space="preserve">    Vantage Micro Systems, Inc.</w:t>
      </w:r>
    </w:p>
    <w:sectPr w:rsidR="00FC693F" w:rsidRPr="0006063C" w:rsidSect="00034616">
      <w:headerReference w:type="default" r:id="rId9"/>
      <w:footerReference w:type="default" r:id="rId10"/>
      <w:pgSz w:w="12240" w:h="15840"/>
      <w:pgMar w:top="1224" w:right="1440" w:bottom="1152"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i/>
        <w:sz w:val="18"/>
      </w:rPr>
      <w:t>VANTAGE MICRO SYSTEMS, INC.'S COUNTERCLAIMS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center"/>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80" w:after="60" w:line="240" w:lineRule="auto"/>
      <w:jc w:val="left"/>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Vantage Micro Systems, Inc.'s Counterclaims Against Lumenara Optics Corporation</dc:title>
  <dc:subject>Counterclaim pleading in Lumenara Optics Corp. v. Vantage Micro Systems, Inc.</dc:subject>
  <dc:creator>Draft for counsel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