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1F4E67"/>
          <w:sz w:val="24"/>
        </w:rPr>
        <w:t>WHITAKER &amp; COLTON LLP</w:t>
      </w:r>
    </w:p>
    <w:p>
      <w:pPr>
        <w:spacing w:after="200"/>
        <w:jc w:val="center"/>
      </w:pPr>
      <w:r>
        <w:rPr>
          <w:rFonts w:ascii="Arial" w:hAnsi="Arial"/>
          <w:b/>
          <w:color w:val="1F4E67"/>
          <w:sz w:val="32"/>
        </w:rPr>
        <w:t>CONFIDENTIAL CASE ASSESSMENT</w:t>
      </w:r>
    </w:p>
    <w:tbl>
      <w:tblPr>
        <w:tblW w:type="auto" w:w="0"/>
        <w:jc w:val="center"/>
        <w:tblLayout w:type="fixed"/>
        <w:tblLook w:firstColumn="1" w:firstRow="1" w:lastColumn="0" w:lastRow="0" w:noHBand="0" w:noVBand="1" w:val="04A0"/>
        <w:tblBorders>
          <w:top w:val="single" w:sz="4" w:space="0" w:color="D3DEE4"/>
          <w:left w:val="single" w:sz="4" w:space="0" w:color="D3DEE4"/>
          <w:bottom w:val="single" w:sz="4" w:space="0" w:color="D3DEE4"/>
          <w:right w:val="single" w:sz="4" w:space="0" w:color="D3DEE4"/>
          <w:insideH w:val="single" w:sz="4" w:space="0" w:color="D3DEE4"/>
          <w:insideV w:val="single" w:sz="4" w:space="0" w:color="D3DEE4"/>
        </w:tblBorders>
      </w:tblPr>
      <w:tblGrid>
        <w:gridCol w:w="1440"/>
        <w:gridCol w:w="8856"/>
      </w:tblGrid>
      <w:tr>
        <w:tc>
          <w:tcPr>
            <w:tcW w:type="dxa" w:w="1440"/>
            <w:vAlign w:val="center"/>
            <w:tcMar>
              <w:top w:w="90" w:type="dxa"/>
              <w:start w:w="100" w:type="dxa"/>
              <w:bottom w:w="90" w:type="dxa"/>
              <w:end w:w="100" w:type="dxa"/>
            </w:tcMar>
            <w:shd w:fill="E8F0F4"/>
          </w:tcPr>
          <w:p>
            <w:pPr>
              <w:spacing w:after="0"/>
            </w:pPr>
            <w:r/>
            <w:r>
              <w:rPr>
                <w:rFonts w:ascii="Arial" w:hAnsi="Arial"/>
                <w:b/>
                <w:color w:val="1F4E67"/>
                <w:sz w:val="18"/>
              </w:rPr>
              <w:t>TO</w:t>
            </w:r>
          </w:p>
        </w:tc>
        <w:tc>
          <w:tcPr>
            <w:tcW w:type="dxa" w:w="8856"/>
            <w:vAlign w:val="center"/>
            <w:tcMar>
              <w:top w:w="90" w:type="dxa"/>
              <w:start w:w="100" w:type="dxa"/>
              <w:bottom w:w="90" w:type="dxa"/>
              <w:end w:w="100" w:type="dxa"/>
            </w:tcMar>
          </w:tcPr>
          <w:p>
            <w:pPr>
              <w:spacing w:after="0"/>
            </w:pPr>
            <w:r/>
            <w:r>
              <w:rPr>
                <w:rFonts w:ascii="Arial" w:hAnsi="Arial"/>
                <w:b w:val="0"/>
                <w:sz w:val="18"/>
              </w:rPr>
              <w:t>Gerald “Gerry” Dalton Jr., Chief Executive Officer</w:t>
            </w:r>
          </w:p>
        </w:tc>
      </w:tr>
      <w:tr>
        <w:tc>
          <w:tcPr>
            <w:tcW w:type="dxa" w:w="1440"/>
            <w:vAlign w:val="center"/>
            <w:tcMar>
              <w:top w:w="90" w:type="dxa"/>
              <w:start w:w="100" w:type="dxa"/>
              <w:bottom w:w="90" w:type="dxa"/>
              <w:end w:w="100" w:type="dxa"/>
            </w:tcMar>
            <w:shd w:fill="E8F0F4"/>
          </w:tcPr>
          <w:p>
            <w:pPr>
              <w:spacing w:after="0"/>
            </w:pPr>
            <w:r/>
            <w:r>
              <w:rPr>
                <w:rFonts w:ascii="Arial" w:hAnsi="Arial"/>
                <w:b/>
                <w:color w:val="1F4E67"/>
                <w:sz w:val="18"/>
              </w:rPr>
              <w:t>FROM</w:t>
            </w:r>
          </w:p>
        </w:tc>
        <w:tc>
          <w:tcPr>
            <w:tcW w:type="dxa" w:w="8856"/>
            <w:vAlign w:val="center"/>
            <w:tcMar>
              <w:top w:w="90" w:type="dxa"/>
              <w:start w:w="100" w:type="dxa"/>
              <w:bottom w:w="90" w:type="dxa"/>
              <w:end w:w="100" w:type="dxa"/>
            </w:tcMar>
          </w:tcPr>
          <w:p>
            <w:pPr>
              <w:spacing w:after="0"/>
            </w:pPr>
            <w:r/>
            <w:r>
              <w:rPr>
                <w:rFonts w:ascii="Arial" w:hAnsi="Arial"/>
                <w:b w:val="0"/>
                <w:sz w:val="18"/>
              </w:rPr>
              <w:t>Sandra Whitaker / Whitaker &amp; Colton LLP</w:t>
            </w:r>
          </w:p>
        </w:tc>
      </w:tr>
      <w:tr>
        <w:tc>
          <w:tcPr>
            <w:tcW w:type="dxa" w:w="1440"/>
            <w:vAlign w:val="center"/>
            <w:tcMar>
              <w:top w:w="90" w:type="dxa"/>
              <w:start w:w="100" w:type="dxa"/>
              <w:bottom w:w="90" w:type="dxa"/>
              <w:end w:w="100" w:type="dxa"/>
            </w:tcMar>
            <w:shd w:fill="E8F0F4"/>
          </w:tcPr>
          <w:p>
            <w:pPr>
              <w:spacing w:after="0"/>
            </w:pPr>
            <w:r/>
            <w:r>
              <w:rPr>
                <w:rFonts w:ascii="Arial" w:hAnsi="Arial"/>
                <w:b/>
                <w:color w:val="1F4E67"/>
                <w:sz w:val="18"/>
              </w:rPr>
              <w:t>DATE</w:t>
            </w:r>
          </w:p>
        </w:tc>
        <w:tc>
          <w:tcPr>
            <w:tcW w:type="dxa" w:w="8856"/>
            <w:vAlign w:val="center"/>
            <w:tcMar>
              <w:top w:w="90" w:type="dxa"/>
              <w:start w:w="100" w:type="dxa"/>
              <w:bottom w:w="90" w:type="dxa"/>
              <w:end w:w="100" w:type="dxa"/>
            </w:tcMar>
          </w:tcPr>
          <w:p>
            <w:pPr>
              <w:spacing w:after="0"/>
            </w:pPr>
            <w:r/>
            <w:r>
              <w:rPr>
                <w:rFonts w:ascii="Arial" w:hAnsi="Arial"/>
                <w:b w:val="0"/>
                <w:sz w:val="18"/>
              </w:rPr>
              <w:t>May 2, 2025</w:t>
            </w:r>
          </w:p>
        </w:tc>
      </w:tr>
      <w:tr>
        <w:tc>
          <w:tcPr>
            <w:tcW w:type="dxa" w:w="1440"/>
            <w:vAlign w:val="center"/>
            <w:tcMar>
              <w:top w:w="90" w:type="dxa"/>
              <w:start w:w="100" w:type="dxa"/>
              <w:bottom w:w="90" w:type="dxa"/>
              <w:end w:w="100" w:type="dxa"/>
            </w:tcMar>
            <w:shd w:fill="E8F0F4"/>
          </w:tcPr>
          <w:p>
            <w:pPr>
              <w:spacing w:after="0"/>
            </w:pPr>
            <w:r/>
            <w:r>
              <w:rPr>
                <w:rFonts w:ascii="Arial" w:hAnsi="Arial"/>
                <w:b/>
                <w:color w:val="1F4E67"/>
                <w:sz w:val="18"/>
              </w:rPr>
              <w:t>RE</w:t>
            </w:r>
          </w:p>
        </w:tc>
        <w:tc>
          <w:tcPr>
            <w:tcW w:type="dxa" w:w="8856"/>
            <w:vAlign w:val="center"/>
            <w:tcMar>
              <w:top w:w="90" w:type="dxa"/>
              <w:start w:w="100" w:type="dxa"/>
              <w:bottom w:w="90" w:type="dxa"/>
              <w:end w:w="100" w:type="dxa"/>
            </w:tcMar>
          </w:tcPr>
          <w:p>
            <w:pPr>
              <w:spacing w:after="0"/>
            </w:pPr>
            <w:r/>
            <w:r>
              <w:rPr>
                <w:rFonts w:ascii="Arial" w:hAnsi="Arial"/>
                <w:b w:val="0"/>
                <w:sz w:val="18"/>
              </w:rPr>
              <w:t>March 14, 2025 HX-9000 press failure — liability, defenses, damages, insurance, venue, and action plan</w:t>
            </w:r>
          </w:p>
        </w:tc>
      </w:tr>
    </w:tbl>
    <w:p/>
    <w:tbl>
      <w:tblPr>
        <w:tblW w:type="auto" w:w="0"/>
        <w:jc w:val="center"/>
        <w:tblLook w:firstColumn="1" w:firstRow="1" w:lastColumn="0" w:lastRow="0" w:noHBand="0" w:noVBand="1" w:val="04A0"/>
        <w:tblBorders>
          <w:top w:val="single" w:sz="6" w:space="0" w:color="C88F8F"/>
          <w:left w:val="single" w:sz="6" w:space="0" w:color="C88F8F"/>
          <w:bottom w:val="single" w:sz="6" w:space="0" w:color="C88F8F"/>
          <w:right w:val="single" w:sz="6" w:space="0" w:color="C88F8F"/>
          <w:insideH w:val="single" w:sz="6" w:space="0" w:color="C88F8F"/>
          <w:insideV w:val="single" w:sz="6" w:space="0" w:color="C88F8F"/>
        </w:tblBorders>
      </w:tblPr>
      <w:tblGrid>
        <w:gridCol w:w="9878"/>
      </w:tblGrid>
      <w:tr>
        <w:tc>
          <w:tcPr>
            <w:tcW w:type="dxa" w:w="9878"/>
            <w:shd w:fill="FBEFEF"/>
            <w:tcMar>
              <w:top w:w="130" w:type="dxa"/>
              <w:start w:w="150" w:type="dxa"/>
              <w:bottom w:w="130" w:type="dxa"/>
              <w:end w:w="150" w:type="dxa"/>
            </w:tcMar>
          </w:tcPr>
          <w:p>
            <w:pPr>
              <w:spacing w:after="0"/>
            </w:pPr>
            <w:r/>
            <w:r>
              <w:rPr>
                <w:b/>
                <w:color w:val="822828"/>
                <w:sz w:val="18"/>
              </w:rPr>
              <w:t xml:space="preserve">PRIVILEGED AND CONFIDENTIAL. </w:t>
            </w:r>
            <w:r>
              <w:rPr>
                <w:sz w:val="18"/>
              </w:rPr>
              <w:t>Prepared for Dalton Precision Manufacturing, Inc. at counsel’s direction for legal advice and in anticipation of litigation. This is a preliminary assessment based on the nine supplied documents and the record summarized through May 2, 2025; it is not a final liability opinion, damages valuation, coverage determination, or substitute for review of the complete policies, technical record, and applicable law. Do not circulate outside the company, counsel, insurers as directed by counsel, or retained experts without advice of counsel.</w:t>
            </w:r>
          </w:p>
        </w:tc>
      </w:tr>
    </w:tbl>
    <w:p/>
    <w:p>
      <w:pPr>
        <w:pStyle w:val="Heading1"/>
        <w:keepNext/>
        <w:spacing w:before="200" w:after="80"/>
      </w:pPr>
      <w:r>
        <w:t>Executive assessment</w:t>
      </w:r>
    </w:p>
    <w:p>
      <w:pPr>
        <w:keepLines/>
        <w:spacing w:after="100" w:line="259" w:lineRule="auto"/>
      </w:pPr>
      <w:r>
        <w:rPr>
          <w:i w:val="0"/>
        </w:rPr>
        <w:t>Dalton has substantial evidence of a serious product failure and strong potential claims against HydraCore Components, LLC (a defective accumulator bladder) and Ironclad Systems Corp. (a press design/integration deficiency and a potentially consequential failure to respond to pre-incident complaints). The strongest present evidence is the preliminary laboratory testing showing the recovered bladder materially outside HydraCore’s stated specifications, normal operating data immediately before failure, and Ironclad’s February 2025 emails discussing multiple HX-9000 accumulator complaints and delaying a field bulletin.</w:t>
      </w:r>
    </w:p>
    <w:p>
      <w:pPr>
        <w:keepLines/>
        <w:spacing w:after="100" w:line="259" w:lineRule="auto"/>
      </w:pPr>
      <w:r>
        <w:rPr>
          <w:i w:val="0"/>
        </w:rPr>
        <w:t>The case is not a simple recovery of the full numbers in the damages workbook. Ironclad has a signed purchase-order/standard-terms package that purports to require Michigan-law AAA arbitration, cap liability at the $1,287,500 price of the press, exclude consequential damages, and impose a 12-month claim deadline. Those provisions present material recovery and forum risks, although enforceability—particularly as to personal injury, gross negligence/willful misconduct, non-signatory injured workers, and HydraCore—should be contested rather than assumed. Dalton also faces meaningful OSHA and comparative-fault/indemnity exposure over guarding and accumulator energy isolation.</w:t>
      </w:r>
    </w:p>
    <w:p>
      <w:pPr>
        <w:keepLines/>
        <w:spacing w:after="100" w:line="259" w:lineRule="auto"/>
      </w:pPr>
      <w:r>
        <w:rPr>
          <w:i w:val="0"/>
        </w:rPr>
        <w:t>Immediate priorities are (1) determine and meet the Ohio OSHA contest deadline measured from actual receipt, (2) verify and preserve all insurance and evidence, (3) serve the contract dispute notice and start the required executive negotiation with Ironclad, and (4) prepare to commence arbitration well before March 14, 2026. The employee and wrongful-death claims are not Dalton’s corporate claims; the engagement letter limits counsel’s client to Dalton, and separate representation/conflicts must be addressed.</w:t>
      </w:r>
    </w:p>
    <w:p>
      <w:pPr>
        <w:pStyle w:val="Heading1"/>
        <w:keepNext/>
        <w:spacing w:before="200" w:after="80"/>
      </w:pPr>
      <w:r>
        <w:t>1. Record and incident snapshot</w:t>
      </w:r>
    </w:p>
    <w:p>
      <w:pPr>
        <w:keepLines/>
        <w:spacing w:after="100" w:line="259" w:lineRule="auto"/>
      </w:pPr>
      <w:r>
        <w:rPr>
          <w:i w:val="0"/>
        </w:rPr>
        <w:t>The press (Ironclad HX-9000, S/N HX9-2024-03417) was installed by Ironclad in December 2024 and accepted December 16, 2024. On March 14, 2025, during a routine cycle and at normal logged operating conditions, the HydraCore HC-ABL-440 accumulator bladder ruptured; a pressure surge ejected the approximately 1,200-pound piston rod. Marco Reyes was killed; Kevin Trask and Priya Anand suffered serious injuries. The press, an adjacent Haas mill, facility infrastructure, dies/tooling, and Line 3 production were affected.</w:t>
      </w:r>
    </w:p>
    <w:p>
      <w:pPr>
        <w:pStyle w:val="ListBullet"/>
        <w:keepLines/>
        <w:spacing w:after="40" w:line="250" w:lineRule="auto"/>
      </w:pPr>
      <w:r>
        <w:t>Meridian’s April 21 preliminary report attributes the rupture to a bladder compound with mean tensile strength 1,450 psi versus a 2,800-psi minimum and mean plasticizer content 18.7% versus a 12.0% maximum. The report identifies the absence of dedicated redundant relief on the accumulator circuit as an amplifying design defect. No operator error or incorrect/contaminated hydraulic fluid was identified.</w:t>
      </w:r>
    </w:p>
    <w:p>
      <w:pPr>
        <w:pStyle w:val="ListBullet"/>
        <w:keepLines/>
        <w:spacing w:after="40" w:line="250" w:lineRule="auto"/>
      </w:pPr>
      <w:r>
        <w:t>The report relies on retained physical evidence and tests, but Ironclad’s engineering and validation files, HydraCore batch/quality records, and broader complaint history remain outstanding. Destructive tests and all further inspection should be jointly noticed and documented.</w:t>
      </w:r>
    </w:p>
    <w:p>
      <w:pPr>
        <w:pStyle w:val="ListBullet"/>
        <w:keepLines/>
        <w:spacing w:after="40" w:line="250" w:lineRule="auto"/>
      </w:pPr>
      <w:r>
        <w:t>Potential inconsistencies need prompt reconciliation: the OSHA citation says the accumulator isolation valve had no lockout hasp; Dr. Cordero reports observing a manual ball valve with a lockout hasp. The citation also describes LOTO deficiencies even though the press was in production and no LOTO was in progress. Reyes’s distance from the cylinder is reported differently (about four feet in Dalton’s incident report; about eight feet in the citation).</w:t>
      </w:r>
    </w:p>
    <w:p>
      <w:pPr>
        <w:keepLines/>
        <w:spacing w:after="100" w:line="259" w:lineRule="auto"/>
      </w:pPr>
      <w:r>
        <w:rPr>
          <w:i w:val="0"/>
        </w:rPr>
        <w:t>The supplied copy of the March 22, 2025 engagement letter has blank execution lines. Confirm that the corporate engagement was fully executed and that the client remains Dalton Precision Manufacturing, Inc. only; the letter expressly excludes individual officers, employees, and agents.</w:t>
      </w:r>
    </w:p>
    <w:p>
      <w:pPr>
        <w:pStyle w:val="Heading1"/>
        <w:keepNext/>
        <w:spacing w:before="200" w:after="80"/>
      </w:pPr>
      <w:r>
        <w:t>2. Liability assessment</w:t>
      </w:r>
    </w:p>
    <w:p>
      <w:pPr>
        <w:pStyle w:val="Heading2"/>
        <w:keepNext/>
        <w:spacing w:before="120" w:after="80"/>
      </w:pPr>
      <w:r>
        <w:t>Claims against HydraCore and Ironclad</w:t>
      </w:r>
    </w:p>
    <w:p>
      <w:pPr>
        <w:keepLines/>
        <w:spacing w:after="100" w:line="259" w:lineRule="auto"/>
      </w:pPr>
      <w:r>
        <w:rPr>
          <w:i w:val="0"/>
        </w:rPr>
        <w:t>Depending on forum and choice-of-law rulings, Dalton and the individual claimants should preserve applicable statutory products-liability theories (manufacturing defect, design defect, and inadequate warning), negligence, breach of express warranty, and post-sale warning/recall claims, together with contract remedies. The statutory theory, economic-loss boundaries, available remedies, and any choice-of-law differences must be analyzed claim-by-claim; no one theory should be assumed to avoid the contract defenses.</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131"/>
        <w:gridCol w:w="4104"/>
        <w:gridCol w:w="4061"/>
      </w:tblGrid>
      <w:tr>
        <w:trPr>
          <w:tblHeader w:val="true"/>
          <w:cantSplit/>
        </w:trPr>
        <w:tc>
          <w:tcPr>
            <w:tcW w:type="dxa" w:w="2131"/>
            <w:vAlign w:val="center"/>
            <w:tcMar>
              <w:top w:w="90" w:type="dxa"/>
              <w:start w:w="100" w:type="dxa"/>
              <w:bottom w:w="90" w:type="dxa"/>
              <w:end w:w="100" w:type="dxa"/>
            </w:tcMar>
            <w:shd w:fill="1F4E67"/>
          </w:tcPr>
          <w:p>
            <w:pPr>
              <w:spacing w:after="0"/>
            </w:pPr>
            <w:r/>
            <w:r>
              <w:rPr>
                <w:rFonts w:ascii="Arial" w:hAnsi="Arial"/>
                <w:b/>
                <w:color w:val="FFFFFF"/>
                <w:sz w:val="16"/>
              </w:rPr>
              <w:t>Theory / target</w:t>
            </w:r>
          </w:p>
        </w:tc>
        <w:tc>
          <w:tcPr>
            <w:tcW w:type="dxa" w:w="4104"/>
            <w:vAlign w:val="center"/>
            <w:tcMar>
              <w:top w:w="90" w:type="dxa"/>
              <w:start w:w="100" w:type="dxa"/>
              <w:bottom w:w="90" w:type="dxa"/>
              <w:end w:w="100" w:type="dxa"/>
            </w:tcMar>
            <w:shd w:fill="1F4E67"/>
          </w:tcPr>
          <w:p>
            <w:pPr>
              <w:spacing w:after="0"/>
            </w:pPr>
            <w:r/>
            <w:r>
              <w:rPr>
                <w:rFonts w:ascii="Arial" w:hAnsi="Arial"/>
                <w:b/>
                <w:color w:val="FFFFFF"/>
                <w:sz w:val="16"/>
              </w:rPr>
              <w:t>Current support</w:t>
            </w:r>
          </w:p>
        </w:tc>
        <w:tc>
          <w:tcPr>
            <w:tcW w:type="dxa" w:w="4061"/>
            <w:vAlign w:val="center"/>
            <w:tcMar>
              <w:top w:w="90" w:type="dxa"/>
              <w:start w:w="100" w:type="dxa"/>
              <w:bottom w:w="90" w:type="dxa"/>
              <w:end w:w="100" w:type="dxa"/>
            </w:tcMar>
            <w:shd w:fill="1F4E67"/>
          </w:tcPr>
          <w:p>
            <w:pPr>
              <w:spacing w:after="0"/>
            </w:pPr>
            <w:r/>
            <w:r>
              <w:rPr>
                <w:rFonts w:ascii="Arial" w:hAnsi="Arial"/>
                <w:b/>
                <w:color w:val="FFFFFF"/>
                <w:sz w:val="16"/>
              </w:rPr>
              <w:t>Key proof / vulnerability</w:t>
            </w:r>
          </w:p>
        </w:tc>
      </w:tr>
      <w:tr>
        <w:trPr>
          <w:cantSplit/>
        </w:trPr>
        <w:tc>
          <w:tcPr>
            <w:tcW w:type="dxa" w:w="2131"/>
            <w:vAlign w:val="center"/>
            <w:tcMar>
              <w:top w:w="90" w:type="dxa"/>
              <w:start w:w="100" w:type="dxa"/>
              <w:bottom w:w="90" w:type="dxa"/>
              <w:end w:w="100" w:type="dxa"/>
            </w:tcMar>
          </w:tcPr>
          <w:p>
            <w:pPr>
              <w:spacing w:after="0"/>
            </w:pPr>
            <w:r/>
            <w:r>
              <w:rPr>
                <w:rFonts w:ascii="Arial" w:hAnsi="Arial"/>
                <w:b w:val="0"/>
                <w:sz w:val="16"/>
              </w:rPr>
              <w:t>HydraCore — manufacturing defect; related negligence/warranty theories</w:t>
            </w:r>
          </w:p>
        </w:tc>
        <w:tc>
          <w:tcPr>
            <w:tcW w:type="dxa" w:w="4104"/>
            <w:vAlign w:val="center"/>
            <w:tcMar>
              <w:top w:w="90" w:type="dxa"/>
              <w:start w:w="100" w:type="dxa"/>
              <w:bottom w:w="90" w:type="dxa"/>
              <w:end w:w="100" w:type="dxa"/>
            </w:tcMar>
          </w:tcPr>
          <w:p>
            <w:pPr>
              <w:spacing w:after="0"/>
            </w:pPr>
            <w:r/>
            <w:r>
              <w:rPr>
                <w:rFonts w:ascii="Arial" w:hAnsi="Arial"/>
                <w:b w:val="0"/>
                <w:sz w:val="16"/>
              </w:rPr>
              <w:t>Material testing is materially below the HC-ABL-440 tensile-strength minimum and above its plasticizer maximum; low hardness and brittle rupture are consistent with a compounding error. The press was in service about three months, used within logged parameters, with correct fluid.</w:t>
            </w:r>
          </w:p>
        </w:tc>
        <w:tc>
          <w:tcPr>
            <w:tcW w:type="dxa" w:w="4061"/>
            <w:vAlign w:val="center"/>
            <w:tcMar>
              <w:top w:w="90" w:type="dxa"/>
              <w:start w:w="100" w:type="dxa"/>
              <w:bottom w:w="90" w:type="dxa"/>
              <w:end w:w="100" w:type="dxa"/>
            </w:tcMar>
          </w:tcPr>
          <w:p>
            <w:pPr>
              <w:spacing w:after="0"/>
            </w:pPr>
            <w:r/>
            <w:r>
              <w:rPr>
                <w:rFonts w:ascii="Arial" w:hAnsi="Arial"/>
                <w:b w:val="0"/>
                <w:sz w:val="16"/>
              </w:rPr>
              <w:t>Preliminary report; five tensile specimens and three plasticizer tests. Establish representative sampling, lab methods/uncertainty, chain of custody, lot traceability, manufacturing control records, and whether post-incident handling affected samples. Obtain raw data, certificates, compound formula, batch records, QC and supplier audits.</w:t>
            </w:r>
          </w:p>
        </w:tc>
      </w:tr>
      <w:tr>
        <w:trPr>
          <w:cantSplit/>
        </w:trPr>
        <w:tc>
          <w:tcPr>
            <w:tcW w:type="dxa" w:w="2131"/>
            <w:vAlign w:val="center"/>
            <w:tcMar>
              <w:top w:w="90" w:type="dxa"/>
              <w:start w:w="100" w:type="dxa"/>
              <w:bottom w:w="90" w:type="dxa"/>
              <w:end w:w="100" w:type="dxa"/>
            </w:tcMar>
            <w:shd w:fill="F2F6F8"/>
          </w:tcPr>
          <w:p>
            <w:pPr>
              <w:spacing w:after="0"/>
            </w:pPr>
            <w:r/>
            <w:r>
              <w:rPr>
                <w:rFonts w:ascii="Arial" w:hAnsi="Arial"/>
                <w:b w:val="0"/>
                <w:sz w:val="16"/>
              </w:rPr>
              <w:t>Ironclad — design defect / negligent design and integration</w:t>
            </w:r>
          </w:p>
        </w:tc>
        <w:tc>
          <w:tcPr>
            <w:tcW w:type="dxa" w:w="4104"/>
            <w:vAlign w:val="center"/>
            <w:tcMar>
              <w:top w:w="90" w:type="dxa"/>
              <w:start w:w="100" w:type="dxa"/>
              <w:bottom w:w="90" w:type="dxa"/>
              <w:end w:w="100" w:type="dxa"/>
            </w:tcMar>
            <w:shd w:fill="F2F6F8"/>
          </w:tcPr>
          <w:p>
            <w:pPr>
              <w:spacing w:after="0"/>
            </w:pPr>
            <w:r/>
            <w:r>
              <w:rPr>
                <w:rFonts w:ascii="Arial" w:hAnsi="Arial"/>
                <w:b w:val="0"/>
                <w:sz w:val="16"/>
              </w:rPr>
              <w:t>No independent accumulator-circuit relief; intervening check/flow-control components allegedly trapped the transient. Dr. Cordero says a dedicated redundant relief would have produced controlled bleed-down rather than rod ejection. Ironclad installed and commissioned the machine.</w:t>
            </w:r>
          </w:p>
        </w:tc>
        <w:tc>
          <w:tcPr>
            <w:tcW w:type="dxa" w:w="4061"/>
            <w:vAlign w:val="center"/>
            <w:tcMar>
              <w:top w:w="90" w:type="dxa"/>
              <w:start w:w="100" w:type="dxa"/>
              <w:bottom w:w="90" w:type="dxa"/>
              <w:end w:w="100" w:type="dxa"/>
            </w:tcMar>
            <w:shd w:fill="F2F6F8"/>
          </w:tcPr>
          <w:p>
            <w:pPr>
              <w:spacing w:after="0"/>
            </w:pPr>
            <w:r/>
            <w:r>
              <w:rPr>
                <w:rFonts w:ascii="Arial" w:hAnsi="Arial"/>
                <w:b w:val="0"/>
                <w:sz w:val="16"/>
              </w:rPr>
              <w:t>Authenticate the hydraulic schematic and as-built condition; obtain design validation, FMEA, hazard analyses, calculations, applicable standards, alternative design feasibility, cost and performance evidence. Verify the exact language, scope, edition and status of NFPA T2.6.1-2020 and ISO 4413:2010; expert characterizations are not legal conclusions.</w:t>
            </w:r>
          </w:p>
        </w:tc>
      </w:tr>
      <w:tr>
        <w:trPr>
          <w:cantSplit/>
        </w:trPr>
        <w:tc>
          <w:tcPr>
            <w:tcW w:type="dxa" w:w="2131"/>
            <w:vAlign w:val="center"/>
            <w:tcMar>
              <w:top w:w="90" w:type="dxa"/>
              <w:start w:w="100" w:type="dxa"/>
              <w:bottom w:w="90" w:type="dxa"/>
              <w:end w:w="100" w:type="dxa"/>
            </w:tcMar>
          </w:tcPr>
          <w:p>
            <w:pPr>
              <w:spacing w:after="0"/>
            </w:pPr>
            <w:r/>
            <w:r>
              <w:rPr>
                <w:rFonts w:ascii="Arial" w:hAnsi="Arial"/>
                <w:b w:val="0"/>
                <w:sz w:val="16"/>
              </w:rPr>
              <w:t>Ironclad — warnings, post-sale response, punitive exposure</w:t>
            </w:r>
          </w:p>
        </w:tc>
        <w:tc>
          <w:tcPr>
            <w:tcW w:type="dxa" w:w="4104"/>
            <w:vAlign w:val="center"/>
            <w:tcMar>
              <w:top w:w="90" w:type="dxa"/>
              <w:start w:w="100" w:type="dxa"/>
              <w:bottom w:w="90" w:type="dxa"/>
              <w:end w:w="100" w:type="dxa"/>
            </w:tcMar>
          </w:tcPr>
          <w:p>
            <w:pPr>
              <w:spacing w:after="0"/>
            </w:pPr>
            <w:r/>
            <w:r>
              <w:rPr>
                <w:rFonts w:ascii="Arial" w:hAnsi="Arial"/>
                <w:b w:val="0"/>
                <w:sz w:val="16"/>
              </w:rPr>
              <w:t>February 3–5 emails document Apex’s repeated pressure alarms, Cutler’s statement that Ironclad had seen “a handful” of complaints, a request for HydraCore batch records, and a deliberate decision to delay a field bulletin; Brennan specifically identifies the Dalton serial number and asks about alerting field service. No bulletin/recall is identified before the fatal event.</w:t>
            </w:r>
          </w:p>
        </w:tc>
        <w:tc>
          <w:tcPr>
            <w:tcW w:type="dxa" w:w="4061"/>
            <w:vAlign w:val="center"/>
            <w:tcMar>
              <w:top w:w="90" w:type="dxa"/>
              <w:start w:w="100" w:type="dxa"/>
              <w:bottom w:w="90" w:type="dxa"/>
              <w:end w:w="100" w:type="dxa"/>
            </w:tcMar>
          </w:tcPr>
          <w:p>
            <w:pPr>
              <w:spacing w:after="0"/>
            </w:pPr>
            <w:r/>
            <w:r>
              <w:rPr>
                <w:rFonts w:ascii="Arial" w:hAnsi="Arial"/>
                <w:b w:val="0"/>
                <w:sz w:val="16"/>
              </w:rPr>
              <w:t>Obtain complete native email chain, attachments, metadata, and surrounding communications; identify all complaints, investigations, field-service contacts, batch results, safety committee materials, and recall decisions. Determine what Ironclad knew about actual hazard/defect and when; evidence supports notice and potential punitive theory, but does not by itself establish statutory punitive-damages elements.</w:t>
            </w:r>
          </w:p>
        </w:tc>
      </w:tr>
      <w:tr>
        <w:trPr>
          <w:cantSplit/>
        </w:trPr>
        <w:tc>
          <w:tcPr>
            <w:tcW w:type="dxa" w:w="2131"/>
            <w:vAlign w:val="center"/>
            <w:tcMar>
              <w:top w:w="90" w:type="dxa"/>
              <w:start w:w="100" w:type="dxa"/>
              <w:bottom w:w="90" w:type="dxa"/>
              <w:end w:w="100" w:type="dxa"/>
            </w:tcMar>
            <w:shd w:fill="F2F6F8"/>
          </w:tcPr>
          <w:p>
            <w:pPr>
              <w:spacing w:after="0"/>
            </w:pPr>
            <w:r/>
            <w:r>
              <w:rPr>
                <w:rFonts w:ascii="Arial" w:hAnsi="Arial"/>
                <w:b w:val="0"/>
                <w:sz w:val="16"/>
              </w:rPr>
              <w:t>Ironclad — express warranty / contract</w:t>
            </w:r>
          </w:p>
        </w:tc>
        <w:tc>
          <w:tcPr>
            <w:tcW w:type="dxa" w:w="4104"/>
            <w:vAlign w:val="center"/>
            <w:tcMar>
              <w:top w:w="90" w:type="dxa"/>
              <w:start w:w="100" w:type="dxa"/>
              <w:bottom w:w="90" w:type="dxa"/>
              <w:end w:w="100" w:type="dxa"/>
            </w:tcMar>
            <w:shd w:fill="F2F6F8"/>
          </w:tcPr>
          <w:p>
            <w:pPr>
              <w:spacing w:after="0"/>
            </w:pPr>
            <w:r/>
            <w:r>
              <w:rPr>
                <w:rFonts w:ascii="Arial" w:hAnsi="Arial"/>
                <w:b w:val="0"/>
                <w:sz w:val="16"/>
              </w:rPr>
              <w:t>PO and acceptance identify the press and 24-month parts-and-labor warranty; incident fell within the stated period. Terms say products will conform to specifications and be free of material/workmanship defects. PO acceptance expressly says it does not waive warranty rights. Section 18.1 also represents design/manufacture to applicable industry standards.</w:t>
            </w:r>
          </w:p>
        </w:tc>
        <w:tc>
          <w:tcPr>
            <w:tcW w:type="dxa" w:w="4061"/>
            <w:vAlign w:val="center"/>
            <w:tcMar>
              <w:top w:w="90" w:type="dxa"/>
              <w:start w:w="100" w:type="dxa"/>
              <w:bottom w:w="90" w:type="dxa"/>
              <w:end w:w="100" w:type="dxa"/>
            </w:tcMar>
            <w:shd w:fill="F2F6F8"/>
          </w:tcPr>
          <w:p>
            <w:pPr>
              <w:spacing w:after="0"/>
            </w:pPr>
            <w:r/>
            <w:r>
              <w:rPr>
                <w:rFonts w:ascii="Arial" w:hAnsi="Arial"/>
                <w:b w:val="0"/>
                <w:sz w:val="16"/>
              </w:rPr>
              <w:t>Ironclad will invoke the third-party-component warranty exclusion, exclusive repair/replace/refund remedy, notice requirements, and disclaimer of implied warranties. The contract’s cap and consequential-loss exclusion are major obstacles. Confirm March 15 written notice, Ironclad response, access/inspection offers, and warranty pass-through to HydraCore.</w:t>
            </w:r>
          </w:p>
        </w:tc>
      </w:tr>
      <w:tr>
        <w:trPr>
          <w:cantSplit/>
        </w:trPr>
        <w:tc>
          <w:tcPr>
            <w:tcW w:type="dxa" w:w="2131"/>
            <w:vAlign w:val="center"/>
            <w:tcMar>
              <w:top w:w="90" w:type="dxa"/>
              <w:start w:w="100" w:type="dxa"/>
              <w:bottom w:w="90" w:type="dxa"/>
              <w:end w:w="100" w:type="dxa"/>
            </w:tcMar>
          </w:tcPr>
          <w:p>
            <w:pPr>
              <w:spacing w:after="0"/>
            </w:pPr>
            <w:r/>
            <w:r>
              <w:rPr>
                <w:rFonts w:ascii="Arial" w:hAnsi="Arial"/>
                <w:b w:val="0"/>
                <w:sz w:val="16"/>
              </w:rPr>
              <w:t>HydraCore / Ironclad — causation and allocation</w:t>
            </w:r>
          </w:p>
        </w:tc>
        <w:tc>
          <w:tcPr>
            <w:tcW w:type="dxa" w:w="4104"/>
            <w:vAlign w:val="center"/>
            <w:tcMar>
              <w:top w:w="90" w:type="dxa"/>
              <w:start w:w="100" w:type="dxa"/>
              <w:bottom w:w="90" w:type="dxa"/>
              <w:end w:w="100" w:type="dxa"/>
            </w:tcMar>
          </w:tcPr>
          <w:p>
            <w:pPr>
              <w:spacing w:after="0"/>
            </w:pPr>
            <w:r/>
            <w:r>
              <w:rPr>
                <w:rFonts w:ascii="Arial" w:hAnsi="Arial"/>
                <w:b w:val="0"/>
                <w:sz w:val="16"/>
              </w:rPr>
              <w:t>Meridian’s dual-cause opinion: bladder defect initiated rupture; Ironclad design deficiency amplified it into fatal ejection. Control logs show 4,780 psi immediately before a sensor-saturated 9,999-psi spike and shutdown about 0.3 seconds later.</w:t>
            </w:r>
          </w:p>
        </w:tc>
        <w:tc>
          <w:tcPr>
            <w:tcW w:type="dxa" w:w="4061"/>
            <w:vAlign w:val="center"/>
            <w:tcMar>
              <w:top w:w="90" w:type="dxa"/>
              <w:start w:w="100" w:type="dxa"/>
              <w:bottom w:w="90" w:type="dxa"/>
              <w:end w:w="100" w:type="dxa"/>
            </w:tcMar>
          </w:tcPr>
          <w:p>
            <w:pPr>
              <w:spacing w:after="0"/>
            </w:pPr>
            <w:r/>
            <w:r>
              <w:rPr>
                <w:rFonts w:ascii="Arial" w:hAnsi="Arial"/>
                <w:b w:val="0"/>
                <w:sz w:val="16"/>
              </w:rPr>
              <w:t>Report is preliminary and may be challenged on assumptions, alternative causes, post-sale warning causation, standards interpretation, and counterfactual relief performance. Have experts independently evaluate the transient, relief capacity, component function, and injury mechanisms. Do not state a numerical fault allocation yet.</w:t>
            </w:r>
          </w:p>
        </w:tc>
      </w:tr>
    </w:tbl>
    <w:p>
      <w:pPr>
        <w:spacing w:after="20"/>
      </w:pPr>
    </w:p>
    <w:p>
      <w:pPr>
        <w:pStyle w:val="Heading2"/>
        <w:keepNext/>
        <w:spacing w:before="120" w:after="80"/>
      </w:pPr>
      <w:r>
        <w:t>Dalton’s own exposure; defenses likely asserted</w:t>
      </w:r>
    </w:p>
    <w:p>
      <w:pPr>
        <w:keepLines/>
        <w:spacing w:after="100" w:line="259" w:lineRule="auto"/>
      </w:pPr>
      <w:r>
        <w:rPr>
          <w:i w:val="0"/>
        </w:rPr>
        <w:t>The forensic report distinguishes cause of rupture from severity: it says Dalton’s guarding and energy-isolation conditions did not cause the bladder to fail, but could bear on injury consequences and safe maintenance. The Ohio citation alleges serious LOTO and machine-guarding violations. It expressly states it is not a finding of fault or negligence for the incident, but the underlying findings, evidence, and any final order may still be damaging in civil litigation and should be managed carefully. In third-party litigation, the defendants are likely to argue comparative fault, negligent acceptance/installation-site review, inadequate guarding, deficient LOTO procedures, failure to detect or report anomalies, and contractual indemnity. Dalton’s September 2024 audit, the absence of an accumulator-specific procedure for the new press, and acceptance in the OEM configuration create litigation risk; completed tag replacement/retraining and the below-industry TRIR are favorable but do not answer the HX-9000-specific allegations.</w:t>
      </w:r>
    </w:p>
    <w:p>
      <w:pPr>
        <w:pStyle w:val="ListBullet"/>
        <w:keepLines/>
        <w:spacing w:after="40" w:line="250" w:lineRule="auto"/>
      </w:pPr>
      <w:r>
        <w:t>LOTO causation is particularly contestable on the present facts: the incident occurred during normal production, not servicing or setup under LOTO. The citation nevertheless alleges program/device inadequacy. The physical hasp discrepancy and precise cited standard/subsection should be tested against scene photographs, the machine, written procedures, and interview records.</w:t>
      </w:r>
    </w:p>
    <w:p>
      <w:pPr>
        <w:pStyle w:val="ListBullet"/>
        <w:keepLines/>
        <w:spacing w:after="40" w:line="250" w:lineRule="auto"/>
      </w:pPr>
      <w:r>
        <w:t>Guarding is a real severity issue. Reyes was at the operating station, while the absence of a blast/retention barrier is alleged to have left employees in the piston-rod trajectory. Determine whether a feasible barrier would have contained or deflected a 1,200-pound rod without creating other hazards. Do not overstate that this condition caused the bladder rupture.</w:t>
      </w:r>
    </w:p>
    <w:p>
      <w:pPr>
        <w:pStyle w:val="ListBullet"/>
        <w:keepLines/>
        <w:spacing w:after="40" w:line="250" w:lineRule="auto"/>
      </w:pPr>
      <w:r>
        <w:t>Ironclad’s standard terms contain a broad Buyer indemnity for claims by Buyer’s employees and claims arising from use/operation, subject to an exception only for claims “directly and solely” caused by a covered defect and not contributed to by Buyer. Ironclad may invoke this in light of alleged concurrent Dalton conduct. Challenge its scope/enforceability, especially for Ironclad’s own defect/negligence and non-signatory employee claims; do not concede indemnity or make coverage admissions. Section 11.2 provides only narrow seller indemnity (installation gross negligence/willful misconduct or IP claims).</w:t>
      </w:r>
    </w:p>
    <w:p>
      <w:pPr>
        <w:keepLines/>
        <w:spacing w:after="100" w:line="259" w:lineRule="auto"/>
      </w:pPr>
      <w:r>
        <w:rPr>
          <w:i w:val="0"/>
        </w:rPr>
        <w:t>The employees’ bodily-injury and Reyes wrongful-death matters belong to the individuals/estate, not Dalton. The damages workbook identifies a required personal representative for the wrongful-death action and notes separate counsel/conflict concerns for Trask and Anand. The supplied engagement is corporate-only. Workers’ compensation exclusivity may limit direct employee claims against Dalton, subject to confirmation of the governing law and any statutory exception; the current record does not establish an employer-intentional-tort claim. Any such allegation, indemnity/contribution claim, or conflict must be separately evaluated.</w:t>
      </w:r>
    </w:p>
    <w:p>
      <w:pPr>
        <w:pStyle w:val="Heading1"/>
        <w:keepNext/>
        <w:spacing w:before="200" w:after="80"/>
      </w:pPr>
      <w:r>
        <w:t>3. Contract and procedural defenses / venue strategy</w:t>
      </w:r>
    </w:p>
    <w:p>
      <w:pPr>
        <w:keepLines/>
        <w:spacing w:after="100" w:line="259" w:lineRule="auto"/>
      </w:pPr>
      <w:r>
        <w:rPr>
          <w:i w:val="0"/>
        </w:rPr>
        <w:t>The PO was signed by Dalton and acknowledged by Ironclad; it expressly incorporates Ironclad’s Rev. 11/2023 terms, states those terms control conflicts, and specifically acknowledges arbitration and limitations provisions. The Certificate of Acceptance does not erase latent-defect or warranty claims, but it may support Ironclad’s acceptance and risk-allocation defenses. Dalton should preserve arguments about conspicuousness, assent, unconscionability, public policy, remedies failing of essential purpose, and application to personal injury or gross negligence; do not budget recovery as if the terms are invalid.</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189"/>
        <w:gridCol w:w="8107"/>
      </w:tblGrid>
      <w:tr>
        <w:trPr>
          <w:tblHeader w:val="true"/>
          <w:cantSplit/>
        </w:trPr>
        <w:tc>
          <w:tcPr>
            <w:tcW w:type="dxa" w:w="2189"/>
            <w:vAlign w:val="center"/>
            <w:tcMar>
              <w:top w:w="90" w:type="dxa"/>
              <w:start w:w="100" w:type="dxa"/>
              <w:bottom w:w="90" w:type="dxa"/>
              <w:end w:w="100" w:type="dxa"/>
            </w:tcMar>
            <w:shd w:fill="1F4E67"/>
          </w:tcPr>
          <w:p>
            <w:pPr>
              <w:spacing w:after="0"/>
            </w:pPr>
            <w:r/>
            <w:r>
              <w:rPr>
                <w:rFonts w:ascii="Arial" w:hAnsi="Arial"/>
                <w:b/>
                <w:color w:val="FFFFFF"/>
                <w:sz w:val="16"/>
              </w:rPr>
              <w:t>Term</w:t>
            </w:r>
          </w:p>
        </w:tc>
        <w:tc>
          <w:tcPr>
            <w:tcW w:type="dxa" w:w="8107"/>
            <w:vAlign w:val="center"/>
            <w:tcMar>
              <w:top w:w="90" w:type="dxa"/>
              <w:start w:w="100" w:type="dxa"/>
              <w:bottom w:w="90" w:type="dxa"/>
              <w:end w:w="100" w:type="dxa"/>
            </w:tcMar>
            <w:shd w:fill="1F4E67"/>
          </w:tcPr>
          <w:p>
            <w:pPr>
              <w:spacing w:after="0"/>
            </w:pPr>
            <w:r/>
            <w:r>
              <w:rPr>
                <w:rFonts w:ascii="Arial" w:hAnsi="Arial"/>
                <w:b/>
                <w:color w:val="FFFFFF"/>
                <w:sz w:val="16"/>
              </w:rPr>
              <w:t>Strategic effect / response</w:t>
            </w:r>
          </w:p>
        </w:tc>
      </w:tr>
      <w:tr>
        <w:trPr>
          <w:cantSplit/>
        </w:trPr>
        <w:tc>
          <w:tcPr>
            <w:tcW w:type="dxa" w:w="2189"/>
            <w:vAlign w:val="center"/>
            <w:tcMar>
              <w:top w:w="90" w:type="dxa"/>
              <w:start w:w="100" w:type="dxa"/>
              <w:bottom w:w="90" w:type="dxa"/>
              <w:end w:w="100" w:type="dxa"/>
            </w:tcMar>
          </w:tcPr>
          <w:p>
            <w:pPr>
              <w:spacing w:after="0"/>
            </w:pPr>
            <w:r/>
            <w:r>
              <w:rPr>
                <w:rFonts w:ascii="Arial" w:hAnsi="Arial"/>
                <w:b w:val="0"/>
                <w:sz w:val="16"/>
              </w:rPr>
              <w:t>Michigan law; AAA arbitration in Grand Rapids</w:t>
            </w:r>
          </w:p>
        </w:tc>
        <w:tc>
          <w:tcPr>
            <w:tcW w:type="dxa" w:w="8107"/>
            <w:vAlign w:val="center"/>
            <w:tcMar>
              <w:top w:w="90" w:type="dxa"/>
              <w:start w:w="100" w:type="dxa"/>
              <w:bottom w:w="90" w:type="dxa"/>
              <w:end w:w="100" w:type="dxa"/>
            </w:tcMar>
          </w:tcPr>
          <w:p>
            <w:pPr>
              <w:spacing w:after="0"/>
            </w:pPr>
            <w:r/>
            <w:r>
              <w:rPr>
                <w:rFonts w:ascii="Arial" w:hAnsi="Arial"/>
                <w:b w:val="0"/>
                <w:sz w:val="16"/>
              </w:rPr>
              <w:t>Sections 14–15 require senior-executive negotiation for at least 30 days, then binding single-arbitrator AAA Commercial Rules arbitration seated in Grand Rapids for disputes arising from the PO/products, including tort and strict-liability theories. Jury trial waived. Serve a detailed written dispute notice immediately, start executive negotiations, and prepare an AAA filing. Ohio courts are available under Section 14.6 for provisional relief; an Ohio merits suit against Ironclad risks a stay/dismissal.</w:t>
            </w:r>
          </w:p>
        </w:tc>
      </w:tr>
      <w:tr>
        <w:trPr>
          <w:cantSplit/>
        </w:trPr>
        <w:tc>
          <w:tcPr>
            <w:tcW w:type="dxa" w:w="2189"/>
            <w:vAlign w:val="center"/>
            <w:tcMar>
              <w:top w:w="90" w:type="dxa"/>
              <w:start w:w="100" w:type="dxa"/>
              <w:bottom w:w="90" w:type="dxa"/>
              <w:end w:w="100" w:type="dxa"/>
            </w:tcMar>
            <w:shd w:fill="F2F6F8"/>
          </w:tcPr>
          <w:p>
            <w:pPr>
              <w:spacing w:after="0"/>
            </w:pPr>
            <w:r/>
            <w:r>
              <w:rPr>
                <w:rFonts w:ascii="Arial" w:hAnsi="Arial"/>
                <w:b w:val="0"/>
                <w:sz w:val="16"/>
              </w:rPr>
              <w:t>Fallback court venue</w:t>
            </w:r>
          </w:p>
        </w:tc>
        <w:tc>
          <w:tcPr>
            <w:tcW w:type="dxa" w:w="8107"/>
            <w:vAlign w:val="center"/>
            <w:tcMar>
              <w:top w:w="90" w:type="dxa"/>
              <w:start w:w="100" w:type="dxa"/>
              <w:bottom w:w="90" w:type="dxa"/>
              <w:end w:w="100" w:type="dxa"/>
            </w:tcMar>
            <w:shd w:fill="F2F6F8"/>
          </w:tcPr>
          <w:p>
            <w:pPr>
              <w:spacing w:after="0"/>
            </w:pPr>
            <w:r/>
            <w:r>
              <w:rPr>
                <w:rFonts w:ascii="Arial" w:hAnsi="Arial"/>
                <w:b w:val="0"/>
                <w:sz w:val="16"/>
              </w:rPr>
              <w:t>Non-arbitrable disputes are assigned to state/federal courts in Kent County, Michigan. The agreement’s governing-law/venue clauses are a serious obstacle to Dalton’s own contract claims in Ohio. Use Ohio courts for provisional relief only when necessary, without waiving arbitration.</w:t>
            </w:r>
          </w:p>
        </w:tc>
      </w:tr>
      <w:tr>
        <w:trPr>
          <w:cantSplit/>
        </w:trPr>
        <w:tc>
          <w:tcPr>
            <w:tcW w:type="dxa" w:w="2189"/>
            <w:vAlign w:val="center"/>
            <w:tcMar>
              <w:top w:w="90" w:type="dxa"/>
              <w:start w:w="100" w:type="dxa"/>
              <w:bottom w:w="90" w:type="dxa"/>
              <w:end w:w="100" w:type="dxa"/>
            </w:tcMar>
          </w:tcPr>
          <w:p>
            <w:pPr>
              <w:spacing w:after="0"/>
            </w:pPr>
            <w:r/>
            <w:r>
              <w:rPr>
                <w:rFonts w:ascii="Arial" w:hAnsi="Arial"/>
                <w:b w:val="0"/>
                <w:sz w:val="16"/>
              </w:rPr>
              <w:t>12-month contractual limitation</w:t>
            </w:r>
          </w:p>
        </w:tc>
        <w:tc>
          <w:tcPr>
            <w:tcW w:type="dxa" w:w="8107"/>
            <w:vAlign w:val="center"/>
            <w:tcMar>
              <w:top w:w="90" w:type="dxa"/>
              <w:start w:w="100" w:type="dxa"/>
              <w:bottom w:w="90" w:type="dxa"/>
              <w:end w:w="100" w:type="dxa"/>
            </w:tcMar>
          </w:tcPr>
          <w:p>
            <w:pPr>
              <w:spacing w:after="0"/>
            </w:pPr>
            <w:r/>
            <w:r>
              <w:rPr>
                <w:rFonts w:ascii="Arial" w:hAnsi="Arial"/>
                <w:b w:val="0"/>
                <w:sz w:val="16"/>
              </w:rPr>
              <w:t>Section 15.3 says every claim must be commenced within 12 months after the event, regardless of discovery; it purports to bar claims accruing March 14, 2025 after March 14, 2026. Treat this as controlling for planning unless invalidated. A negotiation or tolling request may not satisfy “commenced”; obtain an express signed tolling agreement or file the arbitration well before the deadline.</w:t>
            </w:r>
          </w:p>
        </w:tc>
      </w:tr>
      <w:tr>
        <w:trPr>
          <w:cantSplit/>
        </w:trPr>
        <w:tc>
          <w:tcPr>
            <w:tcW w:type="dxa" w:w="2189"/>
            <w:vAlign w:val="center"/>
            <w:tcMar>
              <w:top w:w="90" w:type="dxa"/>
              <w:start w:w="100" w:type="dxa"/>
              <w:bottom w:w="90" w:type="dxa"/>
              <w:end w:w="100" w:type="dxa"/>
            </w:tcMar>
            <w:shd w:fill="F2F6F8"/>
          </w:tcPr>
          <w:p>
            <w:pPr>
              <w:spacing w:after="0"/>
            </w:pPr>
            <w:r/>
            <w:r>
              <w:rPr>
                <w:rFonts w:ascii="Arial" w:hAnsi="Arial"/>
                <w:b w:val="0"/>
                <w:sz w:val="16"/>
              </w:rPr>
              <w:t>Liability cap and consequential damages</w:t>
            </w:r>
          </w:p>
        </w:tc>
        <w:tc>
          <w:tcPr>
            <w:tcW w:type="dxa" w:w="8107"/>
            <w:vAlign w:val="center"/>
            <w:tcMar>
              <w:top w:w="90" w:type="dxa"/>
              <w:start w:w="100" w:type="dxa"/>
              <w:bottom w:w="90" w:type="dxa"/>
              <w:end w:w="100" w:type="dxa"/>
            </w:tcMar>
            <w:shd w:fill="F2F6F8"/>
          </w:tcPr>
          <w:p>
            <w:pPr>
              <w:spacing w:after="0"/>
            </w:pPr>
            <w:r/>
            <w:r>
              <w:rPr>
                <w:rFonts w:ascii="Arial" w:hAnsi="Arial"/>
                <w:b w:val="0"/>
                <w:sz w:val="16"/>
              </w:rPr>
              <w:t>Section 12 purports to cap aggregate seller liability for all claims—including tort, strict liability and third-party claims—at the price paid for the specific product ($1,287,500) and excludes lost profits, business interruption, production downtime, and other commercial consequential loss. Contest enforceability and application to personal injury, willful/grossly negligent conduct, nonparties, and non-contracting HydraCore; in parallel, value a capped commercial recovery scenario.</w:t>
            </w:r>
          </w:p>
        </w:tc>
      </w:tr>
      <w:tr>
        <w:trPr>
          <w:cantSplit/>
        </w:trPr>
        <w:tc>
          <w:tcPr>
            <w:tcW w:type="dxa" w:w="2189"/>
            <w:vAlign w:val="center"/>
            <w:tcMar>
              <w:top w:w="90" w:type="dxa"/>
              <w:start w:w="100" w:type="dxa"/>
              <w:bottom w:w="90" w:type="dxa"/>
              <w:end w:w="100" w:type="dxa"/>
            </w:tcMar>
          </w:tcPr>
          <w:p>
            <w:pPr>
              <w:spacing w:after="0"/>
            </w:pPr>
            <w:r/>
            <w:r>
              <w:rPr>
                <w:rFonts w:ascii="Arial" w:hAnsi="Arial"/>
                <w:b w:val="0"/>
                <w:sz w:val="16"/>
              </w:rPr>
              <w:t>Warranty and acceptance</w:t>
            </w:r>
          </w:p>
        </w:tc>
        <w:tc>
          <w:tcPr>
            <w:tcW w:type="dxa" w:w="8107"/>
            <w:vAlign w:val="center"/>
            <w:tcMar>
              <w:top w:w="90" w:type="dxa"/>
              <w:start w:w="100" w:type="dxa"/>
              <w:bottom w:w="90" w:type="dxa"/>
              <w:end w:w="100" w:type="dxa"/>
            </w:tcMar>
          </w:tcPr>
          <w:p>
            <w:pPr>
              <w:spacing w:after="0"/>
            </w:pPr>
            <w:r/>
            <w:r>
              <w:rPr>
                <w:rFonts w:ascii="Arial" w:hAnsi="Arial"/>
                <w:b w:val="0"/>
                <w:sz w:val="16"/>
              </w:rPr>
              <w:t>The 24-month warranty began Dec. 16, 2024 and on the supplied terms runs to Dec. 16, 2026. Dalton’s March 15 written notice appears timely; retain proof and follow up with a formal, particularized defect/damages notice. Ironclad’s third-party-component exclusion and sole-remedy clause create defenses, while the PO warranty and latent nature of the alleged defect support Dalton.</w:t>
            </w:r>
          </w:p>
        </w:tc>
      </w:tr>
      <w:tr>
        <w:trPr>
          <w:cantSplit/>
        </w:trPr>
        <w:tc>
          <w:tcPr>
            <w:tcW w:type="dxa" w:w="2189"/>
            <w:vAlign w:val="center"/>
            <w:tcMar>
              <w:top w:w="90" w:type="dxa"/>
              <w:start w:w="100" w:type="dxa"/>
              <w:bottom w:w="90" w:type="dxa"/>
              <w:end w:w="100" w:type="dxa"/>
            </w:tcMar>
            <w:shd w:fill="F2F6F8"/>
          </w:tcPr>
          <w:p>
            <w:pPr>
              <w:spacing w:after="0"/>
            </w:pPr>
            <w:r/>
            <w:r>
              <w:rPr>
                <w:rFonts w:ascii="Arial" w:hAnsi="Arial"/>
                <w:b w:val="0"/>
                <w:sz w:val="16"/>
              </w:rPr>
              <w:t>HydraCore and injured non-signatories</w:t>
            </w:r>
          </w:p>
        </w:tc>
        <w:tc>
          <w:tcPr>
            <w:tcW w:type="dxa" w:w="8107"/>
            <w:vAlign w:val="center"/>
            <w:tcMar>
              <w:top w:w="90" w:type="dxa"/>
              <w:start w:w="100" w:type="dxa"/>
              <w:bottom w:w="90" w:type="dxa"/>
              <w:end w:w="100" w:type="dxa"/>
            </w:tcMar>
            <w:shd w:fill="F2F6F8"/>
          </w:tcPr>
          <w:p>
            <w:pPr>
              <w:spacing w:after="0"/>
            </w:pPr>
            <w:r/>
            <w:r>
              <w:rPr>
                <w:rFonts w:ascii="Arial" w:hAnsi="Arial"/>
                <w:b w:val="0"/>
                <w:sz w:val="16"/>
              </w:rPr>
              <w:t>HydraCore is not a signatory to Dalton’s PO, although Section 12.4 purports to benefit suppliers and Section 14.3 broadly covers product disputes. HydraCore’s right to invoke the cap/arbitration is unresolved. The terms also both purport to extend arbitration to employees and disclaim third-party beneficiaries (Section 15.8). Preserve objections; do not assume the family or injured workers are bound.</w:t>
            </w:r>
          </w:p>
        </w:tc>
      </w:tr>
    </w:tbl>
    <w:p>
      <w:pPr>
        <w:spacing w:after="20"/>
      </w:pPr>
    </w:p>
    <w:p>
      <w:pPr>
        <w:pStyle w:val="Heading2"/>
        <w:keepNext/>
        <w:spacing w:before="120" w:after="80"/>
      </w:pPr>
      <w:r>
        <w:t>Venue recommendation</w:t>
      </w:r>
    </w:p>
    <w:p>
      <w:pPr>
        <w:keepLines/>
        <w:spacing w:after="100" w:line="259" w:lineRule="auto"/>
      </w:pPr>
      <w:r>
        <w:rPr>
          <w:i w:val="0"/>
        </w:rPr>
        <w:t>Keep the corporate recovery track distinct from the employee tort track. For Dalton’s affirmative claims against Ironclad, comply with the contract’s negotiation and AAA path in Grand Rapids while seeking a tolling agreement and coordinated discovery. Analyze HydraCore’s forum, personal-jurisdiction, governing-law, and nonsignatory/beneficiary positions separately; do not assume Ironclad’s arbitration clause binds HydraCore. Ohio is the natural factual forum for the incident and injured Ohio workers, and any estate/individual claims should be assessed in consultation with their independent counsel. Those claimants did not sign the PO; the attempted extension of arbitration to them is debatable. Avoid filing overlapping merits actions before forum analysis, but seek Ohio provisional relief if needed to preserve evidence or prevent irreparable harm.</w:t>
      </w:r>
    </w:p>
    <w:p>
      <w:pPr>
        <w:pStyle w:val="Heading1"/>
        <w:keepNext/>
        <w:spacing w:before="200" w:after="80"/>
      </w:pPr>
      <w:r>
        <w:t>4. Damages and valuation</w:t>
      </w:r>
    </w:p>
    <w:p>
      <w:pPr>
        <w:keepLines/>
        <w:spacing w:after="100" w:line="259" w:lineRule="auto"/>
      </w:pPr>
      <w:r>
        <w:rPr>
          <w:i w:val="0"/>
        </w:rPr>
        <w:t>The workbook’s amounts are preliminary gross claim estimates, not a prediction of verdict, recoverable damages, or Dalton’s net exposure. They do not reflect comparative-fault allocation, defenses, liens, insurance recoveries, or the contract cap. The employee and estate values are third-party claims against the product defendants, not corporate damages belonging to Dalton.</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045"/>
        <w:gridCol w:w="2189"/>
        <w:gridCol w:w="6062"/>
      </w:tblGrid>
      <w:tr>
        <w:trPr>
          <w:tblHeader w:val="true"/>
          <w:cantSplit/>
        </w:trPr>
        <w:tc>
          <w:tcPr>
            <w:tcW w:type="dxa" w:w="2045"/>
            <w:vAlign w:val="center"/>
            <w:tcMar>
              <w:top w:w="90" w:type="dxa"/>
              <w:start w:w="100" w:type="dxa"/>
              <w:bottom w:w="90" w:type="dxa"/>
              <w:end w:w="100" w:type="dxa"/>
            </w:tcMar>
            <w:shd w:fill="1F4E67"/>
          </w:tcPr>
          <w:p>
            <w:pPr>
              <w:spacing w:after="0"/>
            </w:pPr>
            <w:r/>
            <w:r>
              <w:rPr>
                <w:rFonts w:ascii="Arial" w:hAnsi="Arial"/>
                <w:b/>
                <w:color w:val="FFFFFF"/>
                <w:sz w:val="16"/>
              </w:rPr>
              <w:t>Claim / claimant</w:t>
            </w:r>
          </w:p>
        </w:tc>
        <w:tc>
          <w:tcPr>
            <w:tcW w:type="dxa" w:w="2189"/>
            <w:vAlign w:val="center"/>
            <w:tcMar>
              <w:top w:w="90" w:type="dxa"/>
              <w:start w:w="100" w:type="dxa"/>
              <w:bottom w:w="90" w:type="dxa"/>
              <w:end w:w="100" w:type="dxa"/>
            </w:tcMar>
            <w:shd w:fill="1F4E67"/>
          </w:tcPr>
          <w:p>
            <w:pPr>
              <w:spacing w:after="0"/>
            </w:pPr>
            <w:r/>
            <w:r>
              <w:rPr>
                <w:rFonts w:ascii="Arial" w:hAnsi="Arial"/>
                <w:b/>
                <w:color w:val="FFFFFF"/>
                <w:sz w:val="16"/>
              </w:rPr>
              <w:t>Current estimate</w:t>
            </w:r>
          </w:p>
        </w:tc>
        <w:tc>
          <w:tcPr>
            <w:tcW w:type="dxa" w:w="6062"/>
            <w:vAlign w:val="center"/>
            <w:tcMar>
              <w:top w:w="90" w:type="dxa"/>
              <w:start w:w="100" w:type="dxa"/>
              <w:bottom w:w="90" w:type="dxa"/>
              <w:end w:w="100" w:type="dxa"/>
            </w:tcMar>
            <w:shd w:fill="1F4E67"/>
          </w:tcPr>
          <w:p>
            <w:pPr>
              <w:spacing w:after="0"/>
            </w:pPr>
            <w:r/>
            <w:r>
              <w:rPr>
                <w:rFonts w:ascii="Arial" w:hAnsi="Arial"/>
                <w:b/>
                <w:color w:val="FFFFFF"/>
                <w:sz w:val="16"/>
              </w:rPr>
              <w:t>Important qualifications</w:t>
            </w:r>
          </w:p>
        </w:tc>
      </w:tr>
      <w:tr>
        <w:trPr>
          <w:cantSplit/>
        </w:trPr>
        <w:tc>
          <w:tcPr>
            <w:tcW w:type="dxa" w:w="2045"/>
            <w:vAlign w:val="center"/>
            <w:tcMar>
              <w:top w:w="90" w:type="dxa"/>
              <w:start w:w="100" w:type="dxa"/>
              <w:bottom w:w="90" w:type="dxa"/>
              <w:end w:w="100" w:type="dxa"/>
            </w:tcMar>
          </w:tcPr>
          <w:p>
            <w:pPr>
              <w:spacing w:after="0"/>
            </w:pPr>
            <w:r/>
            <w:r>
              <w:rPr>
                <w:rFonts w:ascii="Arial" w:hAnsi="Arial"/>
                <w:b w:val="0"/>
                <w:sz w:val="16"/>
              </w:rPr>
              <w:t>Reyes wrongful death / estate</w:t>
            </w:r>
          </w:p>
        </w:tc>
        <w:tc>
          <w:tcPr>
            <w:tcW w:type="dxa" w:w="2189"/>
            <w:vAlign w:val="center"/>
            <w:tcMar>
              <w:top w:w="90" w:type="dxa"/>
              <w:start w:w="100" w:type="dxa"/>
              <w:bottom w:w="90" w:type="dxa"/>
              <w:end w:w="100" w:type="dxa"/>
            </w:tcMar>
          </w:tcPr>
          <w:p>
            <w:pPr>
              <w:spacing w:after="0"/>
            </w:pPr>
            <w:r/>
            <w:r>
              <w:rPr>
                <w:rFonts w:ascii="Arial" w:hAnsi="Arial"/>
                <w:b w:val="0"/>
                <w:sz w:val="16"/>
              </w:rPr>
              <w:t xml:space="preserve"> $5,099,700–$9,099,700 </w:t>
            </w:r>
          </w:p>
        </w:tc>
        <w:tc>
          <w:tcPr>
            <w:tcW w:type="dxa" w:w="6062"/>
            <w:vAlign w:val="center"/>
            <w:tcMar>
              <w:top w:w="90" w:type="dxa"/>
              <w:start w:w="100" w:type="dxa"/>
              <w:bottom w:w="90" w:type="dxa"/>
              <w:end w:w="100" w:type="dxa"/>
            </w:tcMar>
          </w:tcPr>
          <w:p>
            <w:pPr>
              <w:spacing w:after="0"/>
            </w:pPr>
            <w:r/>
            <w:r>
              <w:rPr>
                <w:rFonts w:ascii="Arial" w:hAnsi="Arial"/>
                <w:b w:val="0"/>
                <w:sz w:val="16"/>
              </w:rPr>
              <w:t>Includes $2,099,700 stated economic damages (lost earnings, funeral costs, household services) and $3.0–$7.0m non-economic range for spouse and two minor children. Before BWC death-benefit/subrogation resolution; personal representative not yet identified/appointed. Punitive damages are separate and unquantified.</w:t>
            </w:r>
          </w:p>
        </w:tc>
      </w:tr>
      <w:tr>
        <w:trPr>
          <w:cantSplit/>
        </w:trPr>
        <w:tc>
          <w:tcPr>
            <w:tcW w:type="dxa" w:w="2045"/>
            <w:vAlign w:val="center"/>
            <w:tcMar>
              <w:top w:w="90" w:type="dxa"/>
              <w:start w:w="100" w:type="dxa"/>
              <w:bottom w:w="90" w:type="dxa"/>
              <w:end w:w="100" w:type="dxa"/>
            </w:tcMar>
            <w:shd w:fill="F2F6F8"/>
          </w:tcPr>
          <w:p>
            <w:pPr>
              <w:spacing w:after="0"/>
            </w:pPr>
            <w:r/>
            <w:r>
              <w:rPr>
                <w:rFonts w:ascii="Arial" w:hAnsi="Arial"/>
                <w:b w:val="0"/>
                <w:sz w:val="16"/>
              </w:rPr>
              <w:t>Trask personal injury</w:t>
            </w:r>
          </w:p>
        </w:tc>
        <w:tc>
          <w:tcPr>
            <w:tcW w:type="dxa" w:w="2189"/>
            <w:vAlign w:val="center"/>
            <w:tcMar>
              <w:top w:w="90" w:type="dxa"/>
              <w:start w:w="100" w:type="dxa"/>
              <w:bottom w:w="90" w:type="dxa"/>
              <w:end w:w="100" w:type="dxa"/>
            </w:tcMar>
            <w:shd w:fill="F2F6F8"/>
          </w:tcPr>
          <w:p>
            <w:pPr>
              <w:spacing w:after="0"/>
            </w:pPr>
            <w:r/>
            <w:r>
              <w:rPr>
                <w:rFonts w:ascii="Arial" w:hAnsi="Arial"/>
                <w:b w:val="0"/>
                <w:sz w:val="16"/>
              </w:rPr>
              <w:t xml:space="preserve"> $4,557,955–$7,157,955 </w:t>
            </w:r>
          </w:p>
        </w:tc>
        <w:tc>
          <w:tcPr>
            <w:tcW w:type="dxa" w:w="6062"/>
            <w:vAlign w:val="center"/>
            <w:tcMar>
              <w:top w:w="90" w:type="dxa"/>
              <w:start w:w="100" w:type="dxa"/>
              <w:bottom w:w="90" w:type="dxa"/>
              <w:end w:w="100" w:type="dxa"/>
            </w:tcMar>
            <w:shd w:fill="F2F6F8"/>
          </w:tcPr>
          <w:p>
            <w:pPr>
              <w:spacing w:after="0"/>
            </w:pPr>
            <w:r/>
            <w:r>
              <w:rPr>
                <w:rFonts w:ascii="Arial" w:hAnsi="Arial"/>
                <w:b w:val="0"/>
                <w:sz w:val="16"/>
              </w:rPr>
              <w:t>Includes $347,000 past medical, adjusted $1.2–$1.8m future care estimate, $10,955 past wages, $1.5–$2.0m future earning capacity, and $1.5–$3.0m non-economic damages. Amputation and TBI are severe; prognosis/future work capacity remain important. BWC lien/benefits unresolved.</w:t>
            </w:r>
          </w:p>
        </w:tc>
      </w:tr>
      <w:tr>
        <w:trPr>
          <w:cantSplit/>
        </w:trPr>
        <w:tc>
          <w:tcPr>
            <w:tcW w:type="dxa" w:w="2045"/>
            <w:vAlign w:val="center"/>
            <w:tcMar>
              <w:top w:w="90" w:type="dxa"/>
              <w:start w:w="100" w:type="dxa"/>
              <w:bottom w:w="90" w:type="dxa"/>
              <w:end w:w="100" w:type="dxa"/>
            </w:tcMar>
          </w:tcPr>
          <w:p>
            <w:pPr>
              <w:spacing w:after="0"/>
            </w:pPr>
            <w:r/>
            <w:r>
              <w:rPr>
                <w:rFonts w:ascii="Arial" w:hAnsi="Arial"/>
                <w:b w:val="0"/>
                <w:sz w:val="16"/>
              </w:rPr>
              <w:t>Anand personal injury</w:t>
            </w:r>
          </w:p>
        </w:tc>
        <w:tc>
          <w:tcPr>
            <w:tcW w:type="dxa" w:w="2189"/>
            <w:vAlign w:val="center"/>
            <w:tcMar>
              <w:top w:w="90" w:type="dxa"/>
              <w:start w:w="100" w:type="dxa"/>
              <w:bottom w:w="90" w:type="dxa"/>
              <w:end w:w="100" w:type="dxa"/>
            </w:tcMar>
          </w:tcPr>
          <w:p>
            <w:pPr>
              <w:spacing w:after="0"/>
            </w:pPr>
            <w:r/>
            <w:r>
              <w:rPr>
                <w:rFonts w:ascii="Arial" w:hAnsi="Arial"/>
                <w:b w:val="0"/>
                <w:sz w:val="16"/>
              </w:rPr>
              <w:t xml:space="preserve"> $452,887–$902,887 </w:t>
            </w:r>
          </w:p>
        </w:tc>
        <w:tc>
          <w:tcPr>
            <w:tcW w:type="dxa" w:w="6062"/>
            <w:vAlign w:val="center"/>
            <w:tcMar>
              <w:top w:w="90" w:type="dxa"/>
              <w:start w:w="100" w:type="dxa"/>
              <w:bottom w:w="90" w:type="dxa"/>
              <w:end w:w="100" w:type="dxa"/>
            </w:tcMar>
          </w:tcPr>
          <w:p>
            <w:pPr>
              <w:spacing w:after="0"/>
            </w:pPr>
            <w:r/>
            <w:r>
              <w:rPr>
                <w:rFonts w:ascii="Arial" w:hAnsi="Arial"/>
                <w:b w:val="0"/>
                <w:sz w:val="16"/>
              </w:rPr>
              <w:t>Includes $89,500 past medical, $60,000–$110,000 future medical, $3,387 past wages, and $300,000–$700,000 non-economic damages. Expected return to full duty is stated; confirm healing, scar, fracture, PTSD and wage-loss evidence. BWC lien/benefits unresolved.</w:t>
            </w:r>
          </w:p>
        </w:tc>
      </w:tr>
      <w:tr>
        <w:trPr>
          <w:cantSplit/>
        </w:trPr>
        <w:tc>
          <w:tcPr>
            <w:tcW w:type="dxa" w:w="2045"/>
            <w:vAlign w:val="center"/>
            <w:tcMar>
              <w:top w:w="90" w:type="dxa"/>
              <w:start w:w="100" w:type="dxa"/>
              <w:bottom w:w="90" w:type="dxa"/>
              <w:end w:w="100" w:type="dxa"/>
            </w:tcMar>
            <w:shd w:fill="F2F6F8"/>
          </w:tcPr>
          <w:p>
            <w:pPr>
              <w:spacing w:after="0"/>
            </w:pPr>
            <w:r/>
            <w:r>
              <w:rPr>
                <w:rFonts w:ascii="Arial" w:hAnsi="Arial"/>
                <w:b w:val="0"/>
                <w:sz w:val="16"/>
              </w:rPr>
              <w:t>Dalton direct losses currently listed</w:t>
            </w:r>
          </w:p>
        </w:tc>
        <w:tc>
          <w:tcPr>
            <w:tcW w:type="dxa" w:w="2189"/>
            <w:vAlign w:val="center"/>
            <w:tcMar>
              <w:top w:w="90" w:type="dxa"/>
              <w:start w:w="100" w:type="dxa"/>
              <w:bottom w:w="90" w:type="dxa"/>
              <w:end w:w="100" w:type="dxa"/>
            </w:tcMar>
            <w:shd w:fill="F2F6F8"/>
          </w:tcPr>
          <w:p>
            <w:pPr>
              <w:spacing w:after="0"/>
            </w:pPr>
            <w:r/>
            <w:r>
              <w:rPr>
                <w:rFonts w:ascii="Arial" w:hAnsi="Arial"/>
                <w:b w:val="0"/>
                <w:sz w:val="16"/>
              </w:rPr>
              <w:t xml:space="preserve"> $1,673,750 </w:t>
            </w:r>
          </w:p>
        </w:tc>
        <w:tc>
          <w:tcPr>
            <w:tcW w:type="dxa" w:w="6062"/>
            <w:vAlign w:val="center"/>
            <w:tcMar>
              <w:top w:w="90" w:type="dxa"/>
              <w:start w:w="100" w:type="dxa"/>
              <w:bottom w:w="90" w:type="dxa"/>
              <w:end w:w="100" w:type="dxa"/>
            </w:tcMar>
            <w:shd w:fill="F2F6F8"/>
          </w:tcPr>
          <w:p>
            <w:pPr>
              <w:spacing w:after="0"/>
            </w:pPr>
            <w:r/>
            <w:r>
              <w:rPr>
                <w:rFonts w:ascii="Arial" w:hAnsi="Arial"/>
                <w:b w:val="0"/>
                <w:sz w:val="16"/>
              </w:rPr>
              <w:t>Workbook includes $256,300 other-property/facility damage, $974,050 lost contribution margin, $412,000 outsourcing, and $31,400 OSHA penalties. Excluding the penalties, arithmetic is $1,642,350. Recoverability and overlap require proof and legal review.</w:t>
            </w:r>
          </w:p>
        </w:tc>
      </w:tr>
      <w:tr>
        <w:trPr>
          <w:cantSplit/>
        </w:trPr>
        <w:tc>
          <w:tcPr>
            <w:tcW w:type="dxa" w:w="2045"/>
            <w:vAlign w:val="center"/>
            <w:tcMar>
              <w:top w:w="90" w:type="dxa"/>
              <w:start w:w="100" w:type="dxa"/>
              <w:bottom w:w="90" w:type="dxa"/>
              <w:end w:w="100" w:type="dxa"/>
            </w:tcMar>
          </w:tcPr>
          <w:p>
            <w:pPr>
              <w:spacing w:after="0"/>
            </w:pPr>
            <w:r/>
            <w:r>
              <w:rPr>
                <w:rFonts w:ascii="Arial" w:hAnsi="Arial"/>
                <w:b w:val="0"/>
                <w:sz w:val="16"/>
              </w:rPr>
              <w:t>Workbook aggregate total</w:t>
            </w:r>
          </w:p>
        </w:tc>
        <w:tc>
          <w:tcPr>
            <w:tcW w:type="dxa" w:w="2189"/>
            <w:vAlign w:val="center"/>
            <w:tcMar>
              <w:top w:w="90" w:type="dxa"/>
              <w:start w:w="100" w:type="dxa"/>
              <w:bottom w:w="90" w:type="dxa"/>
              <w:end w:w="100" w:type="dxa"/>
            </w:tcMar>
          </w:tcPr>
          <w:p>
            <w:pPr>
              <w:spacing w:after="0"/>
            </w:pPr>
            <w:r/>
            <w:r>
              <w:rPr>
                <w:rFonts w:ascii="Arial" w:hAnsi="Arial"/>
                <w:b w:val="0"/>
                <w:sz w:val="16"/>
              </w:rPr>
              <w:t xml:space="preserve"> $11,784,292–$18,834,292 </w:t>
            </w:r>
          </w:p>
        </w:tc>
        <w:tc>
          <w:tcPr>
            <w:tcW w:type="dxa" w:w="6062"/>
            <w:vAlign w:val="center"/>
            <w:tcMar>
              <w:top w:w="90" w:type="dxa"/>
              <w:start w:w="100" w:type="dxa"/>
              <w:bottom w:w="90" w:type="dxa"/>
              <w:end w:w="100" w:type="dxa"/>
            </w:tcMar>
          </w:tcPr>
          <w:p>
            <w:pPr>
              <w:spacing w:after="0"/>
            </w:pPr>
            <w:r/>
            <w:r>
              <w:rPr>
                <w:rFonts w:ascii="Arial" w:hAnsi="Arial"/>
                <w:b w:val="0"/>
                <w:sz w:val="16"/>
              </w:rPr>
              <w:t>This is the workbook’s sum of the three third-party claim ranges plus listed Dalton losses; midpoint $15,309,292. It is not a single Dalton claim or settlement value. Subtracting the $31,400 penalty line alone yields $11,752,892–$18,802,892, but the total remains incomplete and subject to all caveats below.</w:t>
            </w:r>
          </w:p>
        </w:tc>
      </w:tr>
    </w:tbl>
    <w:p>
      <w:pPr>
        <w:spacing w:after="20"/>
      </w:pPr>
    </w:p>
    <w:p>
      <w:pPr>
        <w:pStyle w:val="Heading2"/>
        <w:keepNext/>
        <w:spacing w:before="120" w:after="80"/>
      </w:pPr>
      <w:r>
        <w:t>Damages audit required</w:t>
      </w:r>
    </w:p>
    <w:p>
      <w:pPr>
        <w:pStyle w:val="ListBullet"/>
        <w:keepLines/>
        <w:spacing w:after="40" w:line="250" w:lineRule="auto"/>
      </w:pPr>
      <w:r>
        <w:t>The HX-9000 itself is likely a total loss but is not included in the Dalton direct-loss total. The $1,287,500 PO price may be a warranty measure or asserted contract-cap figure, not automatically recoverable tort property damage. Quantify replacement cost and salvage separately and avoid double counting any refund/repair/replacement remedy.</w:t>
      </w:r>
    </w:p>
    <w:p>
      <w:pPr>
        <w:pStyle w:val="ListBullet"/>
        <w:keepLines/>
        <w:spacing w:after="40" w:line="250" w:lineRule="auto"/>
      </w:pPr>
      <w:r>
        <w:t>The workbook says custom dies/tooling are “included in equipment total” but its stated $256,300 property total only adds the Haas mill ($189,000) and facility repairs ($67,300). The incident report separately says two die sets were destroyed. Reconcile this and value work-in-process, debris/cleanup and any other damaged property.</w:t>
      </w:r>
    </w:p>
    <w:p>
      <w:pPr>
        <w:pStyle w:val="ListBullet"/>
        <w:keepLines/>
        <w:spacing w:after="40" w:line="250" w:lineRule="auto"/>
      </w:pPr>
      <w:r>
        <w:t>Lost contribution margin ($88,550/week for 11 weeks) and $412,000 emergency outsourcing may overlap. Build a weekly production/shipments model showing avoided variable costs, actual outsourced volume, incremental outsourcing expense, customer credits/penalties, backlog recovery, and mitigation. The reported $385,000 weekly revenue is not itself lost profit.</w:t>
      </w:r>
    </w:p>
    <w:p>
      <w:pPr>
        <w:pStyle w:val="ListBullet"/>
        <w:keepLines/>
        <w:spacing w:after="40" w:line="250" w:lineRule="auto"/>
      </w:pPr>
      <w:r>
        <w:t>OSHA civil penalties are imposed on Dalton and should be tracked separately from damages claimed against defendants; do not assume they are recoverable or insurable. Keep them out of the core compensatory valuation absent a specific legal basis. Contract penalties/delay damages to aerospace customers, cleanup, and other business impacts remain TBD.</w:t>
      </w:r>
    </w:p>
    <w:p>
      <w:pPr>
        <w:pStyle w:val="ListBullet"/>
        <w:keepLines/>
        <w:spacing w:after="40" w:line="250" w:lineRule="auto"/>
      </w:pPr>
      <w:r>
        <w:t>The worksheet alternates between itemized future-medical totals and higher “adjusted” life-care ranges for Trask. Obtain a signed life-care plan, updated medical records, vocational/economic opinions, and a consistent model. Quantify BWC benefits/subrogation and any employer statutory subrogation interests; the worksheet’s joint-and-several statutory citation should be separately verified before reliance.</w:t>
      </w:r>
    </w:p>
    <w:p>
      <w:pPr>
        <w:keepLines/>
        <w:spacing w:after="100" w:line="259" w:lineRule="auto"/>
      </w:pPr>
      <w:r>
        <w:rPr>
          <w:i w:val="0"/>
        </w:rPr>
        <w:t>Punitive exposure is materially increased by the February emails, especially the stated desire to avoid a “paper trail” and Brennan’s identification of the Dalton installation. The email record is powerful but not dispositive; confirm completeness, context, and whether the decision-makers knew the complaints implicated a life-threatening bladder/burst hazard. Analyze applicable Ohio statutory standards, limits and apportionment before including any punitive amount in the model.</w:t>
      </w:r>
    </w:p>
    <w:p>
      <w:pPr>
        <w:pStyle w:val="Heading1"/>
        <w:keepNext/>
        <w:spacing w:before="200" w:after="80"/>
      </w:pPr>
      <w:r>
        <w:t>5. Insurance and recovery sources</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059"/>
        <w:gridCol w:w="3384"/>
        <w:gridCol w:w="4853"/>
      </w:tblGrid>
      <w:tr>
        <w:trPr>
          <w:tblHeader w:val="true"/>
          <w:cantSplit/>
        </w:trPr>
        <w:tc>
          <w:tcPr>
            <w:tcW w:type="dxa" w:w="2059"/>
            <w:vAlign w:val="center"/>
            <w:tcMar>
              <w:top w:w="90" w:type="dxa"/>
              <w:start w:w="100" w:type="dxa"/>
              <w:bottom w:w="90" w:type="dxa"/>
              <w:end w:w="100" w:type="dxa"/>
            </w:tcMar>
            <w:shd w:fill="1F4E67"/>
          </w:tcPr>
          <w:p>
            <w:pPr>
              <w:spacing w:after="0"/>
            </w:pPr>
            <w:r/>
            <w:r>
              <w:rPr>
                <w:rFonts w:ascii="Arial" w:hAnsi="Arial"/>
                <w:b/>
                <w:color w:val="FFFFFF"/>
                <w:sz w:val="16"/>
              </w:rPr>
              <w:t>Program</w:t>
            </w:r>
          </w:p>
        </w:tc>
        <w:tc>
          <w:tcPr>
            <w:tcW w:type="dxa" w:w="3384"/>
            <w:vAlign w:val="center"/>
            <w:tcMar>
              <w:top w:w="90" w:type="dxa"/>
              <w:start w:w="100" w:type="dxa"/>
              <w:bottom w:w="90" w:type="dxa"/>
              <w:end w:w="100" w:type="dxa"/>
            </w:tcMar>
            <w:shd w:fill="1F4E67"/>
          </w:tcPr>
          <w:p>
            <w:pPr>
              <w:spacing w:after="0"/>
            </w:pPr>
            <w:r/>
            <w:r>
              <w:rPr>
                <w:rFonts w:ascii="Arial" w:hAnsi="Arial"/>
                <w:b/>
                <w:color w:val="FFFFFF"/>
                <w:sz w:val="16"/>
              </w:rPr>
              <w:t>Stated terms</w:t>
            </w:r>
          </w:p>
        </w:tc>
        <w:tc>
          <w:tcPr>
            <w:tcW w:type="dxa" w:w="4853"/>
            <w:vAlign w:val="center"/>
            <w:tcMar>
              <w:top w:w="90" w:type="dxa"/>
              <w:start w:w="100" w:type="dxa"/>
              <w:bottom w:w="90" w:type="dxa"/>
              <w:end w:w="100" w:type="dxa"/>
            </w:tcMar>
            <w:shd w:fill="1F4E67"/>
          </w:tcPr>
          <w:p>
            <w:pPr>
              <w:spacing w:after="0"/>
            </w:pPr>
            <w:r/>
            <w:r>
              <w:rPr>
                <w:rFonts w:ascii="Arial" w:hAnsi="Arial"/>
                <w:b/>
                <w:color w:val="FFFFFF"/>
                <w:sz w:val="16"/>
              </w:rPr>
              <w:t>Assessment / immediate step</w:t>
            </w:r>
          </w:p>
        </w:tc>
      </w:tr>
      <w:tr>
        <w:trPr>
          <w:cantSplit/>
        </w:trPr>
        <w:tc>
          <w:tcPr>
            <w:tcW w:type="dxa" w:w="2059"/>
            <w:vAlign w:val="center"/>
            <w:tcMar>
              <w:top w:w="90" w:type="dxa"/>
              <w:start w:w="100" w:type="dxa"/>
              <w:bottom w:w="90" w:type="dxa"/>
              <w:end w:w="100" w:type="dxa"/>
            </w:tcMar>
          </w:tcPr>
          <w:p>
            <w:pPr>
              <w:spacing w:after="0"/>
            </w:pPr>
            <w:r/>
            <w:r>
              <w:rPr>
                <w:rFonts w:ascii="Arial" w:hAnsi="Arial"/>
                <w:b w:val="0"/>
                <w:sz w:val="16"/>
              </w:rPr>
              <w:t>Pinnacle Mutual CGL — PMI-OH-4421876</w:t>
            </w:r>
          </w:p>
        </w:tc>
        <w:tc>
          <w:tcPr>
            <w:tcW w:type="dxa" w:w="3384"/>
            <w:vAlign w:val="center"/>
            <w:tcMar>
              <w:top w:w="90" w:type="dxa"/>
              <w:start w:w="100" w:type="dxa"/>
              <w:bottom w:w="90" w:type="dxa"/>
              <w:end w:w="100" w:type="dxa"/>
            </w:tcMar>
          </w:tcPr>
          <w:p>
            <w:pPr>
              <w:spacing w:after="0"/>
            </w:pPr>
            <w:r/>
            <w:r>
              <w:rPr>
                <w:rFonts w:ascii="Arial" w:hAnsi="Arial"/>
                <w:b w:val="0"/>
                <w:sz w:val="16"/>
              </w:rPr>
              <w:t>Occurrence; Jan. 1, 2025–Jan. 1, 2026; $5m each occurrence; $10m general and products-completed-operations aggregates; $10,000 third-party-property deductible.</w:t>
            </w:r>
          </w:p>
        </w:tc>
        <w:tc>
          <w:tcPr>
            <w:tcW w:type="dxa" w:w="4853"/>
            <w:vAlign w:val="center"/>
            <w:tcMar>
              <w:top w:w="90" w:type="dxa"/>
              <w:start w:w="100" w:type="dxa"/>
              <w:bottom w:w="90" w:type="dxa"/>
              <w:end w:w="100" w:type="dxa"/>
            </w:tcMar>
          </w:tcPr>
          <w:p>
            <w:pPr>
              <w:spacing w:after="0"/>
            </w:pPr>
            <w:r/>
            <w:r>
              <w:rPr>
                <w:rFonts w:ascii="Arial" w:hAnsi="Arial"/>
                <w:b w:val="0"/>
                <w:sz w:val="16"/>
              </w:rPr>
              <w:t>This is liability coverage for covered claims against Dalton, not first-party insurance for Dalton’s affirmative claims against Ironclad/HydraCore. The employer’s-liability exclusion expressly bars bodily injury to Dalton employees in the course of employment, even if Dalton is liable in another capacity. Confirm tender and written acknowledgment/reservation position; do not assume a defense for Reyes/Trask/Anand claims.</w:t>
            </w:r>
          </w:p>
        </w:tc>
      </w:tr>
      <w:tr>
        <w:trPr>
          <w:cantSplit/>
        </w:trPr>
        <w:tc>
          <w:tcPr>
            <w:tcW w:type="dxa" w:w="2059"/>
            <w:vAlign w:val="center"/>
            <w:tcMar>
              <w:top w:w="90" w:type="dxa"/>
              <w:start w:w="100" w:type="dxa"/>
              <w:bottom w:w="90" w:type="dxa"/>
              <w:end w:w="100" w:type="dxa"/>
            </w:tcMar>
            <w:shd w:fill="F2F6F8"/>
          </w:tcPr>
          <w:p>
            <w:pPr>
              <w:spacing w:after="0"/>
            </w:pPr>
            <w:r/>
            <w:r>
              <w:rPr>
                <w:rFonts w:ascii="Arial" w:hAnsi="Arial"/>
                <w:b w:val="0"/>
                <w:sz w:val="16"/>
              </w:rPr>
              <w:t>Great Plains excess/umbrella — GPES-2024-00319</w:t>
            </w:r>
          </w:p>
        </w:tc>
        <w:tc>
          <w:tcPr>
            <w:tcW w:type="dxa" w:w="3384"/>
            <w:vAlign w:val="center"/>
            <w:tcMar>
              <w:top w:w="90" w:type="dxa"/>
              <w:start w:w="100" w:type="dxa"/>
              <w:bottom w:w="90" w:type="dxa"/>
              <w:end w:w="100" w:type="dxa"/>
            </w:tcMar>
            <w:shd w:fill="F2F6F8"/>
          </w:tcPr>
          <w:p>
            <w:pPr>
              <w:spacing w:after="0"/>
            </w:pPr>
            <w:r/>
            <w:r>
              <w:rPr>
                <w:rFonts w:ascii="Arial" w:hAnsi="Arial"/>
                <w:b w:val="0"/>
                <w:sz w:val="16"/>
              </w:rPr>
              <w:t>$15m each occurrence and aggregate; follow form; $25,000 SIR for claims not covered by underlying insurance; 60-day notice ceiling; employer-liability and punitive-damages exclusions. Surplus-lines carrier.</w:t>
            </w:r>
          </w:p>
        </w:tc>
        <w:tc>
          <w:tcPr>
            <w:tcW w:type="dxa" w:w="4853"/>
            <w:vAlign w:val="center"/>
            <w:tcMar>
              <w:top w:w="90" w:type="dxa"/>
              <w:start w:w="100" w:type="dxa"/>
              <w:bottom w:w="90" w:type="dxa"/>
              <w:end w:w="100" w:type="dxa"/>
            </w:tcMar>
            <w:shd w:fill="F2F6F8"/>
          </w:tcPr>
          <w:p>
            <w:pPr>
              <w:spacing w:after="0"/>
            </w:pPr>
            <w:r/>
            <w:r>
              <w:rPr>
                <w:rFonts w:ascii="Arial" w:hAnsi="Arial"/>
                <w:b w:val="0"/>
                <w:sz w:val="16"/>
              </w:rPr>
              <w:t>Not a source for Dalton’s own property/BI claim and follows the CGL employee exclusion. The schedule lists an Ohio BWC self-insured employers-liability layer ($1m each accident); obtain the actual underlying terms and clarify attachment/coverage—do not assume the umbrella supplies employee-injury coverage. Confirm timely concurrent written notice to both insurers and protect rights with the surplus-lines carrier.</w:t>
            </w:r>
          </w:p>
        </w:tc>
      </w:tr>
      <w:tr>
        <w:trPr>
          <w:cantSplit/>
        </w:trPr>
        <w:tc>
          <w:tcPr>
            <w:tcW w:type="dxa" w:w="2059"/>
            <w:vAlign w:val="center"/>
            <w:tcMar>
              <w:top w:w="90" w:type="dxa"/>
              <w:start w:w="100" w:type="dxa"/>
              <w:bottom w:w="90" w:type="dxa"/>
              <w:end w:w="100" w:type="dxa"/>
            </w:tcMar>
          </w:tcPr>
          <w:p>
            <w:pPr>
              <w:spacing w:after="0"/>
            </w:pPr>
            <w:r/>
            <w:r>
              <w:rPr>
                <w:rFonts w:ascii="Arial" w:hAnsi="Arial"/>
                <w:b w:val="0"/>
                <w:sz w:val="16"/>
              </w:rPr>
              <w:t>Ohio BWC self-insured group SI-7782</w:t>
            </w:r>
          </w:p>
        </w:tc>
        <w:tc>
          <w:tcPr>
            <w:tcW w:type="dxa" w:w="3384"/>
            <w:vAlign w:val="center"/>
            <w:tcMar>
              <w:top w:w="90" w:type="dxa"/>
              <w:start w:w="100" w:type="dxa"/>
              <w:bottom w:w="90" w:type="dxa"/>
              <w:end w:w="100" w:type="dxa"/>
            </w:tcMar>
          </w:tcPr>
          <w:p>
            <w:pPr>
              <w:spacing w:after="0"/>
            </w:pPr>
            <w:r/>
            <w:r>
              <w:rPr>
                <w:rFonts w:ascii="Arial" w:hAnsi="Arial"/>
                <w:b w:val="0"/>
                <w:sz w:val="16"/>
              </w:rPr>
              <w:t>Statutory workers’ compensation benefits; schedule lists employer-liability limits of $1m each accident / disease.</w:t>
            </w:r>
          </w:p>
        </w:tc>
        <w:tc>
          <w:tcPr>
            <w:tcW w:type="dxa" w:w="4853"/>
            <w:vAlign w:val="center"/>
            <w:tcMar>
              <w:top w:w="90" w:type="dxa"/>
              <w:start w:w="100" w:type="dxa"/>
              <w:bottom w:w="90" w:type="dxa"/>
              <w:end w:w="100" w:type="dxa"/>
            </w:tcMar>
          </w:tcPr>
          <w:p>
            <w:pPr>
              <w:spacing w:after="0"/>
            </w:pPr>
            <w:r/>
            <w:r>
              <w:rPr>
                <w:rFonts w:ascii="Arial" w:hAnsi="Arial"/>
                <w:b w:val="0"/>
                <w:sz w:val="16"/>
              </w:rPr>
              <w:t>Coordinate statutory benefits, liens/subrogation and any employer recovery rights. Obtain the complete group and employers-liability policy documents; declarations alone are insufficient to determine third-party or umbrella response.</w:t>
            </w:r>
          </w:p>
        </w:tc>
      </w:tr>
      <w:tr>
        <w:trPr>
          <w:cantSplit/>
        </w:trPr>
        <w:tc>
          <w:tcPr>
            <w:tcW w:type="dxa" w:w="2059"/>
            <w:vAlign w:val="center"/>
            <w:tcMar>
              <w:top w:w="90" w:type="dxa"/>
              <w:start w:w="100" w:type="dxa"/>
              <w:bottom w:w="90" w:type="dxa"/>
              <w:end w:w="100" w:type="dxa"/>
            </w:tcMar>
            <w:shd w:fill="F2F6F8"/>
          </w:tcPr>
          <w:p>
            <w:pPr>
              <w:spacing w:after="0"/>
            </w:pPr>
            <w:r/>
            <w:r>
              <w:rPr>
                <w:rFonts w:ascii="Arial" w:hAnsi="Arial"/>
                <w:b w:val="0"/>
                <w:sz w:val="16"/>
              </w:rPr>
              <w:t>First-party property / business interruption</w:t>
            </w:r>
          </w:p>
        </w:tc>
        <w:tc>
          <w:tcPr>
            <w:tcW w:type="dxa" w:w="3384"/>
            <w:vAlign w:val="center"/>
            <w:tcMar>
              <w:top w:w="90" w:type="dxa"/>
              <w:start w:w="100" w:type="dxa"/>
              <w:bottom w:w="90" w:type="dxa"/>
              <w:end w:w="100" w:type="dxa"/>
            </w:tcMar>
            <w:shd w:fill="F2F6F8"/>
          </w:tcPr>
          <w:p>
            <w:pPr>
              <w:spacing w:after="0"/>
            </w:pPr>
            <w:r/>
            <w:r>
              <w:rPr>
                <w:rFonts w:ascii="Arial" w:hAnsi="Arial"/>
                <w:b w:val="0"/>
                <w:sz w:val="16"/>
              </w:rPr>
              <w:t>No declarations or evidence of this coverage in supplied file.</w:t>
            </w:r>
          </w:p>
        </w:tc>
        <w:tc>
          <w:tcPr>
            <w:tcW w:type="dxa" w:w="4853"/>
            <w:vAlign w:val="center"/>
            <w:tcMar>
              <w:top w:w="90" w:type="dxa"/>
              <w:start w:w="100" w:type="dxa"/>
              <w:bottom w:w="90" w:type="dxa"/>
              <w:end w:w="100" w:type="dxa"/>
            </w:tcMar>
            <w:shd w:fill="F2F6F8"/>
          </w:tcPr>
          <w:p>
            <w:pPr>
              <w:spacing w:after="0"/>
            </w:pPr>
            <w:r/>
            <w:r>
              <w:rPr>
                <w:rFonts w:ascii="Arial" w:hAnsi="Arial"/>
                <w:b w:val="0"/>
                <w:sz w:val="16"/>
              </w:rPr>
              <w:t>Critical gap, not proof coverage does not exist. Search all broker binders, policies, endorsements, lender/customer requirements, and parent/affiliate placements immediately; tender physical damage, extra expense, and BI if any coverage exists. Coordinate insurer subrogation and avoid inconsistent damage claims.</w:t>
            </w:r>
          </w:p>
        </w:tc>
      </w:tr>
      <w:tr>
        <w:trPr>
          <w:cantSplit/>
        </w:trPr>
        <w:tc>
          <w:tcPr>
            <w:tcW w:type="dxa" w:w="2059"/>
            <w:vAlign w:val="center"/>
            <w:tcMar>
              <w:top w:w="90" w:type="dxa"/>
              <w:start w:w="100" w:type="dxa"/>
              <w:bottom w:w="90" w:type="dxa"/>
              <w:end w:w="100" w:type="dxa"/>
            </w:tcMar>
          </w:tcPr>
          <w:p>
            <w:pPr>
              <w:spacing w:after="0"/>
            </w:pPr>
            <w:r/>
            <w:r>
              <w:rPr>
                <w:rFonts w:ascii="Arial" w:hAnsi="Arial"/>
                <w:b w:val="0"/>
                <w:sz w:val="16"/>
              </w:rPr>
              <w:t>Ironclad / HydraCore insurance</w:t>
            </w:r>
          </w:p>
        </w:tc>
        <w:tc>
          <w:tcPr>
            <w:tcW w:type="dxa" w:w="3384"/>
            <w:vAlign w:val="center"/>
            <w:tcMar>
              <w:top w:w="90" w:type="dxa"/>
              <w:start w:w="100" w:type="dxa"/>
              <w:bottom w:w="90" w:type="dxa"/>
              <w:end w:w="100" w:type="dxa"/>
            </w:tcMar>
          </w:tcPr>
          <w:p>
            <w:pPr>
              <w:spacing w:after="0"/>
            </w:pPr>
            <w:r/>
            <w:r>
              <w:rPr>
                <w:rFonts w:ascii="Arial" w:hAnsi="Arial"/>
                <w:b w:val="0"/>
                <w:sz w:val="16"/>
              </w:rPr>
              <w:t>PO requires Ironclad to maintain at least $2m CGL per occurrence during installation/commissioning; no vendor policy or COI provided.</w:t>
            </w:r>
          </w:p>
        </w:tc>
        <w:tc>
          <w:tcPr>
            <w:tcW w:type="dxa" w:w="4853"/>
            <w:vAlign w:val="center"/>
            <w:tcMar>
              <w:top w:w="90" w:type="dxa"/>
              <w:start w:w="100" w:type="dxa"/>
              <w:bottom w:w="90" w:type="dxa"/>
              <w:end w:w="100" w:type="dxa"/>
            </w:tcMar>
          </w:tcPr>
          <w:p>
            <w:pPr>
              <w:spacing w:after="0"/>
            </w:pPr>
            <w:r/>
            <w:r>
              <w:rPr>
                <w:rFonts w:ascii="Arial" w:hAnsi="Arial"/>
                <w:b w:val="0"/>
                <w:sz w:val="16"/>
              </w:rPr>
              <w:t>Demand complete current and applicable historical liability policies, endorsements, limits, excess layers, and additional-insured information from both defendants. The PO provision alone does not establish Dalton additional-insured status or post-installation coverage.</w:t>
            </w:r>
          </w:p>
        </w:tc>
      </w:tr>
    </w:tbl>
    <w:p>
      <w:pPr>
        <w:spacing w:after="20"/>
      </w:pPr>
    </w:p>
    <w:p>
      <w:pPr>
        <w:keepLines/>
        <w:spacing w:after="100" w:line="259" w:lineRule="auto"/>
      </w:pPr>
      <w:r>
        <w:rPr>
          <w:i w:val="0"/>
        </w:rPr>
        <w:t>The $5m CGL / $15m umbrella limits are not “available limits” for Dalton’s affirmative recovery. Even for claims asserted against Dalton, employee exclusions, follow-form provisions, exhaustion, SIRs, and actual policy wording control. Confirm that the March 14 notices were in writing, received, and acknowledged; preserve the notices and adjuster correspondence.</w:t>
      </w:r>
    </w:p>
    <w:p>
      <w:pPr>
        <w:pStyle w:val="Heading1"/>
        <w:keepNext/>
        <w:spacing w:before="200" w:after="80"/>
      </w:pPr>
      <w:r>
        <w:t>6. Recommended action plan</w:t>
      </w:r>
    </w:p>
    <w:p>
      <w:pPr>
        <w:pStyle w:val="Heading2"/>
        <w:keepNext/>
        <w:spacing w:before="120" w:after="80"/>
      </w:pPr>
      <w:r>
        <w:t>Immediately (today / next 48 hours)</w:t>
      </w:r>
    </w:p>
    <w:p>
      <w:pPr>
        <w:pStyle w:val="ListNumber"/>
        <w:keepLines/>
        <w:spacing w:after="60" w:line="250" w:lineRule="auto"/>
      </w:pPr>
      <w:r>
        <w:t>OSHA: obtain the date and method of actual receipt of the April 28 citation. The 15-working-day contest period runs from receipt, not issuance; the file does not establish receipt. Calendar the deadline with backup reminders. Unless prompt factual review establishes a better course, file a protective written Notice of Contest to preserve the right to challenge both items, penalties and abatement dates; request an informal conference, but do not treat it as extending the deadline. Comply with posting requirements and preserve proof. The citation states a timely contest stays abatement pending resolution; confirm procedural effect with the agency/counsel.</w:t>
      </w:r>
    </w:p>
    <w:p>
      <w:pPr>
        <w:pStyle w:val="ListNumber"/>
        <w:keepLines/>
        <w:spacing w:after="60" w:line="250" w:lineRule="auto"/>
      </w:pPr>
      <w:r>
        <w:t>Evidence: issue/refresh a litigation hold covering email, texts, maintenance/LOTO, machine-control logs, procurement, safety, customer complaints, financial and insurance records. Preserve the entire press, accumulator, bladder fragments, fluid samples, control unit/drive, scene photographs, OSHA materials and third-party communications. Restrict access; maintain chain-of-custody logs; no destructive testing, repair, disposal, or alteration without advance notice and a joint-inspection protocol.</w:t>
      </w:r>
    </w:p>
    <w:p>
      <w:pPr>
        <w:pStyle w:val="ListNumber"/>
        <w:keepLines/>
        <w:spacing w:after="60" w:line="250" w:lineRule="auto"/>
      </w:pPr>
      <w:r>
        <w:t>Coverage and engagement: verify corporate engagement execution; confirm written notices to Pinnacle and Great Plains, request coverage positions, locate property/BI policies, and notify any identified first-party insurer. Obtain full policies—not only declarations—and the BWC/employers-liability documents.</w:t>
      </w:r>
    </w:p>
    <w:p>
      <w:pPr>
        <w:pStyle w:val="Heading2"/>
        <w:keepNext/>
        <w:spacing w:before="120" w:after="80"/>
      </w:pPr>
      <w:r>
        <w:t>Within 7–14 days</w:t>
      </w:r>
    </w:p>
    <w:p>
      <w:pPr>
        <w:pStyle w:val="ListNumber"/>
        <w:keepLines/>
        <w:spacing w:after="60" w:line="250" w:lineRule="auto"/>
      </w:pPr>
      <w:r>
        <w:t>Send Ironclad a formal Section 14 dispute notice that identifies all claims and damages, demands senior-executive negotiations, preserves warranty rights, requests a signed tolling agreement, and demands that Ironclad preserve all relevant records and the implicated HX-9000/HC-ABL-440 units. The March 15 warranty letter is helpful; supplement it with the forensic findings and an itemized, non-waiver damages reservation.</w:t>
      </w:r>
    </w:p>
    <w:p>
      <w:pPr>
        <w:pStyle w:val="ListNumber"/>
        <w:keepLines/>
        <w:spacing w:after="60" w:line="250" w:lineRule="auto"/>
      </w:pPr>
      <w:r>
        <w:t>Request joint inspection and protocol with Ironclad, HydraCore, insurers and OSHA as appropriate. Secure native copies of all system data and metadata; verify the pressure sensor’s range/saturation, clock accuracy, calibration, and event sequence. Have experts independently assess the bladder, circuit transient, alternative relief design, guard feasibility, and injury trajectories.</w:t>
      </w:r>
    </w:p>
    <w:p>
      <w:pPr>
        <w:pStyle w:val="ListNumber"/>
        <w:keepLines/>
        <w:spacing w:after="60" w:line="250" w:lineRule="auto"/>
      </w:pPr>
      <w:r>
        <w:t>Resolve the OSHA factual disputes: photograph/measure the valve and hasp as found; retrieve the exact LOTO-HX9000-01 revision, purchase/install records for any adapter, hazard assessments, audit and retraining evidence, and employee interview notes. Assess each citation element, cited subsection, employer knowledge, feasibility/abatement, and whether a contest or negotiated modification best protects both compliance and litigation positions.</w:t>
      </w:r>
    </w:p>
    <w:p>
      <w:pPr>
        <w:pStyle w:val="Heading2"/>
        <w:keepNext/>
        <w:spacing w:before="120" w:after="80"/>
      </w:pPr>
      <w:r>
        <w:t>Within 30–60 days</w:t>
      </w:r>
    </w:p>
    <w:p>
      <w:pPr>
        <w:pStyle w:val="ListNumber"/>
        <w:keepLines/>
        <w:spacing w:after="60" w:line="250" w:lineRule="auto"/>
      </w:pPr>
      <w:r>
        <w:t>Pursue focused discovery from Ironclad and HydraCore: HX-9000 hydraulic schematics/as-built drawings; calculations, FMEA, design reviews and test/validation records; accumulator relief and guarding risk assessments; warnings/manual revisions; HC-ABL-440 formula, lot/batch and test records; supplier audits; complaints, warranty claims, alarms, repairs, field-service logs and returns; and all communications about Apex and the Dalton serial number. Seek deposition testimony from Cutler, Brennan, design/quality personnel, HydraCore compound/QC personnel, and field installers.</w:t>
      </w:r>
    </w:p>
    <w:p>
      <w:pPr>
        <w:pStyle w:val="ListNumber"/>
        <w:keepLines/>
        <w:spacing w:after="60" w:line="250" w:lineRule="auto"/>
      </w:pPr>
      <w:r>
        <w:t>Retain/complete qualified experts: materials/polymer and fatigue testing, hydraulic design/transient analysis, product safety/human factors and feasible guarding, OSHA/industrial safety (including LOTO), life-care planning, vocational rehabilitation, economics, and forensic accounting. Reconcile the preliminary report’s standards citations and establish admissibility foundations. Keep counsel-directed consulting work segregated from any expert intended to testify.</w:t>
      </w:r>
    </w:p>
    <w:p>
      <w:pPr>
        <w:pStyle w:val="ListNumber"/>
        <w:keepLines/>
        <w:spacing w:after="60" w:line="250" w:lineRule="auto"/>
      </w:pPr>
      <w:r>
        <w:t>Appoint/identify the Reyes estate personal representative and ensure separate counsel for the estate, Trask and Anand. The engagement is for Dalton only; do not advise individual claimants or negotiate their claims as their lawyer. Coordinate workers’ compensation liens/subrogation with BWC and claimant counsel without waiving Dalton’s rights.</w:t>
      </w:r>
    </w:p>
    <w:p>
      <w:pPr>
        <w:pStyle w:val="ListNumber"/>
        <w:keepLines/>
        <w:spacing w:after="60" w:line="250" w:lineRule="auto"/>
      </w:pPr>
      <w:r>
        <w:t>Rebuild damages from source records: value the destroyed press, dies, WIP, repair and cleanup losses; audit weekly margin/outsource/customer delivery data; quantify contract penalties and mitigation; distinguish claimed damages from penalties and workers’ compensation; and identify any first-party payments or subrogation claims. Maintain a separate “gross claims / likely recoverable / contract-capped / uninsured” scenario model.</w:t>
      </w:r>
    </w:p>
    <w:p>
      <w:pPr>
        <w:pStyle w:val="Heading2"/>
        <w:keepNext/>
        <w:spacing w:before="120" w:after="80"/>
      </w:pPr>
      <w:r>
        <w:t>Before contractual deadline</w:t>
      </w:r>
    </w:p>
    <w:p>
      <w:pPr>
        <w:pStyle w:val="ListNumber"/>
        <w:keepLines/>
        <w:spacing w:after="60" w:line="250" w:lineRule="auto"/>
      </w:pPr>
      <w:r>
        <w:t>Complete the 30-day negotiation period and, absent a signed tolling agreement, file a timely AAA demand against Ironclad in Grand Rapids, Michigan well before March 14, 2026. Plead all supportable contract, warranty, products-liability, negligence, warning/recall and damages theories while reserving challenges to governing law, cap, consequential-damages exclusion, indemnity, arbitration scope and enforceability. Assess whether HydraCore can and should be included in that proceeding or pursued in a separate forum; avoid allowing procedural disputes to consume the 12-month window.</w:t>
      </w:r>
    </w:p>
    <w:p>
      <w:pPr>
        <w:pStyle w:val="ListNumber"/>
        <w:keepLines/>
        <w:spacing w:after="60" w:line="250" w:lineRule="auto"/>
      </w:pPr>
      <w:r>
        <w:t>Develop an early resolution strategy after preservation and core discovery. Use the emails, material results, dual-cause analysis, serious human losses, and potential multi-customer issue as leverage, while modeling contract-enforcement and comparative-fault scenarios. Any settlement must address BWC liens, the employees’ separate claims, confidential-arbitration constraints, insurance-funded portions, property/BI losses, and releases without compromising Dalton’s corporate-only representation.</w:t>
      </w:r>
    </w:p>
    <w:p>
      <w:pPr>
        <w:pStyle w:val="Heading1"/>
        <w:keepNext/>
        <w:spacing w:before="200" w:after="80"/>
      </w:pPr>
      <w:r>
        <w:t>Bottom line</w:t>
      </w:r>
    </w:p>
    <w:p>
      <w:pPr>
        <w:keepLines/>
        <w:spacing w:after="100" w:line="259" w:lineRule="auto"/>
      </w:pPr>
      <w:r>
        <w:rPr>
          <w:i w:val="0"/>
        </w:rPr>
        <w:t>Proceed aggressively but with disciplined risk management. The current record supports a persuasive defective-component and unsafe-system narrative, with unusually probative pre-incident notice evidence against Ironclad. The principal threats to practical recovery are the incorporated arbitration/cap/consequential-loss terms, unresolved proof and expert issues, Dalton’s own cited safety deficiencies, and the absence of identified first-party property/BI insurance. Protect the OSHA and contractual deadlines first; preserve the evidence; separate Dalton’s corporate recovery from the employees’ independent cases; and quantify recoverable damages only after the press, dies, mitigation and coverage gaps are reconciled.</w:t>
      </w:r>
    </w:p>
    <w:sectPr w:rsidR="00FC693F" w:rsidRPr="0006063C" w:rsidSect="00034616">
      <w:headerReference w:type="default" r:id="rId9"/>
      <w:footerReference w:type="default" r:id="rId10"/>
      <w:pgSz w:w="12240" w:h="15840"/>
      <w:pgMar w:top="950" w:right="1181" w:bottom="950"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center"/>
    </w:pPr>
    <w:r>
      <w:rPr>
        <w:rFonts w:ascii="Arial" w:hAnsi="Arial"/>
        <w:color w:val="5A6469"/>
        <w:sz w:val="16"/>
      </w:rPr>
      <w:t xml:space="preserve">DALTON PRECISION MANUFACTURING  •  HX-9000 INCIDENT  |  </w:t>
    </w:r>
    <w:r>
      <w:rPr>
        <w:rFonts w:ascii="Arial" w:hAnsi="Arial"/>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b/>
        <w:color w:val="782828"/>
        <w:sz w:val="16"/>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eastAsia="Arial"/>
      <w:color w:val="232D3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6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67"/>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37505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19"/>
    </w:rPr>
  </w:style>
  <w:style w:type="paragraph" w:styleId="ListBullet2">
    <w:name w:val="List Bullet 2"/>
    <w:basedOn w:val="Normal"/>
    <w:uiPriority w:val="99"/>
    <w:unhideWhenUsed/>
    <w:rsid w:val="00326F90"/>
    <w:pPr>
      <w:numPr>
        <w:numId w:val="2"/>
      </w:numPr>
      <w:contextualSpacing/>
    </w:pPr>
    <w:rPr>
      <w:rFonts w:ascii="Arial" w:hAnsi="Arial" w:eastAsia="Arial"/>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Confidential Case Assessment Memorandum — Dalton Precision Manufacturing</dc:title>
  <dc:subject>March 14, 2025 Ironclad HX-9000 press failure</dc:subject>
  <dc:creator>Whitaker &amp; Colton LLP</dc:creator>
  <cp:keywords>Privileged; Attorney Work Product; Case Assessment; Product Liability</cp:keywords>
  <dc:description>generated by python-docx</dc:description>
  <cp:lastModifiedBy/>
  <cp:revision>1</cp:revision>
  <dcterms:created xsi:type="dcterms:W3CDTF">2013-12-23T23:15:00Z</dcterms:created>
  <dcterms:modified xsi:type="dcterms:W3CDTF">2013-12-23T23:15:00Z</dcterms:modified>
  <cp:category/>
</cp:coreProperties>
</file>