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0"/>
        </w:rPr>
        <w:t>PRIVILEGED &amp; CONFIDENTIAL — ATTORNEY WORK PRODUCT</w:t>
      </w:r>
    </w:p>
    <w:p>
      <w:pPr>
        <w:jc w:val="center"/>
      </w:pPr>
      <w:r>
        <w:rPr>
          <w:b w:val="0"/>
          <w:i/>
          <w:sz w:val="18"/>
        </w:rPr>
        <w:t>Prepared in Anticipation of Litigation — Do Not Produce</w:t>
      </w:r>
    </w:p>
    <w:p>
      <w:pPr>
        <w:jc w:val="center"/>
      </w:pPr>
      <w:r>
        <w:rPr>
          <w:b/>
          <w:i w:val="0"/>
        </w:rPr>
        <w:t>UNITED STATES DISTRICT COURT — DISTRICT OF ARIZONA</w:t>
      </w:r>
    </w:p>
    <w:p>
      <w:pPr>
        <w:jc w:val="center"/>
      </w:pPr>
      <w:r>
        <w:rPr>
          <w:b w:val="0"/>
          <w:i/>
        </w:rPr>
        <w:t>Delgado-Reyes v. Ridgeline National Bank, N.A., Case No. 2:24-cv-03841-DLR</w:t>
      </w:r>
    </w:p>
    <w:p>
      <w:pPr>
        <w:jc w:val="center"/>
      </w:pPr>
      <w:r>
        <w:rPr>
          <w:b/>
          <w:color w:val="1F3A5F"/>
          <w:sz w:val="36"/>
        </w:rPr>
        <w:t>DEPOSITION OUTLINE: THOMAS J. WHITFORD</w:t>
      </w:r>
    </w:p>
    <w:p>
      <w:pPr>
        <w:jc w:val="center"/>
      </w:pPr>
      <w:r>
        <w:rPr>
          <w:b w:val="0"/>
          <w:i w:val="0"/>
        </w:rPr>
        <w:t>Regional President, Southwest Division (Plaintiff’s Direct Supervisor, July 2019 – March 2024)</w:t>
      </w:r>
    </w:p>
    <w:tbl>
      <w:tblPr>
        <w:tblStyle w:val="TableGrid"/>
        <w:tblW w:type="auto" w:w="0"/>
        <w:tblLook w:firstColumn="1" w:firstRow="1" w:lastColumn="0" w:lastRow="0" w:noHBand="0" w:noVBand="1" w:val="04A0"/>
      </w:tblPr>
      <w:tblGrid>
        <w:gridCol w:w="4680"/>
        <w:gridCol w:w="4680"/>
      </w:tblGrid>
      <w:tr>
        <w:tc>
          <w:tcPr>
            <w:tcW w:type="dxa" w:w="2592"/>
            <w:shd w:val="clear" w:color="auto" w:fill="D9E2F3"/>
          </w:tcPr>
          <w:p>
            <w:r/>
            <w:r>
              <w:rPr>
                <w:b/>
                <w:sz w:val="20"/>
              </w:rPr>
              <w:t>Item</w:t>
            </w:r>
          </w:p>
        </w:tc>
        <w:tc>
          <w:tcPr>
            <w:tcW w:type="dxa" w:w="6768"/>
            <w:shd w:val="clear" w:color="auto" w:fill="D9E2F3"/>
          </w:tcPr>
          <w:p>
            <w:r/>
            <w:r>
              <w:rPr>
                <w:b/>
                <w:sz w:val="20"/>
              </w:rPr>
              <w:t>Detail</w:t>
            </w:r>
          </w:p>
        </w:tc>
      </w:tr>
      <w:tr>
        <w:tc>
          <w:tcPr>
            <w:tcW w:type="dxa" w:w="2592"/>
          </w:tcPr>
          <w:p>
            <w:r/>
            <w:r>
              <w:rPr>
                <w:b w:val="0"/>
                <w:i w:val="0"/>
                <w:sz w:val="20"/>
              </w:rPr>
              <w:t>Examining counsel</w:t>
            </w:r>
          </w:p>
        </w:tc>
        <w:tc>
          <w:tcPr>
            <w:tcW w:type="dxa" w:w="6768"/>
          </w:tcPr>
          <w:p>
            <w:r/>
            <w:r>
              <w:rPr>
                <w:b w:val="0"/>
                <w:i w:val="0"/>
                <w:sz w:val="20"/>
              </w:rPr>
              <w:t>Kendrick &amp; Pryor LLP (Rachel Kendrick / David Okonkwo), for Plaintiff</w:t>
            </w:r>
          </w:p>
        </w:tc>
      </w:tr>
      <w:tr>
        <w:tc>
          <w:tcPr>
            <w:tcW w:type="dxa" w:w="2592"/>
          </w:tcPr>
          <w:p>
            <w:r/>
            <w:r>
              <w:rPr>
                <w:b w:val="0"/>
                <w:i w:val="0"/>
                <w:sz w:val="20"/>
              </w:rPr>
              <w:t>Deponent</w:t>
            </w:r>
          </w:p>
        </w:tc>
        <w:tc>
          <w:tcPr>
            <w:tcW w:type="dxa" w:w="6768"/>
          </w:tcPr>
          <w:p>
            <w:r/>
            <w:r>
              <w:rPr>
                <w:b w:val="0"/>
                <w:i w:val="0"/>
                <w:sz w:val="20"/>
              </w:rPr>
              <w:t>Thomas J. Whitford, Employee ID RNB-0087234, age 54 (per HR Investigation Report)</w:t>
            </w:r>
          </w:p>
        </w:tc>
      </w:tr>
      <w:tr>
        <w:tc>
          <w:tcPr>
            <w:tcW w:type="dxa" w:w="2592"/>
          </w:tcPr>
          <w:p>
            <w:r/>
            <w:r>
              <w:rPr>
                <w:b w:val="0"/>
                <w:i w:val="0"/>
                <w:sz w:val="20"/>
              </w:rPr>
              <w:t>Capacity</w:t>
            </w:r>
          </w:p>
        </w:tc>
        <w:tc>
          <w:tcPr>
            <w:tcW w:type="dxa" w:w="6768"/>
          </w:tcPr>
          <w:p>
            <w:r/>
            <w:r>
              <w:rPr>
                <w:b w:val="0"/>
                <w:i w:val="0"/>
                <w:sz w:val="20"/>
              </w:rPr>
              <w:t>Individual fact witness; primary decision-maker; accused party in Complaint No. SW-2024-0012</w:t>
            </w:r>
          </w:p>
        </w:tc>
      </w:tr>
      <w:tr>
        <w:tc>
          <w:tcPr>
            <w:tcW w:type="dxa" w:w="2592"/>
          </w:tcPr>
          <w:p>
            <w:r/>
            <w:r>
              <w:rPr>
                <w:b w:val="0"/>
                <w:i w:val="0"/>
                <w:sz w:val="20"/>
              </w:rPr>
              <w:t>Date / location / time</w:t>
            </w:r>
          </w:p>
        </w:tc>
        <w:tc>
          <w:tcPr>
            <w:tcW w:type="dxa" w:w="6768"/>
          </w:tcPr>
          <w:p>
            <w:r/>
            <w:r>
              <w:rPr>
                <w:b w:val="0"/>
                <w:i w:val="0"/>
                <w:sz w:val="20"/>
              </w:rPr>
              <w:t>[TBD] — confirm time limit under Fed. R. Civ. P. 30(d)(1) (7 hours); consider seeking stipulation for extra time</w:t>
            </w:r>
          </w:p>
        </w:tc>
      </w:tr>
      <w:tr>
        <w:tc>
          <w:tcPr>
            <w:tcW w:type="dxa" w:w="2592"/>
          </w:tcPr>
          <w:p>
            <w:r/>
            <w:r>
              <w:rPr>
                <w:b w:val="0"/>
                <w:i w:val="0"/>
                <w:sz w:val="20"/>
              </w:rPr>
              <w:t>Recording</w:t>
            </w:r>
          </w:p>
        </w:tc>
        <w:tc>
          <w:tcPr>
            <w:tcW w:type="dxa" w:w="6768"/>
          </w:tcPr>
          <w:p>
            <w:r/>
            <w:r>
              <w:rPr>
                <w:b w:val="0"/>
                <w:i w:val="0"/>
                <w:sz w:val="20"/>
              </w:rPr>
              <w:t>Stenographic + video (recommended: key admissions will be used at summary judgment and trial)</w:t>
            </w:r>
          </w:p>
        </w:tc>
      </w:tr>
      <w:tr>
        <w:tc>
          <w:tcPr>
            <w:tcW w:type="dxa" w:w="2592"/>
          </w:tcPr>
          <w:p>
            <w:r/>
            <w:r>
              <w:rPr>
                <w:b w:val="0"/>
                <w:i w:val="0"/>
                <w:sz w:val="20"/>
              </w:rPr>
              <w:t>Draft date</w:t>
            </w:r>
          </w:p>
        </w:tc>
        <w:tc>
          <w:tcPr>
            <w:tcW w:type="dxa" w:w="6768"/>
          </w:tcPr>
          <w:p>
            <w:r/>
            <w:r>
              <w:rPr>
                <w:b w:val="0"/>
                <w:i w:val="0"/>
                <w:sz w:val="20"/>
              </w:rPr>
              <w:t>[Insert]</w:t>
            </w:r>
          </w:p>
        </w:tc>
      </w:tr>
    </w:tbl>
    <w:p/>
    <w:p>
      <w:pPr>
        <w:pStyle w:val="Heading1"/>
      </w:pPr>
      <w:r>
        <w:t>I. Strategic Objectives</w:t>
      </w:r>
    </w:p>
    <w:p>
      <w:r>
        <w:rPr>
          <w:b w:val="0"/>
          <w:i w:val="0"/>
        </w:rPr>
        <w:t>This deposition is the most important in the case. Whitford made the discriminatory remarks, authored the February 18, 2024 email, drafted the review and PIP, and recommended termination. Priorities, in order:</w:t>
      </w:r>
    </w:p>
    <w:p>
      <w:pPr>
        <w:pStyle w:val="ListBullet"/>
      </w:pPr>
      <w:r>
        <w:rPr>
          <w:b/>
          <w:i w:val="0"/>
        </w:rPr>
        <w:t>Lock in the February 18 email.</w:t>
      </w:r>
      <w:r>
        <w:rPr>
          <w:b w:val="0"/>
          <w:i w:val="0"/>
        </w:rPr>
        <w:t xml:space="preserve"> Authenticate it; establish that “the complaint” means Plaintiff’s January 8 HR complaint; foreclose alternative readings; establish that the metrics were chosen (“already pulled together the metrics I want to cite”) before the PIP was drafted.</w:t>
      </w:r>
    </w:p>
    <w:p>
      <w:pPr>
        <w:pStyle w:val="ListBullet"/>
      </w:pPr>
      <w:r>
        <w:rPr>
          <w:b/>
          <w:i w:val="0"/>
        </w:rPr>
        <w:t>Establish knowledge and timing.</w:t>
      </w:r>
      <w:r>
        <w:rPr>
          <w:b w:val="0"/>
          <w:i w:val="0"/>
        </w:rPr>
        <w:t xml:space="preserve"> Whitford knew of the complaint no later than his January 16 HR interview; every adverse action followed (review Feb 5 = day 28; PIP Feb 20 = day 43; termination Mar 14 = day 66).</w:t>
      </w:r>
    </w:p>
    <w:p>
      <w:pPr>
        <w:pStyle w:val="ListBullet"/>
      </w:pPr>
      <w:r>
        <w:rPr>
          <w:b/>
          <w:i w:val="0"/>
        </w:rPr>
        <w:t>Destroy the risk-report justification.</w:t>
      </w:r>
      <w:r>
        <w:rPr>
          <w:b w:val="0"/>
          <w:i w:val="0"/>
        </w:rPr>
        <w:t xml:space="preserve"> He was the recipient of the Q4 report email dated January 10, 2024, and the Q3 outage extension was approved “in coordination with regional management.” Force him to concede or explain the “5 business days late” and “3 business days late” figures.</w:t>
      </w:r>
    </w:p>
    <w:p>
      <w:pPr>
        <w:pStyle w:val="ListBullet"/>
      </w:pPr>
      <w:r>
        <w:rPr>
          <w:b/>
          <w:i w:val="0"/>
        </w:rPr>
        <w:t>Comparator lock-in.</w:t>
      </w:r>
      <w:r>
        <w:rPr>
          <w:b w:val="0"/>
          <w:i w:val="0"/>
        </w:rPr>
        <w:t xml:space="preserve"> Walk every metric on the SVP data sheet (RNB-SW-004721–22). Force admission that Langley and Kowalski were worse on delinquency, origination, and (Langley) defaults, and that neither — nor Trujillo, rated “Below Expectations” — was placed on a PIP.</w:t>
      </w:r>
    </w:p>
    <w:p>
      <w:pPr>
        <w:pStyle w:val="ListBullet"/>
      </w:pPr>
      <w:r>
        <w:rPr>
          <w:b/>
          <w:i w:val="0"/>
        </w:rPr>
        <w:t>Policy violations.</w:t>
      </w:r>
      <w:r>
        <w:rPr>
          <w:b w:val="0"/>
          <w:i w:val="0"/>
        </w:rPr>
        <w:t xml:space="preserve"> Establish that he knew, and did not follow, HR-POL-007 §§ 7.4.1–7.4.4 (90-day protected period, CHRO/GC written approval) and § 7.7 (PIP special provisions, including full-period rule in § 7.7(e)).</w:t>
      </w:r>
    </w:p>
    <w:p>
      <w:pPr>
        <w:pStyle w:val="ListBullet"/>
      </w:pPr>
      <w:r>
        <w:rPr>
          <w:b/>
          <w:i w:val="0"/>
        </w:rPr>
        <w:t>Cat’s paw.</w:t>
      </w:r>
      <w:r>
        <w:rPr>
          <w:b w:val="0"/>
          <w:i w:val="0"/>
        </w:rPr>
        <w:t xml:space="preserve"> Establish that Cho relied on his account and did no independent review; that the decision was his.</w:t>
      </w:r>
    </w:p>
    <w:p>
      <w:pPr>
        <w:pStyle w:val="ListBullet"/>
      </w:pPr>
      <w:r>
        <w:rPr>
          <w:b/>
          <w:i w:val="0"/>
        </w:rPr>
        <w:t>Animus / pattern.</w:t>
      </w:r>
      <w:r>
        <w:rPr>
          <w:b w:val="0"/>
          <w:i w:val="0"/>
        </w:rPr>
        <w:t xml:space="preserve"> Pin down the words used in each of the three remarks (he has already admitted the substance of all three to HR); tie to the 2017 Yazzie counseling that specifically warned him about geographic terms associated with ethnic communities.</w:t>
      </w:r>
    </w:p>
    <w:p>
      <w:pPr>
        <w:pStyle w:val="ListBullet"/>
      </w:pPr>
      <w:r>
        <w:rPr>
          <w:b/>
          <w:i w:val="0"/>
        </w:rPr>
        <w:t>Do not over-reach.</w:t>
      </w:r>
      <w:r>
        <w:rPr>
          <w:b w:val="0"/>
          <w:i w:val="0"/>
        </w:rPr>
        <w:t xml:space="preserve"> Several allegations in the First Amended Complaint go beyond or conflict with the documents (see Part IV). Build the record from the documents, not from the FAC.</w:t>
      </w:r>
    </w:p>
    <w:p>
      <w:pPr>
        <w:pStyle w:val="Heading1"/>
      </w:pPr>
      <w:r>
        <w:t>II. Deponent Profile</w:t>
      </w:r>
    </w:p>
    <w:p>
      <w:pPr>
        <w:pStyle w:val="ListBullet"/>
      </w:pPr>
      <w:r>
        <w:rPr>
          <w:b w:val="0"/>
          <w:i w:val="0"/>
        </w:rPr>
        <w:t>Regional President, Mountain Division (Montana/Wyoming), appointed January 2015; transferred to Southwest Division as Regional President July 2019 (succeeding Alan Jessup).</w:t>
      </w:r>
    </w:p>
    <w:p>
      <w:pPr>
        <w:pStyle w:val="ListBullet"/>
      </w:pPr>
      <w:r>
        <w:rPr>
          <w:b w:val="0"/>
          <w:i w:val="0"/>
        </w:rPr>
        <w:t>Reports to Sandra Cho, EVP Retail &amp; Commercial Banking (Denver).</w:t>
      </w:r>
    </w:p>
    <w:p>
      <w:pPr>
        <w:pStyle w:val="ListBullet"/>
      </w:pPr>
      <w:r>
        <w:rPr>
          <w:b w:val="0"/>
          <w:i w:val="0"/>
        </w:rPr>
        <w:t>Supervised five SVPs of Commercial Lending in 2023: Delgado-Reyes, Langley, Kowalski, Marsh, Trujillo.</w:t>
      </w:r>
    </w:p>
    <w:p>
      <w:pPr>
        <w:pStyle w:val="ListBullet"/>
      </w:pPr>
      <w:r>
        <w:rPr>
          <w:b w:val="0"/>
          <w:i w:val="0"/>
        </w:rPr>
        <w:t>Subject of prior complaint MTN-HR-2017-009 (Patricia Yazzie, Navajo loan officer): “reservation risk” remarks, “a different face” remark, exclusion from client meetings, heightened scrutiny of tribal-area loans. Found unsubstantiated 9/8/2017; informal counseling 9/12/2017 on terminology “that references geographic areas closely associated with specific racial or ethnic communities.” Yazzie resigned 2/16/2018.</w:t>
      </w:r>
    </w:p>
    <w:p>
      <w:pPr>
        <w:pStyle w:val="ListBullet"/>
      </w:pPr>
      <w:r>
        <w:rPr>
          <w:b w:val="0"/>
          <w:i w:val="0"/>
        </w:rPr>
        <w:t>Counselor’s 2017 notes: Whitford “expressed frustration that the complaint had been filed”; was reminded of anti-retaliation obligations and confirmed understanding.</w:t>
      </w:r>
    </w:p>
    <w:p>
      <w:pPr>
        <w:pStyle w:val="ListBullet"/>
      </w:pPr>
      <w:r>
        <w:rPr>
          <w:b w:val="0"/>
          <w:i w:val="0"/>
        </w:rPr>
        <w:t>2024 HR interview (1/16/2024): admitted making all three remarks in substance; offered innocent explanations; said he had “the utmost respect” for Plaintiff and “no concerns about [her] competence.” HR report states he was verbally counseled 1/16/2024 and 2/5/2024.</w:t>
      </w:r>
    </w:p>
    <w:p>
      <w:pPr>
        <w:pStyle w:val="ListBullet"/>
      </w:pPr>
      <w:r>
        <w:rPr>
          <w:b w:val="0"/>
          <w:i w:val="0"/>
        </w:rPr>
        <w:t>Anticipated demeanor/themes: “business-related observations about market risk,” “compliment,” “professional background,” “performance-driven decision,” “HR signed off.”</w:t>
      </w:r>
    </w:p>
    <w:p>
      <w:pPr>
        <w:pStyle w:val="Heading1"/>
      </w:pPr>
      <w:r>
        <w:t>III. Key Chronology</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color="auto" w:fill="D9E2F3"/>
          </w:tcPr>
          <w:p>
            <w:r/>
            <w:r>
              <w:rPr>
                <w:b/>
                <w:sz w:val="20"/>
              </w:rPr>
              <w:t>Date</w:t>
            </w:r>
          </w:p>
        </w:tc>
        <w:tc>
          <w:tcPr>
            <w:tcW w:type="dxa" w:w="4608"/>
            <w:shd w:val="clear" w:color="auto" w:fill="D9E2F3"/>
          </w:tcPr>
          <w:p>
            <w:r/>
            <w:r>
              <w:rPr>
                <w:b/>
                <w:sz w:val="20"/>
              </w:rPr>
              <w:t>Event</w:t>
            </w:r>
          </w:p>
        </w:tc>
        <w:tc>
          <w:tcPr>
            <w:tcW w:type="dxa" w:w="2160"/>
            <w:shd w:val="clear" w:color="auto" w:fill="D9E2F3"/>
          </w:tcPr>
          <w:p>
            <w:r/>
            <w:r>
              <w:rPr>
                <w:b/>
                <w:sz w:val="20"/>
              </w:rPr>
              <w:t>Source</w:t>
            </w:r>
          </w:p>
        </w:tc>
        <w:tc>
          <w:tcPr>
            <w:tcW w:type="dxa" w:w="1152"/>
            <w:shd w:val="clear" w:color="auto" w:fill="D9E2F3"/>
          </w:tcPr>
          <w:p>
            <w:r/>
            <w:r>
              <w:rPr>
                <w:b/>
                <w:sz w:val="20"/>
              </w:rPr>
              <w:t>Day # (from 1/8/24)</w:t>
            </w:r>
          </w:p>
        </w:tc>
      </w:tr>
      <w:tr>
        <w:tc>
          <w:tcPr>
            <w:tcW w:type="dxa" w:w="1584"/>
          </w:tcPr>
          <w:p>
            <w:r/>
            <w:r>
              <w:rPr>
                <w:b w:val="0"/>
                <w:i w:val="0"/>
                <w:sz w:val="20"/>
              </w:rPr>
              <w:t>Jun 12, 2017</w:t>
            </w:r>
          </w:p>
        </w:tc>
        <w:tc>
          <w:tcPr>
            <w:tcW w:type="dxa" w:w="4608"/>
          </w:tcPr>
          <w:p>
            <w:r/>
            <w:r>
              <w:rPr>
                <w:b w:val="0"/>
                <w:i w:val="0"/>
                <w:sz w:val="20"/>
              </w:rPr>
              <w:t>Yazzie complaint filed against Whitford (Mountain Div.)</w:t>
            </w:r>
          </w:p>
        </w:tc>
        <w:tc>
          <w:tcPr>
            <w:tcW w:type="dxa" w:w="2160"/>
          </w:tcPr>
          <w:p>
            <w:r/>
            <w:r>
              <w:rPr>
                <w:b w:val="0"/>
                <w:i w:val="0"/>
                <w:sz w:val="20"/>
              </w:rPr>
              <w:t>RNB-WHITFORD-PF-000413–14</w:t>
            </w:r>
          </w:p>
        </w:tc>
        <w:tc>
          <w:tcPr>
            <w:tcW w:type="dxa" w:w="1152"/>
          </w:tcPr>
          <w:p>
            <w:r/>
            <w:r>
              <w:rPr>
                <w:b w:val="0"/>
                <w:i w:val="0"/>
                <w:sz w:val="20"/>
              </w:rPr>
              <w:t>—</w:t>
            </w:r>
          </w:p>
        </w:tc>
      </w:tr>
      <w:tr>
        <w:tc>
          <w:tcPr>
            <w:tcW w:type="dxa" w:w="1584"/>
          </w:tcPr>
          <w:p>
            <w:r/>
            <w:r>
              <w:rPr>
                <w:b w:val="0"/>
                <w:i w:val="0"/>
                <w:sz w:val="20"/>
              </w:rPr>
              <w:t>Sep 8 / 12, 2017</w:t>
            </w:r>
          </w:p>
        </w:tc>
        <w:tc>
          <w:tcPr>
            <w:tcW w:type="dxa" w:w="4608"/>
          </w:tcPr>
          <w:p>
            <w:r/>
            <w:r>
              <w:rPr>
                <w:b w:val="0"/>
                <w:i w:val="0"/>
                <w:sz w:val="20"/>
              </w:rPr>
              <w:t>Yazzie complaint unsubstantiated; Whitford counseled on geographic/ethnic terminology</w:t>
            </w:r>
          </w:p>
        </w:tc>
        <w:tc>
          <w:tcPr>
            <w:tcW w:type="dxa" w:w="2160"/>
          </w:tcPr>
          <w:p>
            <w:r/>
            <w:r>
              <w:rPr>
                <w:b w:val="0"/>
                <w:i w:val="0"/>
                <w:sz w:val="20"/>
              </w:rPr>
              <w:t>PF-000412, 000419</w:t>
            </w:r>
          </w:p>
        </w:tc>
        <w:tc>
          <w:tcPr>
            <w:tcW w:type="dxa" w:w="1152"/>
          </w:tcPr>
          <w:p>
            <w:r/>
            <w:r>
              <w:rPr>
                <w:b w:val="0"/>
                <w:i w:val="0"/>
                <w:sz w:val="20"/>
              </w:rPr>
              <w:t>—</w:t>
            </w:r>
          </w:p>
        </w:tc>
      </w:tr>
      <w:tr>
        <w:tc>
          <w:tcPr>
            <w:tcW w:type="dxa" w:w="1584"/>
          </w:tcPr>
          <w:p>
            <w:r/>
            <w:r>
              <w:rPr>
                <w:b w:val="0"/>
                <w:i w:val="0"/>
                <w:sz w:val="20"/>
              </w:rPr>
              <w:t>Jul 2019</w:t>
            </w:r>
          </w:p>
        </w:tc>
        <w:tc>
          <w:tcPr>
            <w:tcW w:type="dxa" w:w="4608"/>
          </w:tcPr>
          <w:p>
            <w:r/>
            <w:r>
              <w:rPr>
                <w:b w:val="0"/>
                <w:i w:val="0"/>
                <w:sz w:val="20"/>
              </w:rPr>
              <w:t>Whitford becomes Plaintiff’s supervisor</w:t>
            </w:r>
          </w:p>
        </w:tc>
        <w:tc>
          <w:tcPr>
            <w:tcW w:type="dxa" w:w="2160"/>
          </w:tcPr>
          <w:p>
            <w:r/>
            <w:r>
              <w:rPr>
                <w:b w:val="0"/>
                <w:i w:val="0"/>
                <w:sz w:val="20"/>
              </w:rPr>
              <w:t>Review § B; FAC ¶15</w:t>
            </w:r>
          </w:p>
        </w:tc>
        <w:tc>
          <w:tcPr>
            <w:tcW w:type="dxa" w:w="1152"/>
          </w:tcPr>
          <w:p>
            <w:r/>
            <w:r>
              <w:rPr>
                <w:b w:val="0"/>
                <w:i w:val="0"/>
                <w:sz w:val="20"/>
              </w:rPr>
              <w:t>—</w:t>
            </w:r>
          </w:p>
        </w:tc>
      </w:tr>
      <w:tr>
        <w:tc>
          <w:tcPr>
            <w:tcW w:type="dxa" w:w="1584"/>
          </w:tcPr>
          <w:p>
            <w:r/>
            <w:r>
              <w:rPr>
                <w:b w:val="0"/>
                <w:i w:val="0"/>
                <w:sz w:val="20"/>
              </w:rPr>
              <w:t>2019–2022</w:t>
            </w:r>
          </w:p>
        </w:tc>
        <w:tc>
          <w:tcPr>
            <w:tcW w:type="dxa" w:w="4608"/>
          </w:tcPr>
          <w:p>
            <w:r/>
            <w:r>
              <w:rPr>
                <w:b w:val="0"/>
                <w:i w:val="0"/>
                <w:sz w:val="20"/>
              </w:rPr>
              <w:t xml:space="preserve">Ratings under Whitford: 2019 EE, 2020 EE, </w:t>
            </w:r>
            <w:r>
              <w:rPr>
                <w:b/>
                <w:i w:val="0"/>
                <w:sz w:val="20"/>
              </w:rPr>
              <w:t>2021 Meets</w:t>
            </w:r>
            <w:r>
              <w:rPr>
                <w:b w:val="0"/>
                <w:i w:val="0"/>
                <w:sz w:val="20"/>
              </w:rPr>
              <w:t>, 2022 EE</w:t>
            </w:r>
          </w:p>
        </w:tc>
        <w:tc>
          <w:tcPr>
            <w:tcW w:type="dxa" w:w="2160"/>
          </w:tcPr>
          <w:p>
            <w:r/>
            <w:r>
              <w:rPr>
                <w:b w:val="0"/>
                <w:i w:val="0"/>
                <w:sz w:val="20"/>
              </w:rPr>
              <w:t>HR Report § II.A</w:t>
            </w:r>
          </w:p>
        </w:tc>
        <w:tc>
          <w:tcPr>
            <w:tcW w:type="dxa" w:w="1152"/>
          </w:tcPr>
          <w:p>
            <w:r/>
            <w:r>
              <w:rPr>
                <w:b w:val="0"/>
                <w:i w:val="0"/>
                <w:sz w:val="20"/>
              </w:rPr>
              <w:t>—</w:t>
            </w:r>
          </w:p>
        </w:tc>
      </w:tr>
      <w:tr>
        <w:tc>
          <w:tcPr>
            <w:tcW w:type="dxa" w:w="1584"/>
          </w:tcPr>
          <w:p>
            <w:r/>
            <w:r>
              <w:rPr>
                <w:b w:val="0"/>
                <w:i w:val="0"/>
                <w:sz w:val="20"/>
              </w:rPr>
              <w:t>Oct 2–3, 2023</w:t>
            </w:r>
          </w:p>
        </w:tc>
        <w:tc>
          <w:tcPr>
            <w:tcW w:type="dxa" w:w="4608"/>
          </w:tcPr>
          <w:p>
            <w:r/>
            <w:r>
              <w:rPr>
                <w:b w:val="0"/>
                <w:i w:val="0"/>
                <w:sz w:val="20"/>
              </w:rPr>
              <w:t>LoanStar outage (Southwest Div. only); Q3 deadline extended from Oct 2 to Oct 4, “in coordination with regional management”</w:t>
            </w:r>
          </w:p>
        </w:tc>
        <w:tc>
          <w:tcPr>
            <w:tcW w:type="dxa" w:w="2160"/>
          </w:tcPr>
          <w:p>
            <w:r/>
            <w:r>
              <w:rPr>
                <w:b w:val="0"/>
                <w:i w:val="0"/>
                <w:sz w:val="20"/>
              </w:rPr>
              <w:t>IT Ticket SR-20231002-4471</w:t>
            </w:r>
          </w:p>
        </w:tc>
        <w:tc>
          <w:tcPr>
            <w:tcW w:type="dxa" w:w="1152"/>
          </w:tcPr>
          <w:p>
            <w:r/>
            <w:r>
              <w:rPr>
                <w:b w:val="0"/>
                <w:i w:val="0"/>
                <w:sz w:val="20"/>
              </w:rPr>
              <w:t>—</w:t>
            </w:r>
          </w:p>
        </w:tc>
      </w:tr>
      <w:tr>
        <w:tc>
          <w:tcPr>
            <w:tcW w:type="dxa" w:w="1584"/>
          </w:tcPr>
          <w:p>
            <w:r/>
            <w:r>
              <w:rPr>
                <w:b w:val="0"/>
                <w:i w:val="0"/>
                <w:sz w:val="20"/>
              </w:rPr>
              <w:t>Nov 15, 2023</w:t>
            </w:r>
          </w:p>
        </w:tc>
        <w:tc>
          <w:tcPr>
            <w:tcW w:type="dxa" w:w="4608"/>
          </w:tcPr>
          <w:p>
            <w:r/>
            <w:r>
              <w:rPr>
                <w:b w:val="0"/>
                <w:i w:val="0"/>
                <w:sz w:val="20"/>
              </w:rPr>
              <w:t>Team meeting: “border communities” / “credit culture” remark</w:t>
            </w:r>
          </w:p>
        </w:tc>
        <w:tc>
          <w:tcPr>
            <w:tcW w:type="dxa" w:w="2160"/>
          </w:tcPr>
          <w:p>
            <w:r/>
            <w:r>
              <w:rPr>
                <w:b w:val="0"/>
                <w:i w:val="0"/>
                <w:sz w:val="20"/>
              </w:rPr>
              <w:t>Complaint email; HR Report</w:t>
            </w:r>
          </w:p>
        </w:tc>
        <w:tc>
          <w:tcPr>
            <w:tcW w:type="dxa" w:w="1152"/>
          </w:tcPr>
          <w:p>
            <w:r/>
            <w:r>
              <w:rPr>
                <w:b w:val="0"/>
                <w:i w:val="0"/>
                <w:sz w:val="20"/>
              </w:rPr>
              <w:t>—</w:t>
            </w:r>
          </w:p>
        </w:tc>
      </w:tr>
      <w:tr>
        <w:tc>
          <w:tcPr>
            <w:tcW w:type="dxa" w:w="1584"/>
          </w:tcPr>
          <w:p>
            <w:r/>
            <w:r>
              <w:rPr>
                <w:b w:val="0"/>
                <w:i w:val="0"/>
                <w:sz w:val="20"/>
              </w:rPr>
              <w:t>Dec 7, 2023</w:t>
            </w:r>
          </w:p>
        </w:tc>
        <w:tc>
          <w:tcPr>
            <w:tcW w:type="dxa" w:w="4608"/>
          </w:tcPr>
          <w:p>
            <w:r/>
            <w:r>
              <w:rPr>
                <w:b w:val="0"/>
                <w:i w:val="0"/>
                <w:sz w:val="20"/>
              </w:rPr>
              <w:t>One-on-one: “background … blind spots” re $8.5M Nogales loan</w:t>
            </w:r>
          </w:p>
        </w:tc>
        <w:tc>
          <w:tcPr>
            <w:tcW w:type="dxa" w:w="2160"/>
          </w:tcPr>
          <w:p>
            <w:r/>
            <w:r>
              <w:rPr>
                <w:b w:val="0"/>
                <w:i w:val="0"/>
                <w:sz w:val="20"/>
              </w:rPr>
              <w:t>Complaint email; HR Report</w:t>
            </w:r>
          </w:p>
        </w:tc>
        <w:tc>
          <w:tcPr>
            <w:tcW w:type="dxa" w:w="1152"/>
          </w:tcPr>
          <w:p>
            <w:r/>
            <w:r>
              <w:rPr>
                <w:b w:val="0"/>
                <w:i w:val="0"/>
                <w:sz w:val="20"/>
              </w:rPr>
              <w:t>—</w:t>
            </w:r>
          </w:p>
        </w:tc>
      </w:tr>
      <w:tr>
        <w:tc>
          <w:tcPr>
            <w:tcW w:type="dxa" w:w="1584"/>
          </w:tcPr>
          <w:p>
            <w:r/>
            <w:r>
              <w:rPr>
                <w:b w:val="0"/>
                <w:i w:val="0"/>
                <w:sz w:val="20"/>
              </w:rPr>
              <w:t>Dec 20, 2023</w:t>
            </w:r>
          </w:p>
        </w:tc>
        <w:tc>
          <w:tcPr>
            <w:tcW w:type="dxa" w:w="4608"/>
          </w:tcPr>
          <w:p>
            <w:r/>
            <w:r>
              <w:rPr>
                <w:b w:val="0"/>
                <w:i w:val="0"/>
                <w:sz w:val="20"/>
              </w:rPr>
              <w:t>Holiday party: “It’s in her blood” (Marsh, Fuentes present)</w:t>
            </w:r>
          </w:p>
        </w:tc>
        <w:tc>
          <w:tcPr>
            <w:tcW w:type="dxa" w:w="2160"/>
          </w:tcPr>
          <w:p>
            <w:r/>
            <w:r>
              <w:rPr>
                <w:b w:val="0"/>
                <w:i w:val="0"/>
                <w:sz w:val="20"/>
              </w:rPr>
              <w:t>Complaint email; HR Report</w:t>
            </w:r>
          </w:p>
        </w:tc>
        <w:tc>
          <w:tcPr>
            <w:tcW w:type="dxa" w:w="1152"/>
          </w:tcPr>
          <w:p>
            <w:r/>
            <w:r>
              <w:rPr>
                <w:b w:val="0"/>
                <w:i w:val="0"/>
                <w:sz w:val="20"/>
              </w:rPr>
              <w:t>—</w:t>
            </w:r>
          </w:p>
        </w:tc>
      </w:tr>
      <w:tr>
        <w:tc>
          <w:tcPr>
            <w:tcW w:type="dxa" w:w="1584"/>
          </w:tcPr>
          <w:p>
            <w:r/>
            <w:r>
              <w:rPr>
                <w:b w:val="0"/>
                <w:i w:val="0"/>
                <w:sz w:val="20"/>
              </w:rPr>
              <w:t>Jan 8, 2024</w:t>
            </w:r>
          </w:p>
        </w:tc>
        <w:tc>
          <w:tcPr>
            <w:tcW w:type="dxa" w:w="4608"/>
          </w:tcPr>
          <w:p>
            <w:r/>
            <w:r>
              <w:rPr>
                <w:b w:val="0"/>
                <w:i w:val="0"/>
                <w:sz w:val="20"/>
              </w:rPr>
              <w:t>Plaintiff’s written complaint to Embree (9:14 AM MST)</w:t>
            </w:r>
          </w:p>
        </w:tc>
        <w:tc>
          <w:tcPr>
            <w:tcW w:type="dxa" w:w="2160"/>
          </w:tcPr>
          <w:p>
            <w:r/>
            <w:r>
              <w:rPr>
                <w:b w:val="0"/>
                <w:i w:val="0"/>
                <w:sz w:val="20"/>
              </w:rPr>
              <w:t>Complaint email</w:t>
            </w:r>
          </w:p>
        </w:tc>
        <w:tc>
          <w:tcPr>
            <w:tcW w:type="dxa" w:w="1152"/>
          </w:tcPr>
          <w:p>
            <w:r/>
            <w:r>
              <w:rPr>
                <w:b w:val="0"/>
                <w:i w:val="0"/>
                <w:sz w:val="20"/>
              </w:rPr>
              <w:t>0</w:t>
            </w:r>
          </w:p>
        </w:tc>
      </w:tr>
      <w:tr>
        <w:tc>
          <w:tcPr>
            <w:tcW w:type="dxa" w:w="1584"/>
          </w:tcPr>
          <w:p>
            <w:r/>
            <w:r>
              <w:rPr>
                <w:b w:val="0"/>
                <w:i w:val="0"/>
                <w:sz w:val="20"/>
              </w:rPr>
              <w:t>Jan 10, 2024</w:t>
            </w:r>
          </w:p>
        </w:tc>
        <w:tc>
          <w:tcPr>
            <w:tcW w:type="dxa" w:w="4608"/>
          </w:tcPr>
          <w:p>
            <w:r/>
            <w:r>
              <w:rPr>
                <w:b w:val="0"/>
                <w:i w:val="0"/>
                <w:sz w:val="20"/>
              </w:rPr>
              <w:t>HR opens investigation; Q4 risk report emailed to Whitford (header: Wed, 10 Jan 2024 04:47 -0000)</w:t>
            </w:r>
          </w:p>
        </w:tc>
        <w:tc>
          <w:tcPr>
            <w:tcW w:type="dxa" w:w="2160"/>
          </w:tcPr>
          <w:p>
            <w:r/>
            <w:r>
              <w:rPr>
                <w:b w:val="0"/>
                <w:i w:val="0"/>
                <w:sz w:val="20"/>
              </w:rPr>
              <w:t>HR Report; Q4 email</w:t>
            </w:r>
          </w:p>
        </w:tc>
        <w:tc>
          <w:tcPr>
            <w:tcW w:type="dxa" w:w="1152"/>
          </w:tcPr>
          <w:p>
            <w:r/>
            <w:r>
              <w:rPr>
                <w:b w:val="0"/>
                <w:i w:val="0"/>
                <w:sz w:val="20"/>
              </w:rPr>
              <w:t>2</w:t>
            </w:r>
          </w:p>
        </w:tc>
      </w:tr>
      <w:tr>
        <w:tc>
          <w:tcPr>
            <w:tcW w:type="dxa" w:w="1584"/>
          </w:tcPr>
          <w:p>
            <w:r/>
            <w:r>
              <w:rPr>
                <w:b w:val="0"/>
                <w:i w:val="0"/>
                <w:sz w:val="20"/>
              </w:rPr>
              <w:t>Jan 16, 2024</w:t>
            </w:r>
          </w:p>
        </w:tc>
        <w:tc>
          <w:tcPr>
            <w:tcW w:type="dxa" w:w="4608"/>
          </w:tcPr>
          <w:p>
            <w:r/>
            <w:r>
              <w:rPr>
                <w:b w:val="0"/>
                <w:i w:val="0"/>
                <w:sz w:val="20"/>
              </w:rPr>
              <w:t>Whitford interviewed by HR; verbally counseled</w:t>
            </w:r>
          </w:p>
        </w:tc>
        <w:tc>
          <w:tcPr>
            <w:tcW w:type="dxa" w:w="2160"/>
          </w:tcPr>
          <w:p>
            <w:r/>
            <w:r>
              <w:rPr>
                <w:b w:val="0"/>
                <w:i w:val="0"/>
                <w:sz w:val="20"/>
              </w:rPr>
              <w:t>HR Report § V.A, VIII</w:t>
            </w:r>
          </w:p>
        </w:tc>
        <w:tc>
          <w:tcPr>
            <w:tcW w:type="dxa" w:w="1152"/>
          </w:tcPr>
          <w:p>
            <w:r/>
            <w:r>
              <w:rPr>
                <w:b w:val="0"/>
                <w:i w:val="0"/>
                <w:sz w:val="20"/>
              </w:rPr>
              <w:t>8</w:t>
            </w:r>
          </w:p>
        </w:tc>
      </w:tr>
      <w:tr>
        <w:tc>
          <w:tcPr>
            <w:tcW w:type="dxa" w:w="1584"/>
          </w:tcPr>
          <w:p>
            <w:r/>
            <w:r>
              <w:rPr>
                <w:b w:val="0"/>
                <w:i w:val="0"/>
                <w:sz w:val="20"/>
              </w:rPr>
              <w:t>Jan 22–31, 2024</w:t>
            </w:r>
          </w:p>
        </w:tc>
        <w:tc>
          <w:tcPr>
            <w:tcW w:type="dxa" w:w="4608"/>
          </w:tcPr>
          <w:p>
            <w:r/>
            <w:r>
              <w:rPr>
                <w:b w:val="0"/>
                <w:i w:val="0"/>
                <w:sz w:val="20"/>
              </w:rPr>
              <w:t>Other SVP reviews finalized (Marsh 1/22, Langley 1/29, Kowalski 1/31)</w:t>
            </w:r>
          </w:p>
        </w:tc>
        <w:tc>
          <w:tcPr>
            <w:tcW w:type="dxa" w:w="2160"/>
          </w:tcPr>
          <w:p>
            <w:r/>
            <w:r>
              <w:rPr>
                <w:b w:val="0"/>
                <w:i w:val="0"/>
                <w:sz w:val="20"/>
              </w:rPr>
              <w:t>SVP data sheet</w:t>
            </w:r>
          </w:p>
        </w:tc>
        <w:tc>
          <w:tcPr>
            <w:tcW w:type="dxa" w:w="1152"/>
          </w:tcPr>
          <w:p>
            <w:r/>
            <w:r>
              <w:rPr>
                <w:b w:val="0"/>
                <w:i w:val="0"/>
                <w:sz w:val="20"/>
              </w:rPr>
              <w:t>14–23</w:t>
            </w:r>
          </w:p>
        </w:tc>
      </w:tr>
      <w:tr>
        <w:tc>
          <w:tcPr>
            <w:tcW w:type="dxa" w:w="1584"/>
          </w:tcPr>
          <w:p>
            <w:r/>
            <w:r>
              <w:rPr>
                <w:b w:val="0"/>
                <w:i w:val="0"/>
                <w:sz w:val="20"/>
              </w:rPr>
              <w:t>Feb 5, 2024</w:t>
            </w:r>
          </w:p>
        </w:tc>
        <w:tc>
          <w:tcPr>
            <w:tcW w:type="dxa" w:w="4608"/>
          </w:tcPr>
          <w:p>
            <w:r/>
            <w:r>
              <w:rPr>
                <w:b w:val="0"/>
                <w:i w:val="0"/>
                <w:sz w:val="20"/>
              </w:rPr>
              <w:t>Plaintiff’s 2023 review finalized (Meets; three categories at 2); Cho signs same day; Whitford counseled again by HR same day</w:t>
            </w:r>
          </w:p>
        </w:tc>
        <w:tc>
          <w:tcPr>
            <w:tcW w:type="dxa" w:w="2160"/>
          </w:tcPr>
          <w:p>
            <w:r/>
            <w:r>
              <w:rPr>
                <w:b w:val="0"/>
                <w:i w:val="0"/>
                <w:sz w:val="20"/>
              </w:rPr>
              <w:t>Review; HR Report § VIII</w:t>
            </w:r>
          </w:p>
        </w:tc>
        <w:tc>
          <w:tcPr>
            <w:tcW w:type="dxa" w:w="1152"/>
          </w:tcPr>
          <w:p>
            <w:r/>
            <w:r>
              <w:rPr>
                <w:b w:val="0"/>
                <w:i w:val="0"/>
                <w:sz w:val="20"/>
              </w:rPr>
              <w:t>28</w:t>
            </w:r>
          </w:p>
        </w:tc>
      </w:tr>
      <w:tr>
        <w:tc>
          <w:tcPr>
            <w:tcW w:type="dxa" w:w="1584"/>
          </w:tcPr>
          <w:p>
            <w:r/>
            <w:r>
              <w:rPr>
                <w:b w:val="0"/>
                <w:i w:val="0"/>
                <w:sz w:val="20"/>
              </w:rPr>
              <w:t>Feb 12, 2024</w:t>
            </w:r>
          </w:p>
        </w:tc>
        <w:tc>
          <w:tcPr>
            <w:tcW w:type="dxa" w:w="4608"/>
          </w:tcPr>
          <w:p>
            <w:r/>
            <w:r>
              <w:rPr>
                <w:b w:val="0"/>
                <w:i w:val="0"/>
                <w:sz w:val="20"/>
              </w:rPr>
              <w:t>HR report issued: “unsubstantiated”; states Plaintiff’s 2023 review “had not yet been finalized”; Trujillo review finalized</w:t>
            </w:r>
          </w:p>
        </w:tc>
        <w:tc>
          <w:tcPr>
            <w:tcW w:type="dxa" w:w="2160"/>
          </w:tcPr>
          <w:p>
            <w:r/>
            <w:r>
              <w:rPr>
                <w:b w:val="0"/>
                <w:i w:val="0"/>
                <w:sz w:val="20"/>
              </w:rPr>
              <w:t>HR Report; SVP data sheet</w:t>
            </w:r>
          </w:p>
        </w:tc>
        <w:tc>
          <w:tcPr>
            <w:tcW w:type="dxa" w:w="1152"/>
          </w:tcPr>
          <w:p>
            <w:r/>
            <w:r>
              <w:rPr>
                <w:b w:val="0"/>
                <w:i w:val="0"/>
                <w:sz w:val="20"/>
              </w:rPr>
              <w:t>35</w:t>
            </w:r>
          </w:p>
        </w:tc>
      </w:tr>
      <w:tr>
        <w:tc>
          <w:tcPr>
            <w:tcW w:type="dxa" w:w="1584"/>
          </w:tcPr>
          <w:p>
            <w:r/>
            <w:r>
              <w:rPr>
                <w:b w:val="0"/>
                <w:i w:val="0"/>
                <w:sz w:val="20"/>
              </w:rPr>
              <w:t>Feb 18, 2024 (Sun.)</w:t>
            </w:r>
          </w:p>
        </w:tc>
        <w:tc>
          <w:tcPr>
            <w:tcW w:type="dxa" w:w="4608"/>
          </w:tcPr>
          <w:p>
            <w:r/>
            <w:r>
              <w:rPr>
                <w:b w:val="0"/>
                <w:i w:val="0"/>
                <w:sz w:val="20"/>
              </w:rPr>
              <w:t>Whitford–Cho email chain (3:22, 4:15, 4:47 PM)</w:t>
            </w:r>
          </w:p>
        </w:tc>
        <w:tc>
          <w:tcPr>
            <w:tcW w:type="dxa" w:w="2160"/>
          </w:tcPr>
          <w:p>
            <w:r/>
            <w:r>
              <w:rPr>
                <w:b w:val="0"/>
                <w:i w:val="0"/>
                <w:sz w:val="20"/>
              </w:rPr>
              <w:t>Email chain</w:t>
            </w:r>
          </w:p>
        </w:tc>
        <w:tc>
          <w:tcPr>
            <w:tcW w:type="dxa" w:w="1152"/>
          </w:tcPr>
          <w:p>
            <w:r/>
            <w:r>
              <w:rPr>
                <w:b w:val="0"/>
                <w:i w:val="0"/>
                <w:sz w:val="20"/>
              </w:rPr>
              <w:t>41</w:t>
            </w:r>
          </w:p>
        </w:tc>
      </w:tr>
      <w:tr>
        <w:tc>
          <w:tcPr>
            <w:tcW w:type="dxa" w:w="1584"/>
          </w:tcPr>
          <w:p>
            <w:r/>
            <w:r>
              <w:rPr>
                <w:b w:val="0"/>
                <w:i w:val="0"/>
                <w:sz w:val="20"/>
              </w:rPr>
              <w:t>Feb 20, 2024</w:t>
            </w:r>
          </w:p>
        </w:tc>
        <w:tc>
          <w:tcPr>
            <w:tcW w:type="dxa" w:w="4608"/>
          </w:tcPr>
          <w:p>
            <w:r/>
            <w:r>
              <w:rPr>
                <w:b w:val="0"/>
                <w:i w:val="0"/>
                <w:sz w:val="20"/>
              </w:rPr>
              <w:t>PIP issued (30 days; end date Mar 21); signed by Whitford and Embree only</w:t>
            </w:r>
          </w:p>
        </w:tc>
        <w:tc>
          <w:tcPr>
            <w:tcW w:type="dxa" w:w="2160"/>
          </w:tcPr>
          <w:p>
            <w:r/>
            <w:r>
              <w:rPr>
                <w:b w:val="0"/>
                <w:i w:val="0"/>
                <w:sz w:val="20"/>
              </w:rPr>
              <w:t>PIP</w:t>
            </w:r>
          </w:p>
        </w:tc>
        <w:tc>
          <w:tcPr>
            <w:tcW w:type="dxa" w:w="1152"/>
          </w:tcPr>
          <w:p>
            <w:r/>
            <w:r>
              <w:rPr>
                <w:b w:val="0"/>
                <w:i w:val="0"/>
                <w:sz w:val="20"/>
              </w:rPr>
              <w:t>43</w:t>
            </w:r>
          </w:p>
        </w:tc>
      </w:tr>
      <w:tr>
        <w:tc>
          <w:tcPr>
            <w:tcW w:type="dxa" w:w="1584"/>
          </w:tcPr>
          <w:p>
            <w:r/>
            <w:r>
              <w:rPr>
                <w:b w:val="0"/>
                <w:i w:val="0"/>
                <w:sz w:val="20"/>
              </w:rPr>
              <w:t>Mar 14, 2024</w:t>
            </w:r>
          </w:p>
        </w:tc>
        <w:tc>
          <w:tcPr>
            <w:tcW w:type="dxa" w:w="4608"/>
          </w:tcPr>
          <w:p>
            <w:r/>
            <w:r>
              <w:rPr>
                <w:b w:val="0"/>
                <w:i w:val="0"/>
                <w:sz w:val="20"/>
              </w:rPr>
              <w:t>Termination (7 days before PIP end); letter cites consultation with Cho and Embree</w:t>
            </w:r>
          </w:p>
        </w:tc>
        <w:tc>
          <w:tcPr>
            <w:tcW w:type="dxa" w:w="2160"/>
          </w:tcPr>
          <w:p>
            <w:r/>
            <w:r>
              <w:rPr>
                <w:b w:val="0"/>
                <w:i w:val="0"/>
                <w:sz w:val="20"/>
              </w:rPr>
              <w:t>Termination letter</w:t>
            </w:r>
          </w:p>
        </w:tc>
        <w:tc>
          <w:tcPr>
            <w:tcW w:type="dxa" w:w="1152"/>
          </w:tcPr>
          <w:p>
            <w:r/>
            <w:r>
              <w:rPr>
                <w:b w:val="0"/>
                <w:i w:val="0"/>
                <w:sz w:val="20"/>
              </w:rPr>
              <w:t>66</w:t>
            </w:r>
          </w:p>
        </w:tc>
      </w:tr>
      <w:tr>
        <w:tc>
          <w:tcPr>
            <w:tcW w:type="dxa" w:w="1584"/>
          </w:tcPr>
          <w:p>
            <w:r/>
            <w:r>
              <w:rPr>
                <w:b w:val="0"/>
                <w:i w:val="0"/>
                <w:sz w:val="20"/>
              </w:rPr>
              <w:t>Apr 7, 2024</w:t>
            </w:r>
          </w:p>
        </w:tc>
        <w:tc>
          <w:tcPr>
            <w:tcW w:type="dxa" w:w="4608"/>
          </w:tcPr>
          <w:p>
            <w:r/>
            <w:r>
              <w:rPr>
                <w:b w:val="0"/>
                <w:i w:val="0"/>
                <w:sz w:val="20"/>
              </w:rPr>
              <w:t>End of 90-day protected period under HR-POL-007 § 7.4.1</w:t>
            </w:r>
          </w:p>
        </w:tc>
        <w:tc>
          <w:tcPr>
            <w:tcW w:type="dxa" w:w="2160"/>
          </w:tcPr>
          <w:p>
            <w:r/>
            <w:r>
              <w:rPr>
                <w:b w:val="0"/>
                <w:i w:val="0"/>
                <w:sz w:val="20"/>
              </w:rPr>
              <w:t>Policy</w:t>
            </w:r>
          </w:p>
        </w:tc>
        <w:tc>
          <w:tcPr>
            <w:tcW w:type="dxa" w:w="1152"/>
          </w:tcPr>
          <w:p>
            <w:r/>
            <w:r>
              <w:rPr>
                <w:b w:val="0"/>
                <w:i w:val="0"/>
                <w:sz w:val="20"/>
              </w:rPr>
              <w:t>90</w:t>
            </w:r>
          </w:p>
        </w:tc>
      </w:tr>
    </w:tbl>
    <w:p/>
    <w:tbl>
      <w:tblPr>
        <w:tblStyle w:val="TableGrid"/>
        <w:tblW w:type="auto" w:w="0"/>
        <w:tblLook w:firstColumn="1" w:firstRow="1" w:lastColumn="0" w:lastRow="0" w:noHBand="0" w:noVBand="1" w:val="04A0"/>
      </w:tblPr>
      <w:tblGrid>
        <w:gridCol w:w="9360"/>
      </w:tblGrid>
      <w:tr>
        <w:tc>
          <w:tcPr>
            <w:tcW w:type="dxa" w:w="9360"/>
            <w:shd w:val="clear" w:color="auto" w:fill="FFF4D6"/>
          </w:tcPr>
          <w:p>
            <w:r/>
            <w:r>
              <w:rPr>
                <w:b/>
                <w:i w:val="0"/>
                <w:sz w:val="20"/>
              </w:rPr>
              <w:t>Date check:</w:t>
            </w:r>
            <w:r>
              <w:rPr>
                <w:b w:val="0"/>
                <w:i w:val="0"/>
                <w:sz w:val="20"/>
              </w:rPr>
              <w:t xml:space="preserve"> The FAC (¶¶ 2, 71, 78, 108) says termination occurred 65 days after the complaint. By calendar count (2024 is a leap year) it is 66 days. Use “66 days” in questioning and consider correcting in any future pleading.</w:t>
            </w:r>
          </w:p>
        </w:tc>
      </w:tr>
    </w:tbl>
    <w:p/>
    <w:p>
      <w:pPr>
        <w:pStyle w:val="Heading1"/>
      </w:pPr>
      <w:r>
        <w:t>IV. Proposed Deposition Exhibits</w:t>
      </w:r>
    </w:p>
    <w:tbl>
      <w:tblPr>
        <w:tblStyle w:val="TableGrid"/>
        <w:tblW w:type="auto" w:w="0"/>
        <w:tblLook w:firstColumn="1" w:firstRow="1" w:lastColumn="0" w:lastRow="0" w:noHBand="0" w:noVBand="1" w:val="04A0"/>
      </w:tblPr>
      <w:tblGrid>
        <w:gridCol w:w="3120"/>
        <w:gridCol w:w="3120"/>
        <w:gridCol w:w="3120"/>
      </w:tblGrid>
      <w:tr>
        <w:tc>
          <w:tcPr>
            <w:tcW w:type="dxa" w:w="1152"/>
            <w:shd w:val="clear" w:color="auto" w:fill="D9E2F3"/>
          </w:tcPr>
          <w:p>
            <w:r/>
            <w:r>
              <w:rPr>
                <w:b/>
                <w:sz w:val="20"/>
              </w:rPr>
              <w:t>Depo Ex.</w:t>
            </w:r>
          </w:p>
        </w:tc>
        <w:tc>
          <w:tcPr>
            <w:tcW w:type="dxa" w:w="4752"/>
            <w:shd w:val="clear" w:color="auto" w:fill="D9E2F3"/>
          </w:tcPr>
          <w:p>
            <w:r/>
            <w:r>
              <w:rPr>
                <w:b/>
                <w:sz w:val="20"/>
              </w:rPr>
              <w:t>Document</w:t>
            </w:r>
          </w:p>
        </w:tc>
        <w:tc>
          <w:tcPr>
            <w:tcW w:type="dxa" w:w="3456"/>
            <w:shd w:val="clear" w:color="auto" w:fill="D9E2F3"/>
          </w:tcPr>
          <w:p>
            <w:r/>
            <w:r>
              <w:rPr>
                <w:b/>
                <w:sz w:val="20"/>
              </w:rPr>
              <w:t>Primary use</w:t>
            </w:r>
          </w:p>
        </w:tc>
      </w:tr>
      <w:tr>
        <w:tc>
          <w:tcPr>
            <w:tcW w:type="dxa" w:w="1152"/>
          </w:tcPr>
          <w:p>
            <w:r/>
            <w:r>
              <w:rPr>
                <w:b w:val="0"/>
                <w:i w:val="0"/>
                <w:sz w:val="20"/>
              </w:rPr>
              <w:t>PX-1</w:t>
            </w:r>
          </w:p>
        </w:tc>
        <w:tc>
          <w:tcPr>
            <w:tcW w:type="dxa" w:w="4752"/>
          </w:tcPr>
          <w:p>
            <w:r/>
            <w:r>
              <w:rPr>
                <w:b w:val="0"/>
                <w:i w:val="0"/>
                <w:sz w:val="20"/>
              </w:rPr>
              <w:t>Ridgeline HR-POL-007, EEO / Anti-Discrimination / Anti-Retaliation Policy (eff. Jan. 15, 2023)</w:t>
            </w:r>
          </w:p>
        </w:tc>
        <w:tc>
          <w:tcPr>
            <w:tcW w:type="dxa" w:w="3456"/>
          </w:tcPr>
          <w:p>
            <w:r/>
            <w:r>
              <w:rPr>
                <w:b w:val="0"/>
                <w:i w:val="0"/>
                <w:sz w:val="20"/>
              </w:rPr>
              <w:t>Knowledge of §§ 7.2.1, 7.2.3, 7.4, 7.5.1, 7.6, 7.7; training acknowledgments</w:t>
            </w:r>
          </w:p>
        </w:tc>
      </w:tr>
      <w:tr>
        <w:tc>
          <w:tcPr>
            <w:tcW w:type="dxa" w:w="1152"/>
          </w:tcPr>
          <w:p>
            <w:r/>
            <w:r>
              <w:rPr>
                <w:b w:val="0"/>
                <w:i w:val="0"/>
                <w:sz w:val="20"/>
              </w:rPr>
              <w:t>PX-2</w:t>
            </w:r>
          </w:p>
        </w:tc>
        <w:tc>
          <w:tcPr>
            <w:tcW w:type="dxa" w:w="4752"/>
          </w:tcPr>
          <w:p>
            <w:r/>
            <w:r>
              <w:rPr>
                <w:b w:val="0"/>
                <w:i w:val="0"/>
                <w:sz w:val="20"/>
              </w:rPr>
              <w:t>Whitford personnel file excerpt re Yazzie complaint, RNB-WHITFORD-PF-000412–419</w:t>
            </w:r>
          </w:p>
        </w:tc>
        <w:tc>
          <w:tcPr>
            <w:tcW w:type="dxa" w:w="3456"/>
          </w:tcPr>
          <w:p>
            <w:r/>
            <w:r>
              <w:rPr>
                <w:b w:val="0"/>
                <w:i w:val="0"/>
                <w:sz w:val="20"/>
              </w:rPr>
              <w:t>Prior notice; 2017 counseling; pattern</w:t>
            </w:r>
          </w:p>
        </w:tc>
      </w:tr>
      <w:tr>
        <w:tc>
          <w:tcPr>
            <w:tcW w:type="dxa" w:w="1152"/>
          </w:tcPr>
          <w:p>
            <w:r/>
            <w:r>
              <w:rPr>
                <w:b w:val="0"/>
                <w:i w:val="0"/>
                <w:sz w:val="20"/>
              </w:rPr>
              <w:t>PX-3</w:t>
            </w:r>
          </w:p>
        </w:tc>
        <w:tc>
          <w:tcPr>
            <w:tcW w:type="dxa" w:w="4752"/>
          </w:tcPr>
          <w:p>
            <w:r/>
            <w:r>
              <w:rPr>
                <w:b w:val="0"/>
                <w:i w:val="0"/>
                <w:sz w:val="20"/>
              </w:rPr>
              <w:t>Plaintiff’s complaint email to J. Embree, Jan. 8, 2024</w:t>
            </w:r>
          </w:p>
        </w:tc>
        <w:tc>
          <w:tcPr>
            <w:tcW w:type="dxa" w:w="3456"/>
          </w:tcPr>
          <w:p>
            <w:r/>
            <w:r>
              <w:rPr>
                <w:b w:val="0"/>
                <w:i w:val="0"/>
                <w:sz w:val="20"/>
              </w:rPr>
              <w:t>Protected activity; content of remarks</w:t>
            </w:r>
          </w:p>
        </w:tc>
      </w:tr>
      <w:tr>
        <w:tc>
          <w:tcPr>
            <w:tcW w:type="dxa" w:w="1152"/>
          </w:tcPr>
          <w:p>
            <w:r/>
            <w:r>
              <w:rPr>
                <w:b w:val="0"/>
                <w:i w:val="0"/>
                <w:sz w:val="20"/>
              </w:rPr>
              <w:t>PX-4</w:t>
            </w:r>
          </w:p>
        </w:tc>
        <w:tc>
          <w:tcPr>
            <w:tcW w:type="dxa" w:w="4752"/>
          </w:tcPr>
          <w:p>
            <w:r/>
            <w:r>
              <w:rPr>
                <w:b w:val="0"/>
                <w:i w:val="0"/>
                <w:sz w:val="20"/>
              </w:rPr>
              <w:t>HR Internal Investigation Report, Complaint No. SW-2024-0012 (Feb. 12, 2024)</w:t>
            </w:r>
          </w:p>
        </w:tc>
        <w:tc>
          <w:tcPr>
            <w:tcW w:type="dxa" w:w="3456"/>
          </w:tcPr>
          <w:p>
            <w:r/>
            <w:r>
              <w:rPr>
                <w:b w:val="0"/>
                <w:i w:val="0"/>
                <w:sz w:val="20"/>
              </w:rPr>
              <w:t>His admissions; counseling; review-finalization discrepancy</w:t>
            </w:r>
          </w:p>
        </w:tc>
      </w:tr>
      <w:tr>
        <w:tc>
          <w:tcPr>
            <w:tcW w:type="dxa" w:w="1152"/>
          </w:tcPr>
          <w:p>
            <w:r/>
            <w:r>
              <w:rPr>
                <w:b w:val="0"/>
                <w:i w:val="0"/>
                <w:sz w:val="20"/>
              </w:rPr>
              <w:t>PX-5</w:t>
            </w:r>
          </w:p>
        </w:tc>
        <w:tc>
          <w:tcPr>
            <w:tcW w:type="dxa" w:w="4752"/>
          </w:tcPr>
          <w:p>
            <w:r/>
            <w:r>
              <w:rPr>
                <w:b w:val="0"/>
                <w:i w:val="0"/>
                <w:sz w:val="20"/>
              </w:rPr>
              <w:t>IT Service Ticket SR-20231002-4471 (LoanStar outage)</w:t>
            </w:r>
          </w:p>
        </w:tc>
        <w:tc>
          <w:tcPr>
            <w:tcW w:type="dxa" w:w="3456"/>
          </w:tcPr>
          <w:p>
            <w:r/>
            <w:r>
              <w:rPr>
                <w:b w:val="0"/>
                <w:i w:val="0"/>
                <w:sz w:val="20"/>
              </w:rPr>
              <w:t>Q3 extension; regional management involvement</w:t>
            </w:r>
          </w:p>
        </w:tc>
      </w:tr>
      <w:tr>
        <w:tc>
          <w:tcPr>
            <w:tcW w:type="dxa" w:w="1152"/>
          </w:tcPr>
          <w:p>
            <w:r/>
            <w:r>
              <w:rPr>
                <w:b w:val="0"/>
                <w:i w:val="0"/>
                <w:sz w:val="20"/>
              </w:rPr>
              <w:t>PX-6</w:t>
            </w:r>
          </w:p>
        </w:tc>
        <w:tc>
          <w:tcPr>
            <w:tcW w:type="dxa" w:w="4752"/>
          </w:tcPr>
          <w:p>
            <w:r/>
            <w:r>
              <w:rPr>
                <w:b w:val="0"/>
                <w:i w:val="0"/>
                <w:sz w:val="20"/>
              </w:rPr>
              <w:t>Q4 2023 Risk Report transmittal email, Delgado-Reyes to Whitford (Jan. 10, 2024)</w:t>
            </w:r>
          </w:p>
        </w:tc>
        <w:tc>
          <w:tcPr>
            <w:tcW w:type="dxa" w:w="3456"/>
          </w:tcPr>
          <w:p>
            <w:r/>
            <w:r>
              <w:rPr>
                <w:b w:val="0"/>
                <w:i w:val="0"/>
                <w:sz w:val="20"/>
              </w:rPr>
              <w:t>Q4 report timely</w:t>
            </w:r>
          </w:p>
        </w:tc>
      </w:tr>
      <w:tr>
        <w:tc>
          <w:tcPr>
            <w:tcW w:type="dxa" w:w="1152"/>
          </w:tcPr>
          <w:p>
            <w:r/>
            <w:r>
              <w:rPr>
                <w:b w:val="0"/>
                <w:i w:val="0"/>
                <w:sz w:val="20"/>
              </w:rPr>
              <w:t>PX-7</w:t>
            </w:r>
          </w:p>
        </w:tc>
        <w:tc>
          <w:tcPr>
            <w:tcW w:type="dxa" w:w="4752"/>
          </w:tcPr>
          <w:p>
            <w:r/>
            <w:r>
              <w:rPr>
                <w:b w:val="0"/>
                <w:i w:val="0"/>
                <w:sz w:val="20"/>
              </w:rPr>
              <w:t>2023 Annual Performance Review (finalized Feb. 5, 2024)</w:t>
            </w:r>
          </w:p>
        </w:tc>
        <w:tc>
          <w:tcPr>
            <w:tcW w:type="dxa" w:w="3456"/>
          </w:tcPr>
          <w:p>
            <w:r/>
            <w:r>
              <w:rPr>
                <w:b w:val="0"/>
                <w:i w:val="0"/>
                <w:sz w:val="20"/>
              </w:rPr>
              <w:t>Pretext; narrative errors; timing</w:t>
            </w:r>
          </w:p>
        </w:tc>
      </w:tr>
      <w:tr>
        <w:tc>
          <w:tcPr>
            <w:tcW w:type="dxa" w:w="1152"/>
          </w:tcPr>
          <w:p>
            <w:r/>
            <w:r>
              <w:rPr>
                <w:b w:val="0"/>
                <w:i w:val="0"/>
                <w:sz w:val="20"/>
              </w:rPr>
              <w:t>PX-8</w:t>
            </w:r>
          </w:p>
        </w:tc>
        <w:tc>
          <w:tcPr>
            <w:tcW w:type="dxa" w:w="4752"/>
          </w:tcPr>
          <w:p>
            <w:r/>
            <w:r>
              <w:rPr>
                <w:b w:val="0"/>
                <w:i w:val="0"/>
                <w:sz w:val="20"/>
              </w:rPr>
              <w:t>SVP Commercial Lending Performance Data FY2023, RNB-SW-004721–22</w:t>
            </w:r>
          </w:p>
        </w:tc>
        <w:tc>
          <w:tcPr>
            <w:tcW w:type="dxa" w:w="3456"/>
          </w:tcPr>
          <w:p>
            <w:r/>
            <w:r>
              <w:rPr>
                <w:b w:val="0"/>
                <w:i w:val="0"/>
                <w:sz w:val="20"/>
              </w:rPr>
              <w:t>Comparators</w:t>
            </w:r>
          </w:p>
        </w:tc>
      </w:tr>
      <w:tr>
        <w:tc>
          <w:tcPr>
            <w:tcW w:type="dxa" w:w="1152"/>
          </w:tcPr>
          <w:p>
            <w:r/>
            <w:r>
              <w:rPr>
                <w:b w:val="0"/>
                <w:i w:val="0"/>
                <w:sz w:val="20"/>
              </w:rPr>
              <w:t>PX-9</w:t>
            </w:r>
          </w:p>
        </w:tc>
        <w:tc>
          <w:tcPr>
            <w:tcW w:type="dxa" w:w="4752"/>
          </w:tcPr>
          <w:p>
            <w:r/>
            <w:r>
              <w:rPr>
                <w:b w:val="0"/>
                <w:i w:val="0"/>
                <w:sz w:val="20"/>
              </w:rPr>
              <w:t>Whitford–Cho email chain, Feb. 18, 2024</w:t>
            </w:r>
          </w:p>
        </w:tc>
        <w:tc>
          <w:tcPr>
            <w:tcW w:type="dxa" w:w="3456"/>
          </w:tcPr>
          <w:p>
            <w:r/>
            <w:r>
              <w:rPr>
                <w:b w:val="0"/>
                <w:i w:val="0"/>
                <w:sz w:val="20"/>
              </w:rPr>
              <w:t>Direct evidence of retaliatory motive</w:t>
            </w:r>
          </w:p>
        </w:tc>
      </w:tr>
      <w:tr>
        <w:tc>
          <w:tcPr>
            <w:tcW w:type="dxa" w:w="1152"/>
          </w:tcPr>
          <w:p>
            <w:r/>
            <w:r>
              <w:rPr>
                <w:b w:val="0"/>
                <w:i w:val="0"/>
                <w:sz w:val="20"/>
              </w:rPr>
              <w:t>PX-10</w:t>
            </w:r>
          </w:p>
        </w:tc>
        <w:tc>
          <w:tcPr>
            <w:tcW w:type="dxa" w:w="4752"/>
          </w:tcPr>
          <w:p>
            <w:r/>
            <w:r>
              <w:rPr>
                <w:b w:val="0"/>
                <w:i w:val="0"/>
                <w:sz w:val="20"/>
              </w:rPr>
              <w:t>Performance Improvement Plan, Form HR-PIP-2024-SW-0387 (Feb. 20, 2024)</w:t>
            </w:r>
          </w:p>
        </w:tc>
        <w:tc>
          <w:tcPr>
            <w:tcW w:type="dxa" w:w="3456"/>
          </w:tcPr>
          <w:p>
            <w:r/>
            <w:r>
              <w:rPr>
                <w:b w:val="0"/>
                <w:i w:val="0"/>
                <w:sz w:val="20"/>
              </w:rPr>
              <w:t>Pretext; policy non-compliance; impossibility</w:t>
            </w:r>
          </w:p>
        </w:tc>
      </w:tr>
      <w:tr>
        <w:tc>
          <w:tcPr>
            <w:tcW w:type="dxa" w:w="1152"/>
          </w:tcPr>
          <w:p>
            <w:r/>
            <w:r>
              <w:rPr>
                <w:b w:val="0"/>
                <w:i w:val="0"/>
                <w:sz w:val="20"/>
              </w:rPr>
              <w:t>PX-11</w:t>
            </w:r>
          </w:p>
        </w:tc>
        <w:tc>
          <w:tcPr>
            <w:tcW w:type="dxa" w:w="4752"/>
          </w:tcPr>
          <w:p>
            <w:r/>
            <w:r>
              <w:rPr>
                <w:b w:val="0"/>
                <w:i w:val="0"/>
                <w:sz w:val="20"/>
              </w:rPr>
              <w:t>Termination letter (Mar. 14, 2024)</w:t>
            </w:r>
          </w:p>
        </w:tc>
        <w:tc>
          <w:tcPr>
            <w:tcW w:type="dxa" w:w="3456"/>
          </w:tcPr>
          <w:p>
            <w:r/>
            <w:r>
              <w:rPr>
                <w:b w:val="0"/>
                <w:i w:val="0"/>
                <w:sz w:val="20"/>
              </w:rPr>
              <w:t>Early termination; vague grounds; decision-makers</w:t>
            </w:r>
          </w:p>
        </w:tc>
      </w:tr>
      <w:tr>
        <w:tc>
          <w:tcPr>
            <w:tcW w:type="dxa" w:w="1152"/>
          </w:tcPr>
          <w:p>
            <w:r/>
            <w:r>
              <w:rPr>
                <w:b w:val="0"/>
                <w:i w:val="0"/>
                <w:sz w:val="20"/>
              </w:rPr>
              <w:t>PX-12</w:t>
            </w:r>
          </w:p>
        </w:tc>
        <w:tc>
          <w:tcPr>
            <w:tcW w:type="dxa" w:w="4752"/>
          </w:tcPr>
          <w:p>
            <w:r/>
            <w:r>
              <w:rPr>
                <w:b w:val="0"/>
                <w:i w:val="0"/>
                <w:sz w:val="20"/>
              </w:rPr>
              <w:t>First Amended Complaint (reference only — do not mark unless needed)</w:t>
            </w:r>
          </w:p>
        </w:tc>
        <w:tc>
          <w:tcPr>
            <w:tcW w:type="dxa" w:w="3456"/>
          </w:tcPr>
          <w:p>
            <w:r/>
            <w:r>
              <w:rPr>
                <w:b w:val="0"/>
                <w:i w:val="0"/>
                <w:sz w:val="20"/>
              </w:rPr>
              <w:t>—</w:t>
            </w:r>
          </w:p>
        </w:tc>
      </w:tr>
    </w:tbl>
    <w:p/>
    <w:tbl>
      <w:tblPr>
        <w:tblStyle w:val="TableGrid"/>
        <w:tblW w:type="auto" w:w="0"/>
        <w:tblLook w:firstColumn="1" w:firstRow="1" w:lastColumn="0" w:lastRow="0" w:noHBand="0" w:noVBand="1" w:val="04A0"/>
      </w:tblPr>
      <w:tblGrid>
        <w:gridCol w:w="9360"/>
      </w:tblGrid>
      <w:tr>
        <w:tc>
          <w:tcPr>
            <w:tcW w:type="dxa" w:w="9360"/>
            <w:shd w:val="clear" w:color="auto" w:fill="FFF4D6"/>
          </w:tcPr>
          <w:p>
            <w:r/>
            <w:r>
              <w:rPr>
                <w:b/>
                <w:i w:val="0"/>
                <w:sz w:val="20"/>
              </w:rPr>
              <w:t>Privilege alert:</w:t>
            </w:r>
            <w:r>
              <w:rPr>
                <w:b w:val="0"/>
                <w:i w:val="0"/>
                <w:sz w:val="20"/>
              </w:rPr>
              <w:t xml:space="preserve"> The HR Investigation Report (PX-4) is stamped “Attorney-Client Privileged / Attorney Work Product.” Before the deposition, confirm how it was produced and whether Defendant has asserted a Faragher/Ellerth or good-faith-investigation defense (which typically places the investigation at issue). Have a clawback/Rule 26(b)(5)(B) response ready. It was distributed to Whitford, a non-lawyer business decision-maker, and was prepared by HR without counsel involvement per its own text (§ IV: “No external investigator or outside legal counsel was retained or consulted”).</w:t>
            </w:r>
          </w:p>
        </w:tc>
      </w:tr>
    </w:tbl>
    <w:p/>
    <w:p>
      <w:pPr>
        <w:pStyle w:val="Heading1"/>
      </w:pPr>
      <w:r>
        <w:t>V. Record Discrepancies and Cautions for Examining Counsel</w:t>
      </w:r>
    </w:p>
    <w:p>
      <w:r>
        <w:rPr>
          <w:b w:val="0"/>
          <w:i w:val="0"/>
        </w:rPr>
        <w:t>Several FAC allegations diverge from the produced documents. Opposing counsel will use these to rehabilitate the witness. Examine from the documents, and use the discrepancies below offensively where they help us.</w:t>
      </w:r>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color="auto" w:fill="D9E2F3"/>
          </w:tcPr>
          <w:p>
            <w:r/>
            <w:r>
              <w:rPr>
                <w:b/>
                <w:sz w:val="20"/>
              </w:rPr>
              <w:t>#</w:t>
            </w:r>
          </w:p>
        </w:tc>
        <w:tc>
          <w:tcPr>
            <w:tcW w:type="dxa" w:w="2160"/>
            <w:shd w:val="clear" w:color="auto" w:fill="D9E2F3"/>
          </w:tcPr>
          <w:p>
            <w:r/>
            <w:r>
              <w:rPr>
                <w:b/>
                <w:sz w:val="20"/>
              </w:rPr>
              <w:t>Issue</w:t>
            </w:r>
          </w:p>
        </w:tc>
        <w:tc>
          <w:tcPr>
            <w:tcW w:type="dxa" w:w="3456"/>
            <w:shd w:val="clear" w:color="auto" w:fill="D9E2F3"/>
          </w:tcPr>
          <w:p>
            <w:r/>
            <w:r>
              <w:rPr>
                <w:b/>
                <w:sz w:val="20"/>
              </w:rPr>
              <w:t>What the documents show</w:t>
            </w:r>
          </w:p>
        </w:tc>
        <w:tc>
          <w:tcPr>
            <w:tcW w:type="dxa" w:w="3312"/>
            <w:shd w:val="clear" w:color="auto" w:fill="D9E2F3"/>
          </w:tcPr>
          <w:p>
            <w:r/>
            <w:r>
              <w:rPr>
                <w:b/>
                <w:sz w:val="20"/>
              </w:rPr>
              <w:t>How to handle</w:t>
            </w:r>
          </w:p>
        </w:tc>
      </w:tr>
      <w:tr>
        <w:tc>
          <w:tcPr>
            <w:tcW w:type="dxa" w:w="432"/>
          </w:tcPr>
          <w:p>
            <w:r/>
            <w:r>
              <w:rPr>
                <w:b w:val="0"/>
                <w:i w:val="0"/>
                <w:sz w:val="20"/>
              </w:rPr>
              <w:t>1</w:t>
            </w:r>
          </w:p>
        </w:tc>
        <w:tc>
          <w:tcPr>
            <w:tcW w:type="dxa" w:w="2160"/>
          </w:tcPr>
          <w:p>
            <w:r/>
            <w:r>
              <w:rPr>
                <w:b w:val="0"/>
                <w:i w:val="0"/>
                <w:sz w:val="20"/>
              </w:rPr>
              <w:t>FAC ¶36: 2023 was the “first time during Whitford’s tenure” he rated her Meets.</w:t>
            </w:r>
          </w:p>
        </w:tc>
        <w:tc>
          <w:tcPr>
            <w:tcW w:type="dxa" w:w="3456"/>
          </w:tcPr>
          <w:p>
            <w:r/>
            <w:r>
              <w:rPr>
                <w:b w:val="0"/>
                <w:i w:val="0"/>
                <w:sz w:val="20"/>
              </w:rPr>
              <w:t xml:space="preserve">Plaintiff received </w:t>
            </w:r>
            <w:r>
              <w:rPr>
                <w:b/>
                <w:i w:val="0"/>
                <w:sz w:val="20"/>
              </w:rPr>
              <w:t>Meets in 2021</w:t>
            </w:r>
            <w:r>
              <w:rPr>
                <w:b w:val="0"/>
                <w:i w:val="0"/>
                <w:sz w:val="20"/>
              </w:rPr>
              <w:t>, when Whitford was her supervisor (HR Report § II.A; FAC ¶12 table). FAC ¶109(c) concedes “three of four prior years.”</w:t>
            </w:r>
          </w:p>
        </w:tc>
        <w:tc>
          <w:tcPr>
            <w:tcW w:type="dxa" w:w="3312"/>
          </w:tcPr>
          <w:p>
            <w:r/>
            <w:r>
              <w:rPr>
                <w:b w:val="0"/>
                <w:i w:val="0"/>
                <w:sz w:val="20"/>
              </w:rPr>
              <w:t>Do NOT ask “first time ever” questions. Frame as: first Meets after 2022 EE; first rating with three “Below Expectations” categories; first PIP in 11 years. Ask whether the 2021 Meets triggered any PIP or discipline (it did not) — shows a Meets rating alone does not warrant a PIP.</w:t>
            </w:r>
          </w:p>
        </w:tc>
      </w:tr>
      <w:tr>
        <w:tc>
          <w:tcPr>
            <w:tcW w:type="dxa" w:w="432"/>
          </w:tcPr>
          <w:p>
            <w:r/>
            <w:r>
              <w:rPr>
                <w:b w:val="0"/>
                <w:i w:val="0"/>
                <w:sz w:val="20"/>
              </w:rPr>
              <w:t>2</w:t>
            </w:r>
          </w:p>
        </w:tc>
        <w:tc>
          <w:tcPr>
            <w:tcW w:type="dxa" w:w="2160"/>
          </w:tcPr>
          <w:p>
            <w:r/>
            <w:r>
              <w:rPr>
                <w:b w:val="0"/>
                <w:i w:val="0"/>
                <w:sz w:val="20"/>
              </w:rPr>
              <w:t>FAC ¶60: Q4 report sent “January 10, 2024, at 4:47 PM,” 13 minutes before deadline.</w:t>
            </w:r>
          </w:p>
        </w:tc>
        <w:tc>
          <w:tcPr>
            <w:tcW w:type="dxa" w:w="3456"/>
          </w:tcPr>
          <w:p>
            <w:r/>
            <w:r>
              <w:rPr>
                <w:b w:val="0"/>
                <w:i w:val="0"/>
                <w:sz w:val="20"/>
              </w:rPr>
              <w:t>Produced email header reads “Wed, 10 Jan 2024 04:47:00 -0000” (UTC). Literally, that is 9:47 PM MST on Jan. 9. Either reading is on or before the Jan. 10 deadline.</w:t>
            </w:r>
          </w:p>
        </w:tc>
        <w:tc>
          <w:tcPr>
            <w:tcW w:type="dxa" w:w="3312"/>
          </w:tcPr>
          <w:p>
            <w:r/>
            <w:r>
              <w:rPr>
                <w:b w:val="0"/>
                <w:i w:val="0"/>
                <w:sz w:val="20"/>
              </w:rPr>
              <w:t>Do not commit to “4:47 PM.” Ask only that he received the report by email dated Jan. 10 and before the deadline. Obtain native file / server metadata before depo. Either way, the review’s “5 business days late” (≈ Jan. 17) is unsupported.</w:t>
            </w:r>
          </w:p>
        </w:tc>
      </w:tr>
      <w:tr>
        <w:tc>
          <w:tcPr>
            <w:tcW w:type="dxa" w:w="432"/>
          </w:tcPr>
          <w:p>
            <w:r/>
            <w:r>
              <w:rPr>
                <w:b w:val="0"/>
                <w:i w:val="0"/>
                <w:sz w:val="20"/>
              </w:rPr>
              <w:t>3</w:t>
            </w:r>
          </w:p>
        </w:tc>
        <w:tc>
          <w:tcPr>
            <w:tcW w:type="dxa" w:w="2160"/>
          </w:tcPr>
          <w:p>
            <w:r/>
            <w:r>
              <w:rPr>
                <w:b w:val="0"/>
                <w:i w:val="0"/>
                <w:sz w:val="20"/>
              </w:rPr>
              <w:t>FAC ¶59: Q3 report was one business day late vs. original deadline, within extension.</w:t>
            </w:r>
          </w:p>
        </w:tc>
        <w:tc>
          <w:tcPr>
            <w:tcW w:type="dxa" w:w="3456"/>
          </w:tcPr>
          <w:p>
            <w:r/>
            <w:r>
              <w:rPr>
                <w:b w:val="0"/>
                <w:i w:val="0"/>
                <w:sz w:val="20"/>
              </w:rPr>
              <w:t xml:space="preserve">Review/PIP say “approximately 3 business days late” (from Oct. 2 = ~Oct. 5). IT ticket extended deadline to </w:t>
            </w:r>
            <w:r>
              <w:rPr>
                <w:b/>
                <w:i w:val="0"/>
                <w:sz w:val="20"/>
              </w:rPr>
              <w:t>Oct. 4</w:t>
            </w:r>
            <w:r>
              <w:rPr>
                <w:b w:val="0"/>
                <w:i w:val="0"/>
                <w:sz w:val="20"/>
              </w:rPr>
              <w:t>. If Whitford’s figure is right, the report was 1 business day past the extension.</w:t>
            </w:r>
          </w:p>
        </w:tc>
        <w:tc>
          <w:tcPr>
            <w:tcW w:type="dxa" w:w="3312"/>
          </w:tcPr>
          <w:p>
            <w:r/>
            <w:r>
              <w:rPr>
                <w:b w:val="0"/>
                <w:i w:val="0"/>
                <w:sz w:val="20"/>
              </w:rPr>
              <w:t>Establish the actual submission date from LoanStar logs before depo. Lock Whitford into the source of his “3 days” figure and whether he accounted for the extension. Emphasize the review itself acknowledges “a systems issue related to the LoanStar reporting platform.”</w:t>
            </w:r>
          </w:p>
        </w:tc>
      </w:tr>
      <w:tr>
        <w:tc>
          <w:tcPr>
            <w:tcW w:type="dxa" w:w="432"/>
          </w:tcPr>
          <w:p>
            <w:r/>
            <w:r>
              <w:rPr>
                <w:b w:val="0"/>
                <w:i w:val="0"/>
                <w:sz w:val="20"/>
              </w:rPr>
              <w:t>4</w:t>
            </w:r>
          </w:p>
        </w:tc>
        <w:tc>
          <w:tcPr>
            <w:tcW w:type="dxa" w:w="2160"/>
          </w:tcPr>
          <w:p>
            <w:r/>
            <w:r>
              <w:rPr>
                <w:b w:val="0"/>
                <w:i w:val="0"/>
                <w:sz w:val="20"/>
              </w:rPr>
              <w:t>FAC ¶¶43, 46: email addresses @ridgelinenb.com.</w:t>
            </w:r>
          </w:p>
        </w:tc>
        <w:tc>
          <w:tcPr>
            <w:tcW w:type="dxa" w:w="3456"/>
          </w:tcPr>
          <w:p>
            <w:r/>
            <w:r>
              <w:rPr>
                <w:b w:val="0"/>
                <w:i w:val="0"/>
                <w:sz w:val="20"/>
              </w:rPr>
              <w:t xml:space="preserve">Produced Feb. 18 chain and Q4 email use </w:t>
            </w:r>
            <w:r>
              <w:rPr>
                <w:b/>
                <w:i w:val="0"/>
                <w:sz w:val="20"/>
              </w:rPr>
              <w:t>@ridgelinenational.com</w:t>
            </w:r>
            <w:r>
              <w:rPr>
                <w:b w:val="0"/>
                <w:i w:val="0"/>
                <w:sz w:val="20"/>
              </w:rPr>
              <w:t>; Plaintiff’s Jan. 8 complaint uses @ridgelinenb.com.</w:t>
            </w:r>
          </w:p>
        </w:tc>
        <w:tc>
          <w:tcPr>
            <w:tcW w:type="dxa" w:w="3312"/>
          </w:tcPr>
          <w:p>
            <w:r/>
            <w:r>
              <w:rPr>
                <w:b w:val="0"/>
                <w:i w:val="0"/>
                <w:sz w:val="20"/>
              </w:rPr>
              <w:t>Authenticate each email through Whitford (see § VI.J). Ask which domains the bank used/uses and whether both route to his mailbox. Serve RFA on authenticity.</w:t>
            </w:r>
          </w:p>
        </w:tc>
      </w:tr>
      <w:tr>
        <w:tc>
          <w:tcPr>
            <w:tcW w:type="dxa" w:w="432"/>
          </w:tcPr>
          <w:p>
            <w:r/>
            <w:r>
              <w:rPr>
                <w:b w:val="0"/>
                <w:i w:val="0"/>
                <w:sz w:val="20"/>
              </w:rPr>
              <w:t>5</w:t>
            </w:r>
          </w:p>
        </w:tc>
        <w:tc>
          <w:tcPr>
            <w:tcW w:type="dxa" w:w="2160"/>
          </w:tcPr>
          <w:p>
            <w:r/>
            <w:r>
              <w:rPr>
                <w:b w:val="0"/>
                <w:i w:val="0"/>
                <w:sz w:val="20"/>
              </w:rPr>
              <w:t>FAC ¶43 quotes the 3:22 PM email but omits text; FAC ¶47 omits Whitford’s second paragraph.</w:t>
            </w:r>
          </w:p>
        </w:tc>
        <w:tc>
          <w:tcPr>
            <w:tcW w:type="dxa" w:w="3456"/>
          </w:tcPr>
          <w:p>
            <w:r/>
            <w:r>
              <w:rPr>
                <w:b w:val="0"/>
                <w:i w:val="0"/>
                <w:sz w:val="20"/>
              </w:rPr>
              <w:t>Full 4:47 PM email adds: “I’ve already pulled together the metrics I want to cite — delinquency rate, origination shortfall, and the late report submissions. Should be straightforward to document.” 3:22 PM email adds “over the weekend” and “I’d rather be out in front of it.”</w:t>
            </w:r>
          </w:p>
        </w:tc>
        <w:tc>
          <w:tcPr>
            <w:tcW w:type="dxa" w:w="3312"/>
          </w:tcPr>
          <w:p>
            <w:r/>
            <w:r>
              <w:rPr>
                <w:b w:val="0"/>
                <w:i w:val="0"/>
                <w:sz w:val="20"/>
              </w:rPr>
              <w:t>Use the full text; these omitted lines are among our best evidence (outcome-driven documentation).</w:t>
            </w:r>
          </w:p>
        </w:tc>
      </w:tr>
      <w:tr>
        <w:tc>
          <w:tcPr>
            <w:tcW w:type="dxa" w:w="432"/>
          </w:tcPr>
          <w:p>
            <w:r/>
            <w:r>
              <w:rPr>
                <w:b w:val="0"/>
                <w:i w:val="0"/>
                <w:sz w:val="20"/>
              </w:rPr>
              <w:t>6</w:t>
            </w:r>
          </w:p>
        </w:tc>
        <w:tc>
          <w:tcPr>
            <w:tcW w:type="dxa" w:w="2160"/>
          </w:tcPr>
          <w:p>
            <w:r/>
            <w:r>
              <w:rPr>
                <w:b w:val="0"/>
                <w:i w:val="0"/>
                <w:sz w:val="20"/>
              </w:rPr>
              <w:t>FAC ¶113: Whitford was planning the PIP “before the investigation report was even issued.”</w:t>
            </w:r>
          </w:p>
        </w:tc>
        <w:tc>
          <w:tcPr>
            <w:tcW w:type="dxa" w:w="3456"/>
          </w:tcPr>
          <w:p>
            <w:r/>
            <w:r>
              <w:rPr>
                <w:b w:val="0"/>
                <w:i w:val="0"/>
                <w:sz w:val="20"/>
              </w:rPr>
              <w:t>The Feb. 18 email post-dates the Feb. 12 report. The sentence as pleaded is internally inconsistent.</w:t>
            </w:r>
          </w:p>
        </w:tc>
        <w:tc>
          <w:tcPr>
            <w:tcW w:type="dxa" w:w="3312"/>
          </w:tcPr>
          <w:p>
            <w:r/>
            <w:r>
              <w:rPr>
                <w:b w:val="0"/>
                <w:i w:val="0"/>
                <w:sz w:val="20"/>
              </w:rPr>
              <w:t>Ask when he first considered a PIP; do not assert it pre-dated Feb. 12 unless he admits it. The better point: review criticisms (Feb. 5) mirror the PIP and pre-date the report.</w:t>
            </w:r>
          </w:p>
        </w:tc>
      </w:tr>
      <w:tr>
        <w:tc>
          <w:tcPr>
            <w:tcW w:type="dxa" w:w="432"/>
          </w:tcPr>
          <w:p>
            <w:r/>
            <w:r>
              <w:rPr>
                <w:b w:val="0"/>
                <w:i w:val="0"/>
                <w:sz w:val="20"/>
              </w:rPr>
              <w:t>7</w:t>
            </w:r>
          </w:p>
        </w:tc>
        <w:tc>
          <w:tcPr>
            <w:tcW w:type="dxa" w:w="2160"/>
          </w:tcPr>
          <w:p>
            <w:r/>
            <w:r>
              <w:rPr>
                <w:b w:val="0"/>
                <w:i w:val="0"/>
                <w:sz w:val="20"/>
              </w:rPr>
              <w:t>FAC ¶33: Whitford was not “counseled.”</w:t>
            </w:r>
          </w:p>
        </w:tc>
        <w:tc>
          <w:tcPr>
            <w:tcW w:type="dxa" w:w="3456"/>
          </w:tcPr>
          <w:p>
            <w:r/>
            <w:r>
              <w:rPr>
                <w:b w:val="0"/>
                <w:i w:val="0"/>
                <w:sz w:val="20"/>
              </w:rPr>
              <w:t>HR Report § VIII: Whitford was verbally counseled Jan. 16 and Feb. 5, 2024.</w:t>
            </w:r>
          </w:p>
        </w:tc>
        <w:tc>
          <w:tcPr>
            <w:tcW w:type="dxa" w:w="3312"/>
          </w:tcPr>
          <w:p>
            <w:r/>
            <w:r>
              <w:rPr>
                <w:b w:val="0"/>
                <w:i w:val="0"/>
                <w:sz w:val="20"/>
              </w:rPr>
              <w:t>Use it offensively: he was counseled about the complaint on the same day (Feb. 5) he finalized the downgraded review.</w:t>
            </w:r>
          </w:p>
        </w:tc>
      </w:tr>
      <w:tr>
        <w:tc>
          <w:tcPr>
            <w:tcW w:type="dxa" w:w="432"/>
          </w:tcPr>
          <w:p>
            <w:r/>
            <w:r>
              <w:rPr>
                <w:b w:val="0"/>
                <w:i w:val="0"/>
                <w:sz w:val="20"/>
              </w:rPr>
              <w:t>8</w:t>
            </w:r>
          </w:p>
        </w:tc>
        <w:tc>
          <w:tcPr>
            <w:tcW w:type="dxa" w:w="2160"/>
          </w:tcPr>
          <w:p>
            <w:r/>
            <w:r>
              <w:rPr>
                <w:b w:val="0"/>
                <w:i w:val="0"/>
                <w:sz w:val="20"/>
              </w:rPr>
              <w:t>Review finalization date.</w:t>
            </w:r>
          </w:p>
        </w:tc>
        <w:tc>
          <w:tcPr>
            <w:tcW w:type="dxa" w:w="3456"/>
          </w:tcPr>
          <w:p>
            <w:r/>
            <w:r>
              <w:rPr>
                <w:b w:val="0"/>
                <w:i w:val="0"/>
                <w:sz w:val="20"/>
              </w:rPr>
              <w:t>Review dated and signed Feb. 5, 2024 (Whitford, Cho, Plaintiff). HR Report dated Feb. 12 states the 2023 review “had not yet been finalized as of the date of this report.”</w:t>
            </w:r>
          </w:p>
        </w:tc>
        <w:tc>
          <w:tcPr>
            <w:tcW w:type="dxa" w:w="3312"/>
          </w:tcPr>
          <w:p>
            <w:r/>
            <w:r>
              <w:rPr>
                <w:b w:val="0"/>
                <w:i w:val="0"/>
                <w:sz w:val="20"/>
              </w:rPr>
              <w:t>Major credibility issue: probe drafting history, who knew what when, and whether dates were entered after the fact. Demand native files / HR system audit trail.</w:t>
            </w:r>
          </w:p>
        </w:tc>
      </w:tr>
      <w:tr>
        <w:tc>
          <w:tcPr>
            <w:tcW w:type="dxa" w:w="432"/>
          </w:tcPr>
          <w:p>
            <w:r/>
            <w:r>
              <w:rPr>
                <w:b w:val="0"/>
                <w:i w:val="0"/>
                <w:sz w:val="20"/>
              </w:rPr>
              <w:t>9</w:t>
            </w:r>
          </w:p>
        </w:tc>
        <w:tc>
          <w:tcPr>
            <w:tcW w:type="dxa" w:w="2160"/>
          </w:tcPr>
          <w:p>
            <w:r/>
            <w:r>
              <w:rPr>
                <w:b w:val="0"/>
                <w:i w:val="0"/>
                <w:sz w:val="20"/>
              </w:rPr>
              <w:t>FAC ¶12 table: 2023 “Exceeds Expectations (subsequently downgraded).”</w:t>
            </w:r>
          </w:p>
        </w:tc>
        <w:tc>
          <w:tcPr>
            <w:tcW w:type="dxa" w:w="3456"/>
          </w:tcPr>
          <w:p>
            <w:r/>
            <w:r>
              <w:rPr>
                <w:b w:val="0"/>
                <w:i w:val="0"/>
                <w:sz w:val="20"/>
              </w:rPr>
              <w:t>No produced draft shows an initial EE rating.</w:t>
            </w:r>
          </w:p>
        </w:tc>
        <w:tc>
          <w:tcPr>
            <w:tcW w:type="dxa" w:w="3312"/>
          </w:tcPr>
          <w:p>
            <w:r/>
            <w:r>
              <w:rPr>
                <w:b w:val="0"/>
                <w:i w:val="0"/>
                <w:sz w:val="20"/>
              </w:rPr>
              <w:t>Ask whether any earlier draft or pre-rating (calibration, bonus recommendation) existed. Do not assert one existed.</w:t>
            </w:r>
          </w:p>
        </w:tc>
      </w:tr>
      <w:tr>
        <w:tc>
          <w:tcPr>
            <w:tcW w:type="dxa" w:w="432"/>
          </w:tcPr>
          <w:p>
            <w:r/>
            <w:r>
              <w:rPr>
                <w:b w:val="0"/>
                <w:i w:val="0"/>
                <w:sz w:val="20"/>
              </w:rPr>
              <w:t>10</w:t>
            </w:r>
          </w:p>
        </w:tc>
        <w:tc>
          <w:tcPr>
            <w:tcW w:type="dxa" w:w="2160"/>
          </w:tcPr>
          <w:p>
            <w:r/>
            <w:r>
              <w:rPr>
                <w:b w:val="0"/>
                <w:i w:val="0"/>
                <w:sz w:val="20"/>
              </w:rPr>
              <w:t>Identity data inconsistencies.</w:t>
            </w:r>
          </w:p>
        </w:tc>
        <w:tc>
          <w:tcPr>
            <w:tcW w:type="dxa" w:w="3456"/>
          </w:tcPr>
          <w:p>
            <w:r/>
            <w:r>
              <w:rPr>
                <w:b w:val="0"/>
                <w:i w:val="0"/>
                <w:sz w:val="20"/>
              </w:rPr>
              <w:t xml:space="preserve">Review: Employee ID 104782, hire date </w:t>
            </w:r>
            <w:r>
              <w:rPr>
                <w:b/>
                <w:i w:val="0"/>
                <w:sz w:val="20"/>
              </w:rPr>
              <w:t>March 11, 2013</w:t>
            </w:r>
            <w:r>
              <w:rPr>
                <w:b w:val="0"/>
                <w:i w:val="0"/>
                <w:sz w:val="20"/>
              </w:rPr>
              <w:t xml:space="preserve">. PIP: Employee ID </w:t>
            </w:r>
            <w:r>
              <w:rPr>
                <w:b/>
                <w:i w:val="0"/>
                <w:sz w:val="20"/>
              </w:rPr>
              <w:t>RNB-038714</w:t>
            </w:r>
            <w:r>
              <w:rPr>
                <w:b w:val="0"/>
                <w:i w:val="0"/>
                <w:sz w:val="20"/>
              </w:rPr>
              <w:t xml:space="preserve">, hire date </w:t>
            </w:r>
            <w:r>
              <w:rPr>
                <w:b/>
                <w:i w:val="0"/>
                <w:sz w:val="20"/>
              </w:rPr>
              <w:t>March 18, 2013</w:t>
            </w:r>
            <w:r>
              <w:rPr>
                <w:b w:val="0"/>
                <w:i w:val="0"/>
                <w:sz w:val="20"/>
              </w:rPr>
              <w:t>.</w:t>
            </w:r>
          </w:p>
        </w:tc>
        <w:tc>
          <w:tcPr>
            <w:tcW w:type="dxa" w:w="3312"/>
          </w:tcPr>
          <w:p>
            <w:r/>
            <w:r>
              <w:rPr>
                <w:b w:val="0"/>
                <w:i w:val="0"/>
                <w:sz w:val="20"/>
              </w:rPr>
              <w:t>Ask who prepared the PIP, what template/source data was used, and why it differs from the review. Suggests hurried or separately sourced drafting.</w:t>
            </w:r>
          </w:p>
        </w:tc>
      </w:tr>
      <w:tr>
        <w:tc>
          <w:tcPr>
            <w:tcW w:type="dxa" w:w="432"/>
          </w:tcPr>
          <w:p>
            <w:r/>
            <w:r>
              <w:rPr>
                <w:b w:val="0"/>
                <w:i w:val="0"/>
                <w:sz w:val="20"/>
              </w:rPr>
              <w:t>11</w:t>
            </w:r>
          </w:p>
        </w:tc>
        <w:tc>
          <w:tcPr>
            <w:tcW w:type="dxa" w:w="2160"/>
          </w:tcPr>
          <w:p>
            <w:r/>
            <w:r>
              <w:rPr>
                <w:b w:val="0"/>
                <w:i w:val="0"/>
                <w:sz w:val="20"/>
              </w:rPr>
              <w:t>Comparator — David Trujillo (Hispanic male).</w:t>
            </w:r>
          </w:p>
        </w:tc>
        <w:tc>
          <w:tcPr>
            <w:tcW w:type="dxa" w:w="3456"/>
          </w:tcPr>
          <w:p>
            <w:r/>
            <w:r>
              <w:rPr>
                <w:b w:val="0"/>
                <w:i w:val="0"/>
                <w:sz w:val="20"/>
              </w:rPr>
              <w:t xml:space="preserve">Worst origination ($22.9M), 2.8% delinquency, rated “Below Expectations,” verbal coaching only, </w:t>
            </w:r>
            <w:r>
              <w:rPr>
                <w:b/>
                <w:i w:val="0"/>
                <w:sz w:val="20"/>
              </w:rPr>
              <w:t>no PIP</w:t>
            </w:r>
            <w:r>
              <w:rPr>
                <w:b w:val="0"/>
                <w:i w:val="0"/>
                <w:sz w:val="20"/>
              </w:rPr>
              <w:t>.</w:t>
            </w:r>
          </w:p>
        </w:tc>
        <w:tc>
          <w:tcPr>
            <w:tcW w:type="dxa" w:w="3312"/>
          </w:tcPr>
          <w:p>
            <w:r/>
            <w:r>
              <w:rPr>
                <w:b w:val="0"/>
                <w:i w:val="0"/>
                <w:sz w:val="20"/>
              </w:rPr>
              <w:t>Defense will use Trujillo to rebut national-origin animus. Use him for retaliation: the only non-complainant rated lower than Plaintiff received coaching, not a PIP. Plaintiff was the only one of five who complained, and the only one PIP’d/terminated.</w:t>
            </w:r>
          </w:p>
        </w:tc>
      </w:tr>
      <w:tr>
        <w:tc>
          <w:tcPr>
            <w:tcW w:type="dxa" w:w="432"/>
          </w:tcPr>
          <w:p>
            <w:r/>
            <w:r>
              <w:rPr>
                <w:b w:val="0"/>
                <w:i w:val="0"/>
                <w:sz w:val="20"/>
              </w:rPr>
              <w:t>12</w:t>
            </w:r>
          </w:p>
        </w:tc>
        <w:tc>
          <w:tcPr>
            <w:tcW w:type="dxa" w:w="2160"/>
          </w:tcPr>
          <w:p>
            <w:r/>
            <w:r>
              <w:rPr>
                <w:b w:val="0"/>
                <w:i w:val="0"/>
                <w:sz w:val="20"/>
              </w:rPr>
              <w:t>Pattern allegations (FAC ¶¶80–84).</w:t>
            </w:r>
          </w:p>
        </w:tc>
        <w:tc>
          <w:tcPr>
            <w:tcW w:type="dxa" w:w="3456"/>
          </w:tcPr>
          <w:p>
            <w:r/>
            <w:r>
              <w:rPr>
                <w:b w:val="0"/>
                <w:i w:val="0"/>
                <w:sz w:val="20"/>
              </w:rPr>
              <w:t>No produced document yet supports the six-complainant statistics.</w:t>
            </w:r>
          </w:p>
        </w:tc>
        <w:tc>
          <w:tcPr>
            <w:tcW w:type="dxa" w:w="3312"/>
          </w:tcPr>
          <w:p>
            <w:r/>
            <w:r>
              <w:rPr>
                <w:b w:val="0"/>
                <w:i w:val="0"/>
                <w:sz w:val="20"/>
              </w:rPr>
              <w:t>Ask foundational questions only (complaints he knew of, terminations he approved). Do not recite statistics as fact.</w:t>
            </w:r>
          </w:p>
        </w:tc>
      </w:tr>
    </w:tbl>
    <w:p/>
    <w:p>
      <w:pPr>
        <w:pStyle w:val="Heading1"/>
      </w:pPr>
      <w:r>
        <w:t>VI. Examination Outline</w:t>
      </w:r>
    </w:p>
    <w:p>
      <w:r>
        <w:rPr>
          <w:b w:val="0"/>
          <w:i/>
        </w:rPr>
        <w:t>Suggested time allocation (7 hours on record): A–B 0:25; C 0:25; D 0:25; E 0:25; F 0:45; G 0:25; H 0:40; I 0:40; J 0:50; K 0:30; L 0:30; M 0:30; N–O 0:15. Prioritize J (Feb. 18 email), I (risk reports), and M (comparators) if time is cut.</w:t>
      </w:r>
    </w:p>
    <w:p>
      <w:pPr>
        <w:pStyle w:val="Heading2"/>
      </w:pPr>
      <w:r>
        <w:t>A. Preliminaries and Admonitions</w:t>
      </w:r>
    </w:p>
    <w:p>
      <w:r>
        <w:rPr>
          <w:b/>
          <w:color w:val="1F3A5F"/>
        </w:rPr>
        <w:t xml:space="preserve">Objective: </w:t>
      </w:r>
      <w:r>
        <w:rPr>
          <w:b w:val="0"/>
          <w:i/>
        </w:rPr>
        <w:t>Standard admonitions; establish preparation and document universe.</w:t>
      </w:r>
    </w:p>
    <w:p>
      <w:pPr>
        <w:spacing w:after="60"/>
        <w:ind w:left="432" w:hanging="432"/>
      </w:pPr>
      <w:r>
        <w:rPr>
          <w:b/>
        </w:rPr>
        <w:t>1.</w:t>
        <w:tab/>
      </w:r>
      <w:r>
        <w:rPr>
          <w:b w:val="0"/>
          <w:i w:val="0"/>
        </w:rPr>
        <w:t>You understand you are under oath, same as in court? Any medication or condition affecting your memory or ability to testify truthfully today?</w:t>
      </w:r>
    </w:p>
    <w:p>
      <w:pPr>
        <w:spacing w:after="60"/>
        <w:ind w:left="432" w:hanging="432"/>
      </w:pPr>
      <w:r>
        <w:rPr>
          <w:b/>
        </w:rPr>
        <w:t>2.</w:t>
        <w:tab/>
      </w:r>
      <w:r>
        <w:rPr>
          <w:b w:val="0"/>
          <w:i w:val="0"/>
        </w:rPr>
        <w:t>What did you do to prepare? Whom did you meet with, for how long? (Do not ask content of counsel communications.) Did you meet with Sandra Cho, Janet Embree, or anyone other than counsel?</w:t>
      </w:r>
    </w:p>
    <w:p>
      <w:pPr>
        <w:spacing w:after="60"/>
        <w:ind w:left="432" w:hanging="432"/>
      </w:pPr>
      <w:r>
        <w:rPr>
          <w:b/>
        </w:rPr>
        <w:t>3.</w:t>
        <w:tab/>
      </w:r>
      <w:r>
        <w:rPr>
          <w:b w:val="0"/>
          <w:i w:val="0"/>
        </w:rPr>
        <w:t>What documents did you review to prepare? Did any refresh your recollection? [Demand production under FRE 612 if so.]</w:t>
      </w:r>
    </w:p>
    <w:p>
      <w:pPr>
        <w:spacing w:after="60"/>
        <w:ind w:left="432" w:hanging="432"/>
      </w:pPr>
      <w:r>
        <w:rPr>
          <w:b/>
        </w:rPr>
        <w:t>4.</w:t>
        <w:tab/>
      </w:r>
      <w:r>
        <w:rPr>
          <w:b w:val="0"/>
          <w:i w:val="0"/>
        </w:rPr>
        <w:t>Have you discussed this lawsuit or Ms. Delgado-Reyes’s complaint with anyone other than counsel — Cho, Embree, Langley, Kowalski, Marsh, Trujillo, Fuentes? When? What was said?</w:t>
      </w:r>
    </w:p>
    <w:p>
      <w:pPr>
        <w:spacing w:after="60"/>
        <w:ind w:left="432" w:hanging="432"/>
      </w:pPr>
      <w:r>
        <w:rPr>
          <w:b/>
        </w:rPr>
        <w:t>5.</w:t>
        <w:tab/>
      </w:r>
      <w:r>
        <w:rPr>
          <w:b w:val="0"/>
          <w:i w:val="0"/>
        </w:rPr>
        <w:t>Did you receive a litigation hold notice? When? What did you do to preserve emails, texts, notes, calendar entries, drafts? Do you use a personal phone or personal email for any work communications? Text messages with Cho or Embree about Ms. Delgado-Reyes?</w:t>
      </w:r>
    </w:p>
    <w:p>
      <w:pPr>
        <w:spacing w:after="60"/>
        <w:ind w:left="432" w:hanging="432"/>
      </w:pPr>
      <w:r>
        <w:rPr>
          <w:b/>
        </w:rPr>
        <w:t>6.</w:t>
        <w:tab/>
      </w:r>
      <w:r>
        <w:rPr>
          <w:b w:val="0"/>
          <w:i w:val="0"/>
        </w:rPr>
        <w:t>Do you keep handwritten notes of one-on-ones or meetings? Where are they?</w:t>
      </w:r>
    </w:p>
    <w:p>
      <w:pPr>
        <w:pStyle w:val="Heading2"/>
      </w:pPr>
      <w:r>
        <w:t>B. Background, Role, and Authority</w:t>
      </w:r>
    </w:p>
    <w:p>
      <w:r>
        <w:rPr>
          <w:b/>
          <w:color w:val="1F3A5F"/>
        </w:rPr>
        <w:t xml:space="preserve">Objective: </w:t>
      </w:r>
      <w:r>
        <w:rPr>
          <w:b w:val="0"/>
          <w:i/>
        </w:rPr>
        <w:t>Establish his authority over ratings, PIPs, and terminations; his training; his reporting line.</w:t>
      </w:r>
    </w:p>
    <w:p>
      <w:pPr>
        <w:spacing w:after="60"/>
        <w:ind w:left="432" w:hanging="432"/>
      </w:pPr>
      <w:r>
        <w:rPr>
          <w:b/>
        </w:rPr>
        <w:t>7.</w:t>
        <w:tab/>
      </w:r>
      <w:r>
        <w:rPr>
          <w:b w:val="0"/>
          <w:i w:val="0"/>
        </w:rPr>
        <w:t>Education and employment history; when did you join Ridgeline? Positions held.</w:t>
      </w:r>
    </w:p>
    <w:p>
      <w:pPr>
        <w:spacing w:after="60"/>
        <w:ind w:left="432" w:hanging="432"/>
      </w:pPr>
      <w:r>
        <w:rPr>
          <w:b/>
        </w:rPr>
        <w:t>8.</w:t>
        <w:tab/>
      </w:r>
      <w:r>
        <w:rPr>
          <w:b w:val="0"/>
          <w:i w:val="0"/>
        </w:rPr>
        <w:t>Regional President, Mountain Division from January 2015 to 2019? Why did you transfer to the Southwest Division in July 2019? Who made the decision? Was your prior complaint history discussed in connection with the transfer?</w:t>
      </w:r>
    </w:p>
    <w:p>
      <w:pPr>
        <w:spacing w:after="60"/>
        <w:ind w:left="432" w:hanging="432"/>
      </w:pPr>
      <w:r>
        <w:rPr>
          <w:b/>
        </w:rPr>
        <w:t>9.</w:t>
        <w:tab/>
      </w:r>
      <w:r>
        <w:rPr>
          <w:b w:val="0"/>
          <w:i w:val="0"/>
        </w:rPr>
        <w:t>As Regional President, you had authority to rate SVPs’ annual performance? To issue PIPs? To recommend termination?</w:t>
      </w:r>
    </w:p>
    <w:p>
      <w:pPr>
        <w:spacing w:after="60"/>
        <w:ind w:left="432" w:hanging="432"/>
      </w:pPr>
      <w:r>
        <w:rPr>
          <w:b/>
        </w:rPr>
        <w:t>10.</w:t>
        <w:tab/>
      </w:r>
      <w:r>
        <w:rPr>
          <w:b w:val="0"/>
          <w:i w:val="0"/>
        </w:rPr>
        <w:t>Who approves your recommendation to terminate an SVP? Has Sandra Cho ever rejected a termination recommendation of yours? Ever asked for underlying data before approving one?</w:t>
      </w:r>
    </w:p>
    <w:p>
      <w:pPr>
        <w:spacing w:after="60"/>
        <w:ind w:left="432" w:hanging="432"/>
      </w:pPr>
      <w:r>
        <w:rPr>
          <w:b/>
        </w:rPr>
        <w:t>11.</w:t>
        <w:tab/>
      </w:r>
      <w:r>
        <w:rPr>
          <w:b w:val="0"/>
          <w:i w:val="0"/>
        </w:rPr>
        <w:t>How often did you communicate with Cho? Did she ever visit the Phoenix office in 2023–2024? Did she have any first-hand knowledge of Ms. Delgado-Reyes’s work?</w:t>
      </w:r>
    </w:p>
    <w:p>
      <w:pPr>
        <w:spacing w:after="60"/>
        <w:ind w:left="432" w:hanging="432"/>
      </w:pPr>
      <w:r>
        <w:rPr>
          <w:b/>
        </w:rPr>
        <w:t>12.</w:t>
        <w:tab/>
      </w:r>
      <w:r>
        <w:rPr>
          <w:b w:val="0"/>
          <w:i w:val="0"/>
        </w:rPr>
        <w:t>How many terminations have you recommended since July 2019? How many PIPs have you issued? To whom? [Identify each; ask race/ethnicity and whether any had filed complaints.]</w:t>
      </w:r>
    </w:p>
    <w:p>
      <w:pPr>
        <w:pStyle w:val="Heading2"/>
      </w:pPr>
      <w:r>
        <w:t>C. Policy Knowledge and Training</w:t>
      </w:r>
    </w:p>
    <w:p>
      <w:r>
        <w:rPr>
          <w:b/>
        </w:rPr>
        <w:t xml:space="preserve">Exhibits: </w:t>
      </w:r>
      <w:r>
        <w:rPr>
          <w:b w:val="0"/>
          <w:i w:val="0"/>
        </w:rPr>
        <w:t>PX-1 (HR-POL-007)</w:t>
      </w:r>
    </w:p>
    <w:p>
      <w:r>
        <w:rPr>
          <w:b/>
          <w:color w:val="1F3A5F"/>
        </w:rPr>
        <w:t xml:space="preserve">Objective: </w:t>
      </w:r>
      <w:r>
        <w:rPr>
          <w:b w:val="0"/>
          <w:i/>
        </w:rPr>
        <w:t>Establish that he knew the rules — including § 7.4 and § 7.7 — and that as a Regional President he bore a “heightened duty.”</w:t>
      </w:r>
    </w:p>
    <w:p>
      <w:pPr>
        <w:spacing w:after="60"/>
        <w:ind w:left="432" w:hanging="432"/>
      </w:pPr>
      <w:r>
        <w:rPr>
          <w:b/>
        </w:rPr>
        <w:t>13.</w:t>
        <w:tab/>
      </w:r>
      <w:r>
        <w:rPr>
          <w:b w:val="0"/>
          <w:i w:val="0"/>
        </w:rPr>
        <w:t>You completed annual anti-discrimination training every year as Regional President? Including the enhanced supervisory training under § 7.6?</w:t>
      </w:r>
    </w:p>
    <w:p>
      <w:pPr>
        <w:spacing w:after="60"/>
        <w:ind w:left="432" w:hanging="432"/>
      </w:pPr>
      <w:r>
        <w:rPr>
          <w:b/>
        </w:rPr>
        <w:t>14.</w:t>
        <w:tab/>
      </w:r>
      <w:r>
        <w:rPr>
          <w:b w:val="0"/>
          <w:i w:val="0"/>
        </w:rPr>
        <w:t>You signed an Annual Policy Acknowledgment Form each year? [Obtain copies.] Paragraph 3 of that form expressly references the 90-day approval requirement and the § 7.7 PIP provisions — you read that before signing?</w:t>
      </w:r>
    </w:p>
    <w:p>
      <w:pPr>
        <w:spacing w:after="60"/>
        <w:ind w:left="432" w:hanging="432"/>
      </w:pPr>
      <w:r>
        <w:rPr>
          <w:b/>
        </w:rPr>
        <w:t>15.</w:t>
        <w:tab/>
      </w:r>
      <w:r>
        <w:rPr>
          <w:b w:val="0"/>
          <w:i w:val="0"/>
        </w:rPr>
        <w:t>§ 7.2.1: remarks that associate an employee’s professional capabilities with ethnic identity, “even if framed as complimentary,” are prohibited. You were aware of that provision in 2023?</w:t>
      </w:r>
    </w:p>
    <w:p>
      <w:pPr>
        <w:spacing w:after="60"/>
        <w:ind w:left="432" w:hanging="432"/>
      </w:pPr>
      <w:r>
        <w:rPr>
          <w:b/>
        </w:rPr>
        <w:t>16.</w:t>
        <w:tab/>
      </w:r>
      <w:r>
        <w:rPr>
          <w:b w:val="0"/>
          <w:i w:val="0"/>
        </w:rPr>
        <w:t>§ 7.2.3: negative evaluations and PIPs are listed as forms of retaliation. You knew that?</w:t>
      </w:r>
    </w:p>
    <w:p>
      <w:pPr>
        <w:spacing w:after="60"/>
        <w:ind w:left="432" w:hanging="432"/>
      </w:pPr>
      <w:r>
        <w:rPr>
          <w:b/>
        </w:rPr>
        <w:t>17.</w:t>
        <w:tab/>
      </w:r>
      <w:r>
        <w:rPr>
          <w:b w:val="0"/>
          <w:i w:val="0"/>
        </w:rPr>
        <w:t>§ 7.4.1: no adverse action within 90 days of a complaint without prior written approval from the CHRO and General Counsel. You knew that on February 5, February 20, and March 14, 2024?</w:t>
      </w:r>
    </w:p>
    <w:p>
      <w:pPr>
        <w:spacing w:after="60"/>
        <w:ind w:left="432" w:hanging="432"/>
      </w:pPr>
      <w:r>
        <w:rPr>
          <w:b/>
        </w:rPr>
        <w:t>18.</w:t>
        <w:tab/>
      </w:r>
      <w:r>
        <w:rPr>
          <w:b w:val="0"/>
          <w:i w:val="0"/>
        </w:rPr>
        <w:t>§ 7.4.1 defines “adverse employment action” to include a “negative performance evaluation” and “placement on a Performance Improvement Plan.” Agreed?</w:t>
      </w:r>
    </w:p>
    <w:p>
      <w:pPr>
        <w:spacing w:after="60"/>
        <w:ind w:left="432" w:hanging="432"/>
      </w:pPr>
      <w:r>
        <w:rPr>
          <w:b/>
        </w:rPr>
        <w:t>19.</w:t>
        <w:tab/>
      </w:r>
      <w:r>
        <w:rPr>
          <w:b w:val="0"/>
          <w:i w:val="0"/>
        </w:rPr>
        <w:t>§ 7.4.1: the protected period runs a full 90 days “including after the investigation has been completed.” So the investigation closing on February 12 did not end the protected period — correct?</w:t>
      </w:r>
    </w:p>
    <w:p>
      <w:pPr>
        <w:spacing w:after="60"/>
        <w:ind w:left="432" w:hanging="432"/>
      </w:pPr>
      <w:r>
        <w:rPr>
          <w:b/>
        </w:rPr>
        <w:t>20.</w:t>
        <w:tab/>
      </w:r>
      <w:r>
        <w:rPr>
          <w:b w:val="0"/>
          <w:i w:val="0"/>
        </w:rPr>
        <w:t>§ 7.4.4: Regional Presidents bear a “heightened duty” and non-compliance is an independent violation. You understood that?</w:t>
      </w:r>
    </w:p>
    <w:p>
      <w:pPr>
        <w:spacing w:after="60"/>
        <w:ind w:left="432" w:hanging="432"/>
      </w:pPr>
      <w:r>
        <w:rPr>
          <w:b/>
        </w:rPr>
        <w:t>21.</w:t>
        <w:tab/>
      </w:r>
      <w:r>
        <w:rPr>
          <w:b w:val="0"/>
          <w:i w:val="0"/>
        </w:rPr>
        <w:t>§ 7.7(e): the full PIP period must run before termination; “failure to meet PIP benchmarks during the PIP period” does not justify early termination. You knew that on March 14, 2024?</w:t>
      </w:r>
    </w:p>
    <w:p>
      <w:pPr>
        <w:spacing w:after="60"/>
        <w:ind w:left="432" w:hanging="432"/>
      </w:pPr>
      <w:r>
        <w:rPr>
          <w:b/>
        </w:rPr>
        <w:t>22.</w:t>
        <w:tab/>
      </w:r>
      <w:r>
        <w:rPr>
          <w:b w:val="0"/>
          <w:i w:val="0"/>
        </w:rPr>
        <w:t>§ 7.9(d): managers must consult HR before issuing a performance evaluation to a complainant within 12 months. Did you consult Embree before finalizing the 2023 review on February 5? What did she say?</w:t>
      </w:r>
    </w:p>
    <w:p>
      <w:pPr>
        <w:pStyle w:val="Heading2"/>
      </w:pPr>
      <w:r>
        <w:t>D. Prior Complaint — Patricia Yazzie (2017)</w:t>
      </w:r>
    </w:p>
    <w:p>
      <w:r>
        <w:rPr>
          <w:b/>
        </w:rPr>
        <w:t xml:space="preserve">Exhibits: </w:t>
      </w:r>
      <w:r>
        <w:rPr>
          <w:b w:val="0"/>
          <w:i w:val="0"/>
        </w:rPr>
        <w:t>PX-2 (RNB-WHITFORD-PF-000412–419)</w:t>
      </w:r>
    </w:p>
    <w:p>
      <w:r>
        <w:rPr>
          <w:b/>
          <w:color w:val="1F3A5F"/>
        </w:rPr>
        <w:t xml:space="preserve">Objective: </w:t>
      </w:r>
      <w:r>
        <w:rPr>
          <w:b w:val="0"/>
          <w:i/>
        </w:rPr>
        <w:t>Prior notice of how geographic/ethnic language is perceived; prior frustration at being complained about; pattern. (Admissibility under FRE 404(b)/403 will be contested — build the record; intent, knowledge, and absence of mistake are the likely purposes.)</w:t>
      </w:r>
    </w:p>
    <w:p>
      <w:pPr>
        <w:spacing w:after="60"/>
        <w:ind w:left="432" w:hanging="432"/>
      </w:pPr>
      <w:r>
        <w:rPr>
          <w:b/>
        </w:rPr>
        <w:t>23.</w:t>
        <w:tab/>
      </w:r>
      <w:r>
        <w:rPr>
          <w:b w:val="0"/>
          <w:i w:val="0"/>
        </w:rPr>
        <w:t>Patricia Yazzie filed a complaint against you on June 12, 2017, alleging discrimination based on her Navajo heritage?</w:t>
      </w:r>
    </w:p>
    <w:p>
      <w:pPr>
        <w:spacing w:after="60"/>
        <w:ind w:left="432" w:hanging="432"/>
      </w:pPr>
      <w:r>
        <w:rPr>
          <w:b/>
        </w:rPr>
        <w:t>24.</w:t>
        <w:tab/>
      </w:r>
      <w:r>
        <w:rPr>
          <w:b w:val="0"/>
          <w:i w:val="0"/>
        </w:rPr>
        <w:t>You used the phrase “reservation risk” in credit committee meetings? You admitted that to HR in 2017?</w:t>
      </w:r>
    </w:p>
    <w:p>
      <w:pPr>
        <w:spacing w:after="60"/>
        <w:ind w:left="432" w:hanging="432"/>
      </w:pPr>
      <w:r>
        <w:rPr>
          <w:b/>
        </w:rPr>
        <w:t>25.</w:t>
        <w:tab/>
      </w:r>
      <w:r>
        <w:rPr>
          <w:b w:val="0"/>
          <w:i w:val="0"/>
        </w:rPr>
        <w:t>Did you ever describe comparable non-tribal rural agricultural loans with a comparable label?</w:t>
      </w:r>
    </w:p>
    <w:p>
      <w:pPr>
        <w:spacing w:after="60"/>
        <w:ind w:left="432" w:hanging="432"/>
      </w:pPr>
      <w:r>
        <w:rPr>
          <w:b/>
        </w:rPr>
        <w:t>26.</w:t>
        <w:tab/>
      </w:r>
      <w:r>
        <w:rPr>
          <w:b w:val="0"/>
          <w:i w:val="0"/>
        </w:rPr>
        <w:t>Did you tell Ms. Yazzie you wanted “a different face” at client meetings? You told HR you “did not recall” — do you deny saying it today?</w:t>
      </w:r>
    </w:p>
    <w:p>
      <w:pPr>
        <w:spacing w:after="60"/>
        <w:ind w:left="432" w:hanging="432"/>
      </w:pPr>
      <w:r>
        <w:rPr>
          <w:b/>
        </w:rPr>
        <w:t>27.</w:t>
        <w:tab/>
      </w:r>
      <w:r>
        <w:rPr>
          <w:b w:val="0"/>
          <w:i w:val="0"/>
        </w:rPr>
        <w:t>On September 12, 2017, Karen Dietrich counseled you. You were “specifically advised to exercise heightened awareness regarding terminology that references geographic areas closely associated with specific racial or ethnic communities.” Correct?</w:t>
      </w:r>
    </w:p>
    <w:p>
      <w:pPr>
        <w:spacing w:after="60"/>
        <w:ind w:left="432" w:hanging="432"/>
      </w:pPr>
      <w:r>
        <w:rPr>
          <w:b/>
        </w:rPr>
        <w:t>28.</w:t>
        <w:tab/>
      </w:r>
      <w:r>
        <w:rPr>
          <w:b w:val="0"/>
          <w:i w:val="0"/>
        </w:rPr>
        <w:t>You told Ms. Dietrich you would “be more careful about word choices going forward”?</w:t>
      </w:r>
    </w:p>
    <w:p>
      <w:pPr>
        <w:spacing w:after="60"/>
        <w:ind w:left="432" w:hanging="432"/>
      </w:pPr>
      <w:r>
        <w:rPr>
          <w:b/>
        </w:rPr>
        <w:t>29.</w:t>
        <w:tab/>
      </w:r>
      <w:r>
        <w:rPr>
          <w:b w:val="0"/>
          <w:i w:val="0"/>
        </w:rPr>
        <w:t>Ms. Dietrich recorded that you “expressed frustration that the complaint had been filed.” Is that accurate? Why were you frustrated?</w:t>
      </w:r>
    </w:p>
    <w:p>
      <w:pPr>
        <w:spacing w:after="60"/>
        <w:ind w:left="432" w:hanging="432"/>
      </w:pPr>
      <w:r>
        <w:rPr>
          <w:b/>
        </w:rPr>
        <w:t>30.</w:t>
        <w:tab/>
      </w:r>
      <w:r>
        <w:rPr>
          <w:b w:val="0"/>
          <w:i w:val="0"/>
        </w:rPr>
        <w:t>You were reminded then of the anti-retaliation policy and confirmed your understanding of it?</w:t>
      </w:r>
    </w:p>
    <w:p>
      <w:pPr>
        <w:spacing w:after="60"/>
        <w:ind w:left="432" w:hanging="432"/>
      </w:pPr>
      <w:r>
        <w:rPr>
          <w:b/>
        </w:rPr>
        <w:t>31.</w:t>
        <w:tab/>
      </w:r>
      <w:r>
        <w:rPr>
          <w:b w:val="0"/>
          <w:i w:val="0"/>
        </w:rPr>
        <w:t>The Form HR-042 signature lines in the produced copy are blank — did you sign the counseling acknowledgment? [Confirm existence of signed original.]</w:t>
      </w:r>
    </w:p>
    <w:p>
      <w:pPr>
        <w:spacing w:after="60"/>
        <w:ind w:left="432" w:hanging="432"/>
      </w:pPr>
      <w:r>
        <w:rPr>
          <w:b/>
        </w:rPr>
        <w:t>32.</w:t>
        <w:tab/>
      </w:r>
      <w:r>
        <w:rPr>
          <w:b w:val="0"/>
          <w:i w:val="0"/>
        </w:rPr>
        <w:t>Did Ms. Yazzie’s job responsibilities, client meetings, or loan approvals change after her complaint? She resigned in February 2018 — did you have any discussions with her before she resigned?</w:t>
      </w:r>
    </w:p>
    <w:p>
      <w:pPr>
        <w:spacing w:after="60"/>
        <w:ind w:left="432" w:hanging="432"/>
      </w:pPr>
      <w:r>
        <w:rPr>
          <w:b/>
        </w:rPr>
        <w:t>33.</w:t>
        <w:tab/>
      </w:r>
      <w:r>
        <w:rPr>
          <w:b w:val="0"/>
          <w:i w:val="0"/>
        </w:rPr>
        <w:t>In 2023, when you spoke about “border communities,” did you remember the 2017 counseling about geographic terms associated with ethnic communities?</w:t>
      </w:r>
    </w:p>
    <w:p>
      <w:pPr>
        <w:pStyle w:val="Heading2"/>
      </w:pPr>
      <w:r>
        <w:t>E. Plaintiff’s Performance History Under Whitford</w:t>
      </w:r>
    </w:p>
    <w:p>
      <w:r>
        <w:rPr>
          <w:b/>
          <w:color w:val="1F3A5F"/>
        </w:rPr>
        <w:t xml:space="preserve">Objective: </w:t>
      </w:r>
      <w:r>
        <w:rPr>
          <w:b w:val="0"/>
          <w:i/>
        </w:rPr>
        <w:t>Establish strong track record; no documented concerns before January 8, 2024.</w:t>
      </w:r>
    </w:p>
    <w:p>
      <w:pPr>
        <w:spacing w:after="60"/>
        <w:ind w:left="432" w:hanging="432"/>
      </w:pPr>
      <w:r>
        <w:rPr>
          <w:b/>
        </w:rPr>
        <w:t>34.</w:t>
        <w:tab/>
      </w:r>
      <w:r>
        <w:rPr>
          <w:b w:val="0"/>
          <w:i w:val="0"/>
        </w:rPr>
        <w:t>You rated Ms. Delgado-Reyes Exceeds Expectations for 2019, 2020, and 2022? Meets in 2021? Did the 2021 Meets rating result in a PIP, warning, or coaching memo? (No.)</w:t>
      </w:r>
    </w:p>
    <w:p>
      <w:pPr>
        <w:spacing w:after="60"/>
        <w:ind w:left="432" w:hanging="432"/>
      </w:pPr>
      <w:r>
        <w:rPr>
          <w:b/>
        </w:rPr>
        <w:t>35.</w:t>
        <w:tab/>
      </w:r>
      <w:r>
        <w:rPr>
          <w:b w:val="0"/>
          <w:i w:val="0"/>
        </w:rPr>
        <w:t>Her portfolio (~$340M) was the largest among the SVPs you supervised?</w:t>
      </w:r>
    </w:p>
    <w:p>
      <w:pPr>
        <w:spacing w:after="60"/>
        <w:ind w:left="432" w:hanging="432"/>
      </w:pPr>
      <w:r>
        <w:rPr>
          <w:b/>
        </w:rPr>
        <w:t>36.</w:t>
        <w:tab/>
      </w:r>
      <w:r>
        <w:rPr>
          <w:b w:val="0"/>
          <w:i w:val="0"/>
        </w:rPr>
        <w:t>Before January 8, 2024, had you ever issued her a written warning, coaching memo, or any written criticism of her delinquency rate, origination volume, or report timeliness? Any email? Identify each.</w:t>
      </w:r>
    </w:p>
    <w:p>
      <w:pPr>
        <w:spacing w:after="60"/>
        <w:ind w:left="432" w:hanging="432"/>
      </w:pPr>
      <w:r>
        <w:rPr>
          <w:b/>
        </w:rPr>
        <w:t>37.</w:t>
        <w:tab/>
      </w:r>
      <w:r>
        <w:rPr>
          <w:b w:val="0"/>
          <w:i w:val="0"/>
        </w:rPr>
        <w:t>Before January 8, 2024, did you ever tell anyone — Cho, Embree, anyone — that you were considering a PIP or termination for her?</w:t>
      </w:r>
    </w:p>
    <w:p>
      <w:pPr>
        <w:spacing w:after="60"/>
        <w:ind w:left="432" w:hanging="432"/>
      </w:pPr>
      <w:r>
        <w:rPr>
          <w:b/>
        </w:rPr>
        <w:t>38.</w:t>
        <w:tab/>
      </w:r>
      <w:r>
        <w:rPr>
          <w:b w:val="0"/>
          <w:i w:val="0"/>
        </w:rPr>
        <w:t>The review says you “communicated these concerns … during our regular one-on-one meetings throughout 2023.” Identify each date. Any notes, agendas, or emails documenting those conversations?</w:t>
      </w:r>
    </w:p>
    <w:p>
      <w:pPr>
        <w:spacing w:after="60"/>
        <w:ind w:left="432" w:hanging="432"/>
      </w:pPr>
      <w:r>
        <w:rPr>
          <w:b/>
        </w:rPr>
        <w:t>39.</w:t>
        <w:tab/>
      </w:r>
      <w:r>
        <w:rPr>
          <w:b w:val="0"/>
          <w:i w:val="0"/>
        </w:rPr>
        <w:t>On January 16, 2024, you told HR you had “the utmost respect” for her abilities and “no concerns about [her] competence.” That was true when you said it?</w:t>
      </w:r>
    </w:p>
    <w:p>
      <w:pPr>
        <w:spacing w:after="60"/>
        <w:ind w:left="432" w:hanging="432"/>
      </w:pPr>
      <w:r>
        <w:rPr>
          <w:b/>
        </w:rPr>
        <w:t>40.</w:t>
        <w:tab/>
      </w:r>
      <w:r>
        <w:rPr>
          <w:b w:val="0"/>
          <w:i w:val="0"/>
        </w:rPr>
        <w:t>What changed between January 16 (“no concerns about competence”) and February 5 (three categories “Below Expectations”)?</w:t>
      </w:r>
    </w:p>
    <w:p>
      <w:pPr>
        <w:spacing w:after="60"/>
        <w:ind w:left="432" w:hanging="432"/>
      </w:pPr>
      <w:r>
        <w:rPr>
          <w:b/>
        </w:rPr>
        <w:t>41.</w:t>
        <w:tab/>
      </w:r>
      <w:r>
        <w:rPr>
          <w:b w:val="0"/>
          <w:i w:val="0"/>
        </w:rPr>
        <w:t>What was her 2023 bonus? Who set it? When? [$69,000 per FAC ¶17 — ask whether it was approved before or after Jan. 8 and what rating it assumed.]</w:t>
      </w:r>
    </w:p>
    <w:p>
      <w:pPr>
        <w:pStyle w:val="Heading2"/>
      </w:pPr>
      <w:r>
        <w:t>F. The Three Remarks</w:t>
      </w:r>
    </w:p>
    <w:p>
      <w:r>
        <w:rPr>
          <w:b/>
        </w:rPr>
        <w:t xml:space="preserve">Exhibits: </w:t>
      </w:r>
      <w:r>
        <w:rPr>
          <w:b w:val="0"/>
          <w:i w:val="0"/>
        </w:rPr>
        <w:t>PX-3, PX-4</w:t>
      </w:r>
    </w:p>
    <w:p>
      <w:r>
        <w:rPr>
          <w:b/>
          <w:color w:val="1F3A5F"/>
        </w:rPr>
        <w:t xml:space="preserve">Objective: </w:t>
      </w:r>
      <w:r>
        <w:rPr>
          <w:b w:val="0"/>
          <w:i/>
        </w:rPr>
        <w:t>Lock in exact words; use his HR admissions; test innocent explanations against context; show no “market risk” data was presented.</w:t>
      </w:r>
    </w:p>
    <w:p>
      <w:r>
        <w:rPr>
          <w:b/>
          <w:i w:val="0"/>
        </w:rPr>
        <w:t>1. November 15, 2023 team meeting</w:t>
      </w:r>
    </w:p>
    <w:p>
      <w:pPr>
        <w:spacing w:after="60"/>
        <w:ind w:left="432" w:hanging="432"/>
      </w:pPr>
      <w:r>
        <w:rPr>
          <w:b/>
        </w:rPr>
        <w:t>42.</w:t>
        <w:tab/>
      </w:r>
      <w:r>
        <w:rPr>
          <w:b w:val="0"/>
          <w:i w:val="0"/>
        </w:rPr>
        <w:t>You said the bank needed to “be careful about lending in border communities”? And that “people from those areas don’t always have the same credit culture we expect”? If you deny the second phrase — what exactly did you say?</w:t>
      </w:r>
    </w:p>
    <w:p>
      <w:pPr>
        <w:spacing w:after="60"/>
        <w:ind w:left="432" w:hanging="432"/>
      </w:pPr>
      <w:r>
        <w:rPr>
          <w:b/>
        </w:rPr>
        <w:t>43.</w:t>
        <w:tab/>
      </w:r>
      <w:r>
        <w:rPr>
          <w:b w:val="0"/>
          <w:i w:val="0"/>
        </w:rPr>
        <w:t>You told HR your remarks were based on credit analytics showing elevated delinquency in “certain southern Arizona ZIP codes.” Identify that analysis. Who prepared it? Did you present it at the meeting? Was it circulated? [Request production.]</w:t>
      </w:r>
    </w:p>
    <w:p>
      <w:pPr>
        <w:spacing w:after="60"/>
        <w:ind w:left="432" w:hanging="432"/>
      </w:pPr>
      <w:r>
        <w:rPr>
          <w:b/>
        </w:rPr>
        <w:t>44.</w:t>
        <w:tab/>
      </w:r>
      <w:r>
        <w:rPr>
          <w:b w:val="0"/>
          <w:i w:val="0"/>
        </w:rPr>
        <w:t>Did you refer to “people” rather than loans, sectors, or ZIP codes? Why “people”?</w:t>
      </w:r>
    </w:p>
    <w:p>
      <w:pPr>
        <w:spacing w:after="60"/>
        <w:ind w:left="432" w:hanging="432"/>
      </w:pPr>
      <w:r>
        <w:rPr>
          <w:b/>
        </w:rPr>
        <w:t>45.</w:t>
        <w:tab/>
      </w:r>
      <w:r>
        <w:rPr>
          <w:b w:val="0"/>
          <w:i w:val="0"/>
        </w:rPr>
        <w:t>What is “credit culture”? Where did you learn that term? Have you used it to describe any non-border market — Scottsdale, Albuquerque, Flagstaff?</w:t>
      </w:r>
    </w:p>
    <w:p>
      <w:pPr>
        <w:spacing w:after="60"/>
        <w:ind w:left="432" w:hanging="432"/>
      </w:pPr>
      <w:r>
        <w:rPr>
          <w:b/>
        </w:rPr>
        <w:t>46.</w:t>
        <w:tab/>
      </w:r>
      <w:r>
        <w:rPr>
          <w:b w:val="0"/>
          <w:i w:val="0"/>
        </w:rPr>
        <w:t>What share of the population in those border communities is Hispanic/Mexican-American, to your knowledge?</w:t>
      </w:r>
    </w:p>
    <w:p>
      <w:pPr>
        <w:spacing w:after="60"/>
        <w:ind w:left="432" w:hanging="432"/>
      </w:pPr>
      <w:r>
        <w:rPr>
          <w:b/>
        </w:rPr>
        <w:t>47.</w:t>
        <w:tab/>
      </w:r>
      <w:r>
        <w:rPr>
          <w:b w:val="0"/>
          <w:i w:val="0"/>
        </w:rPr>
        <w:t>Whose portfolio was most concentrated in those communities? (Plaintiff’s.) You knew that when you spoke?</w:t>
      </w:r>
    </w:p>
    <w:p>
      <w:pPr>
        <w:spacing w:after="60"/>
        <w:ind w:left="432" w:hanging="432"/>
      </w:pPr>
      <w:r>
        <w:rPr>
          <w:b/>
        </w:rPr>
        <w:t>48.</w:t>
        <w:tab/>
      </w:r>
      <w:r>
        <w:rPr>
          <w:b w:val="0"/>
          <w:i w:val="0"/>
        </w:rPr>
        <w:t>Were there agendas, slides, or minutes? Who kept the attendee roster? [Identify Witnesses A–C.]</w:t>
      </w:r>
    </w:p>
    <w:p>
      <w:r>
        <w:rPr>
          <w:b/>
          <w:i w:val="0"/>
        </w:rPr>
        <w:t>2. December 7, 2023 one-on-one — Sonora Freight Logistics, $8.5M</w:t>
      </w:r>
    </w:p>
    <w:p>
      <w:pPr>
        <w:spacing w:after="60"/>
        <w:ind w:left="432" w:hanging="432"/>
      </w:pPr>
      <w:r>
        <w:rPr>
          <w:b/>
        </w:rPr>
        <w:t>49.</w:t>
        <w:tab/>
      </w:r>
      <w:r>
        <w:rPr>
          <w:b w:val="0"/>
          <w:i w:val="0"/>
        </w:rPr>
        <w:t>You told her she “might want to think about whether [her] background gives [her] blind spots with certain borrowers”? You admitted this to HR.</w:t>
      </w:r>
    </w:p>
    <w:p>
      <w:pPr>
        <w:spacing w:after="60"/>
        <w:ind w:left="432" w:hanging="432"/>
      </w:pPr>
      <w:r>
        <w:rPr>
          <w:b/>
        </w:rPr>
        <w:t>50.</w:t>
        <w:tab/>
      </w:r>
      <w:r>
        <w:rPr>
          <w:b w:val="0"/>
          <w:i w:val="0"/>
        </w:rPr>
        <w:t>“Certain borrowers” — which borrowers? What characteristic made them “certain”?</w:t>
      </w:r>
    </w:p>
    <w:p>
      <w:pPr>
        <w:spacing w:after="60"/>
        <w:ind w:left="432" w:hanging="432"/>
      </w:pPr>
      <w:r>
        <w:rPr>
          <w:b/>
        </w:rPr>
        <w:t>51.</w:t>
        <w:tab/>
      </w:r>
      <w:r>
        <w:rPr>
          <w:b w:val="0"/>
          <w:i w:val="0"/>
        </w:rPr>
        <w:t>You told HR “background” meant professional background. In four and a half years, had you ever told her or any other SVP their professional background created “blind spots”? Did you ever say that to Langley or Kowalski about their longstanding relationships?</w:t>
      </w:r>
    </w:p>
    <w:p>
      <w:pPr>
        <w:spacing w:after="60"/>
        <w:ind w:left="432" w:hanging="432"/>
      </w:pPr>
      <w:r>
        <w:rPr>
          <w:b/>
        </w:rPr>
        <w:t>52.</w:t>
        <w:tab/>
      </w:r>
      <w:r>
        <w:rPr>
          <w:b w:val="0"/>
          <w:i w:val="0"/>
        </w:rPr>
        <w:t>Identify any credit weakness in the Sonora Freight proposal you raised in that meeting. Any written credit memo or comments? What happened to the loan?</w:t>
      </w:r>
    </w:p>
    <w:p>
      <w:pPr>
        <w:spacing w:after="60"/>
        <w:ind w:left="432" w:hanging="432"/>
      </w:pPr>
      <w:r>
        <w:rPr>
          <w:b/>
        </w:rPr>
        <w:t>53.</w:t>
        <w:tab/>
      </w:r>
      <w:r>
        <w:rPr>
          <w:b w:val="0"/>
          <w:i w:val="0"/>
        </w:rPr>
        <w:t>You knew the borrower was a Hispanic family-owned business in Nogales?</w:t>
      </w:r>
    </w:p>
    <w:p>
      <w:r>
        <w:rPr>
          <w:b/>
          <w:i w:val="0"/>
        </w:rPr>
        <w:t>3. December 20, 2023 holiday party</w:t>
      </w:r>
    </w:p>
    <w:p>
      <w:pPr>
        <w:spacing w:after="60"/>
        <w:ind w:left="432" w:hanging="432"/>
      </w:pPr>
      <w:r>
        <w:rPr>
          <w:b/>
        </w:rPr>
        <w:t>54.</w:t>
        <w:tab/>
      </w:r>
      <w:r>
        <w:rPr>
          <w:b w:val="0"/>
          <w:i w:val="0"/>
        </w:rPr>
        <w:t>You introduced her to a visiting Denver executive as “our local expert — she really knows the border market. It’s in her blood.” Correct? Who was the executive?</w:t>
      </w:r>
    </w:p>
    <w:p>
      <w:pPr>
        <w:spacing w:after="60"/>
        <w:ind w:left="432" w:hanging="432"/>
      </w:pPr>
      <w:r>
        <w:rPr>
          <w:b/>
        </w:rPr>
        <w:t>55.</w:t>
        <w:tab/>
      </w:r>
      <w:r>
        <w:rPr>
          <w:b w:val="0"/>
          <w:i w:val="0"/>
        </w:rPr>
        <w:t>Roberto Fuentes recalls “in her blood” or “in her DNA.” Did you say “DNA”?</w:t>
      </w:r>
    </w:p>
    <w:p>
      <w:pPr>
        <w:spacing w:after="60"/>
        <w:ind w:left="432" w:hanging="432"/>
      </w:pPr>
      <w:r>
        <w:rPr>
          <w:b/>
        </w:rPr>
        <w:t>56.</w:t>
        <w:tab/>
      </w:r>
      <w:r>
        <w:rPr>
          <w:b w:val="0"/>
          <w:i w:val="0"/>
        </w:rPr>
        <w:t>What about her is “in her blood” — her MBA? Her 11 years at Ridgeline? Or her heritage?</w:t>
      </w:r>
    </w:p>
    <w:p>
      <w:pPr>
        <w:spacing w:after="60"/>
        <w:ind w:left="432" w:hanging="432"/>
      </w:pPr>
      <w:r>
        <w:rPr>
          <w:b/>
        </w:rPr>
        <w:t>57.</w:t>
        <w:tab/>
      </w:r>
      <w:r>
        <w:rPr>
          <w:b w:val="0"/>
          <w:i w:val="0"/>
        </w:rPr>
        <w:t>Have you ever described a white SVP’s expertise as being “in their blood”?</w:t>
      </w:r>
    </w:p>
    <w:p>
      <w:pPr>
        <w:spacing w:after="60"/>
        <w:ind w:left="432" w:hanging="432"/>
      </w:pPr>
      <w:r>
        <w:rPr>
          <w:b/>
        </w:rPr>
        <w:t>58.</w:t>
        <w:tab/>
      </w:r>
      <w:r>
        <w:rPr>
          <w:b w:val="0"/>
          <w:i w:val="0"/>
        </w:rPr>
        <w:t>You told HR it was a “compliment.” You were aware § 7.2.1 prohibits such remarks “even if framed as complimentary”?</w:t>
      </w:r>
    </w:p>
    <w:p>
      <w:pPr>
        <w:spacing w:after="60"/>
        <w:ind w:left="432" w:hanging="432"/>
      </w:pPr>
      <w:r>
        <w:rPr>
          <w:b/>
        </w:rPr>
        <w:t>59.</w:t>
        <w:tab/>
      </w:r>
      <w:r>
        <w:rPr>
          <w:b w:val="0"/>
          <w:i w:val="0"/>
        </w:rPr>
        <w:t>Did you ever apologize to Ms. Delgado-Reyes for any of these remarks?</w:t>
      </w:r>
    </w:p>
    <w:p>
      <w:pPr>
        <w:pStyle w:val="Heading2"/>
      </w:pPr>
      <w:r>
        <w:t>G. Knowledge of the Complaint and the HR Investigation</w:t>
      </w:r>
    </w:p>
    <w:p>
      <w:r>
        <w:rPr>
          <w:b/>
        </w:rPr>
        <w:t xml:space="preserve">Exhibits: </w:t>
      </w:r>
      <w:r>
        <w:rPr>
          <w:b w:val="0"/>
          <w:i w:val="0"/>
        </w:rPr>
        <w:t>PX-3, PX-4</w:t>
      </w:r>
    </w:p>
    <w:p>
      <w:r>
        <w:rPr>
          <w:b/>
          <w:color w:val="1F3A5F"/>
        </w:rPr>
        <w:t xml:space="preserve">Objective: </w:t>
      </w:r>
      <w:r>
        <w:rPr>
          <w:b w:val="0"/>
          <w:i/>
        </w:rPr>
        <w:t>Earliest knowledge date; what he was told; counseling; whether investigation complied with policy.</w:t>
      </w:r>
    </w:p>
    <w:p>
      <w:pPr>
        <w:spacing w:after="60"/>
        <w:ind w:left="432" w:hanging="432"/>
      </w:pPr>
      <w:r>
        <w:rPr>
          <w:b/>
        </w:rPr>
        <w:t>60.</w:t>
        <w:tab/>
      </w:r>
      <w:r>
        <w:rPr>
          <w:b w:val="0"/>
          <w:i w:val="0"/>
        </w:rPr>
        <w:t>When did you first learn Ms. Delgado-Reyes had complained? From whom? Before January 16? Did anyone mention it on January 8–10?</w:t>
      </w:r>
    </w:p>
    <w:p>
      <w:pPr>
        <w:spacing w:after="60"/>
        <w:ind w:left="432" w:hanging="432"/>
      </w:pPr>
      <w:r>
        <w:rPr>
          <w:b/>
        </w:rPr>
        <w:t>61.</w:t>
        <w:tab/>
      </w:r>
      <w:r>
        <w:rPr>
          <w:b w:val="0"/>
          <w:i w:val="0"/>
        </w:rPr>
        <w:t>At your January 16 interview you were told the complainant’s identity and the three incidents? You were told of the anti-retaliation policy?</w:t>
      </w:r>
    </w:p>
    <w:p>
      <w:pPr>
        <w:spacing w:after="60"/>
        <w:ind w:left="432" w:hanging="432"/>
      </w:pPr>
      <w:r>
        <w:rPr>
          <w:b/>
        </w:rPr>
        <w:t>62.</w:t>
        <w:tab/>
      </w:r>
      <w:r>
        <w:rPr>
          <w:b w:val="0"/>
          <w:i w:val="0"/>
        </w:rPr>
        <w:t>HR counseled you verbally on January 16 and again on February 5, 2024. What were you told on February 5? Was that conversation before or after you finalized her review that same day?</w:t>
      </w:r>
    </w:p>
    <w:p>
      <w:pPr>
        <w:spacing w:after="60"/>
        <w:ind w:left="432" w:hanging="432"/>
      </w:pPr>
      <w:r>
        <w:rPr>
          <w:b/>
        </w:rPr>
        <w:t>63.</w:t>
        <w:tab/>
      </w:r>
      <w:r>
        <w:rPr>
          <w:b w:val="0"/>
          <w:i w:val="0"/>
        </w:rPr>
        <w:t>Did you know § 7.5.1 requires complaints against a Regional President to be investigated by the CHRO or an outside investigator, not the divisional HR VP? Did you have any role in deciding who would investigate? Did you speak with Embree about the investigation outside your interview?</w:t>
      </w:r>
    </w:p>
    <w:p>
      <w:pPr>
        <w:spacing w:after="60"/>
        <w:ind w:left="432" w:hanging="432"/>
      </w:pPr>
      <w:r>
        <w:rPr>
          <w:b/>
        </w:rPr>
        <w:t>64.</w:t>
        <w:tab/>
      </w:r>
      <w:r>
        <w:rPr>
          <w:b w:val="0"/>
          <w:i w:val="0"/>
        </w:rPr>
        <w:t>Embree reports to whom? Did you have any role in her performance reviews or compensation?</w:t>
      </w:r>
    </w:p>
    <w:p>
      <w:pPr>
        <w:spacing w:after="60"/>
        <w:ind w:left="432" w:hanging="432"/>
      </w:pPr>
      <w:r>
        <w:rPr>
          <w:b/>
        </w:rPr>
        <w:t>65.</w:t>
        <w:tab/>
      </w:r>
      <w:r>
        <w:rPr>
          <w:b w:val="0"/>
          <w:i w:val="0"/>
        </w:rPr>
        <w:t>Did you speak with Marsh, Fuentes, or any meeting attendee about the complaint or their interviews? [If yes — what, when.]</w:t>
      </w:r>
    </w:p>
    <w:p>
      <w:pPr>
        <w:spacing w:after="60"/>
        <w:ind w:left="432" w:hanging="432"/>
      </w:pPr>
      <w:r>
        <w:rPr>
          <w:b/>
        </w:rPr>
        <w:t>66.</w:t>
        <w:tab/>
      </w:r>
      <w:r>
        <w:rPr>
          <w:b w:val="0"/>
          <w:i w:val="0"/>
        </w:rPr>
        <w:t>When did you receive the February 12 report? You read it? You understood from it which colleagues had corroborated the holiday-party remark?</w:t>
      </w:r>
    </w:p>
    <w:p>
      <w:pPr>
        <w:spacing w:after="60"/>
        <w:ind w:left="432" w:hanging="432"/>
      </w:pPr>
      <w:r>
        <w:rPr>
          <w:b/>
        </w:rPr>
        <w:t>67.</w:t>
        <w:tab/>
      </w:r>
      <w:r>
        <w:rPr>
          <w:b w:val="0"/>
          <w:i w:val="0"/>
        </w:rPr>
        <w:t>Did you ever tell anyone the complaint was a “problem,” or words to that effect, before February 18?</w:t>
      </w:r>
    </w:p>
    <w:p>
      <w:pPr>
        <w:pStyle w:val="Heading2"/>
      </w:pPr>
      <w:r>
        <w:t>H. The 2023 Performance Review (Finalized Feb. 5, 2024 — Day 28)</w:t>
      </w:r>
    </w:p>
    <w:p>
      <w:r>
        <w:rPr>
          <w:b/>
        </w:rPr>
        <w:t xml:space="preserve">Exhibits: </w:t>
      </w:r>
      <w:r>
        <w:rPr>
          <w:b w:val="0"/>
          <w:i w:val="0"/>
        </w:rPr>
        <w:t>PX-7, PX-4, PX-8</w:t>
      </w:r>
    </w:p>
    <w:p>
      <w:r>
        <w:rPr>
          <w:b/>
          <w:color w:val="1F3A5F"/>
        </w:rPr>
        <w:t xml:space="preserve">Objective: </w:t>
      </w:r>
      <w:r>
        <w:rPr>
          <w:b w:val="0"/>
          <w:i/>
        </w:rPr>
        <w:t>Drafting timeline; post-complaint preparation; factual errors in the narrative; comparative mischaracterizations.</w:t>
      </w:r>
    </w:p>
    <w:p>
      <w:r>
        <w:rPr>
          <w:b/>
          <w:i w:val="0"/>
        </w:rPr>
        <w:t>Drafting history</w:t>
      </w:r>
    </w:p>
    <w:p>
      <w:pPr>
        <w:spacing w:after="60"/>
        <w:ind w:left="432" w:hanging="432"/>
      </w:pPr>
      <w:r>
        <w:rPr>
          <w:b/>
        </w:rPr>
        <w:t>68.</w:t>
        <w:tab/>
      </w:r>
      <w:r>
        <w:rPr>
          <w:b w:val="0"/>
          <w:i w:val="0"/>
        </w:rPr>
        <w:t>When did you begin drafting the 2023 review? In what system? Any drafts before January 8? Did any draft or calibration list show a rating of 4 (Exceeds)?</w:t>
      </w:r>
    </w:p>
    <w:p>
      <w:pPr>
        <w:spacing w:after="60"/>
        <w:ind w:left="432" w:hanging="432"/>
      </w:pPr>
      <w:r>
        <w:rPr>
          <w:b/>
        </w:rPr>
        <w:t>69.</w:t>
        <w:tab/>
      </w:r>
      <w:r>
        <w:rPr>
          <w:b w:val="0"/>
          <w:i w:val="0"/>
        </w:rPr>
        <w:t>The other SVPs’ reviews were finalized January 22 (Marsh), 29 (Langley), 31 (Kowalski). Why was hers finalized February 5 — after the others and after your HR interview?</w:t>
      </w:r>
    </w:p>
    <w:p>
      <w:pPr>
        <w:spacing w:after="60"/>
        <w:ind w:left="432" w:hanging="432"/>
      </w:pPr>
      <w:r>
        <w:rPr>
          <w:b/>
        </w:rPr>
        <w:t>70.</w:t>
        <w:tab/>
      </w:r>
      <w:r>
        <w:rPr>
          <w:b w:val="0"/>
          <w:i w:val="0"/>
        </w:rPr>
        <w:t>Did you consult Embree or anyone in HR before finalizing it (§ 7.9(d))? Did you seek CHRO/GC approval under § 7.4.1?</w:t>
      </w:r>
    </w:p>
    <w:p>
      <w:pPr>
        <w:spacing w:after="60"/>
        <w:ind w:left="432" w:hanging="432"/>
      </w:pPr>
      <w:r>
        <w:rPr>
          <w:b/>
        </w:rPr>
        <w:t>71.</w:t>
        <w:tab/>
      </w:r>
      <w:r>
        <w:rPr>
          <w:b w:val="0"/>
          <w:i w:val="0"/>
        </w:rPr>
        <w:t>The review shows Sandra Cho “Reviewed” and signed February 5. What did she review? Did she see the underlying data? How long did she have it?</w:t>
      </w:r>
    </w:p>
    <w:p>
      <w:pPr>
        <w:spacing w:after="60"/>
        <w:ind w:left="432" w:hanging="432"/>
      </w:pPr>
      <w:r>
        <w:rPr>
          <w:b/>
        </w:rPr>
        <w:t>72.</w:t>
        <w:tab/>
      </w:r>
      <w:r>
        <w:rPr>
          <w:b w:val="0"/>
          <w:i w:val="0"/>
        </w:rPr>
        <w:t>Embree’s February 12 report states the 2023 review “had not yet been finalized as of the date of this report.” Yet it bears a February 5 date and three signatures. Which is true? Were any signatures or dates added later? Where are the native files and system audit trail?</w:t>
      </w:r>
    </w:p>
    <w:p>
      <w:r>
        <w:rPr>
          <w:b/>
          <w:i w:val="0"/>
        </w:rPr>
        <w:t>Category 1 — Portfolio quality (rated 2)</w:t>
      </w:r>
    </w:p>
    <w:p>
      <w:pPr>
        <w:spacing w:after="60"/>
        <w:ind w:left="432" w:hanging="432"/>
      </w:pPr>
      <w:r>
        <w:rPr>
          <w:b/>
        </w:rPr>
        <w:t>73.</w:t>
        <w:tab/>
      </w:r>
      <w:r>
        <w:rPr>
          <w:b w:val="0"/>
          <w:i w:val="0"/>
        </w:rPr>
        <w:t>Her Q4 2023 delinquency: 2.4%. Division average: 2.6% (PX-8). So she was better than the division average?</w:t>
      </w:r>
    </w:p>
    <w:p>
      <w:pPr>
        <w:spacing w:after="60"/>
        <w:ind w:left="432" w:hanging="432"/>
      </w:pPr>
      <w:r>
        <w:rPr>
          <w:b/>
        </w:rPr>
        <w:t>74.</w:t>
        <w:tab/>
      </w:r>
      <w:r>
        <w:rPr>
          <w:b w:val="0"/>
          <w:i w:val="0"/>
        </w:rPr>
        <w:t>Langley 3.1%, Kowalski 2.8%, Trujillo 2.8%. She was second-best of five, behind only Marsh (1.9%)?</w:t>
      </w:r>
    </w:p>
    <w:p>
      <w:pPr>
        <w:spacing w:after="60"/>
        <w:ind w:left="432" w:hanging="432"/>
      </w:pPr>
      <w:r>
        <w:rPr>
          <w:b/>
        </w:rPr>
        <w:t>75.</w:t>
        <w:tab/>
      </w:r>
      <w:r>
        <w:rPr>
          <w:b w:val="0"/>
          <w:i w:val="0"/>
        </w:rPr>
        <w:t>The review states “other SVPs in the division managed to maintain portfolio quality closer to established targets.” Only one SVP (Marsh) was closer. That sentence is inaccurate as to three of four, isn’t it?</w:t>
      </w:r>
    </w:p>
    <w:p>
      <w:pPr>
        <w:spacing w:after="60"/>
        <w:ind w:left="432" w:hanging="432"/>
      </w:pPr>
      <w:r>
        <w:rPr>
          <w:b/>
        </w:rPr>
        <w:t>76.</w:t>
        <w:tab/>
      </w:r>
      <w:r>
        <w:rPr>
          <w:b w:val="0"/>
          <w:i w:val="0"/>
        </w:rPr>
        <w:t>Langley had three defaults totaling $4.7M; she had two totaling $3.1M. What rating did you give Langley in Portfolio Quality? [Obtain Langley’s category ratings.] Did you write that Langley’s defaults reflected “insufficient credit risk oversight”?</w:t>
      </w:r>
    </w:p>
    <w:p>
      <w:pPr>
        <w:spacing w:after="60"/>
        <w:ind w:left="432" w:hanging="432"/>
      </w:pPr>
      <w:r>
        <w:rPr>
          <w:b/>
        </w:rPr>
        <w:t>77.</w:t>
        <w:tab/>
      </w:r>
      <w:r>
        <w:rPr>
          <w:b w:val="0"/>
          <w:i w:val="0"/>
        </w:rPr>
        <w:t>The two defaults (Prescott Logistics $2.3M; Saguaro Industrial $0.8M) were discussed with you and credit review during the year — did you document any criticism of her at the time?</w:t>
      </w:r>
    </w:p>
    <w:p>
      <w:r>
        <w:rPr>
          <w:b/>
          <w:i w:val="0"/>
        </w:rPr>
        <w:t>Category 2 — Origination (rated 2)</w:t>
      </w:r>
    </w:p>
    <w:p>
      <w:pPr>
        <w:spacing w:after="60"/>
        <w:ind w:left="432" w:hanging="432"/>
      </w:pPr>
      <w:r>
        <w:rPr>
          <w:b/>
        </w:rPr>
        <w:t>78.</w:t>
        <w:tab/>
      </w:r>
      <w:r>
        <w:rPr>
          <w:b w:val="0"/>
          <w:i w:val="0"/>
        </w:rPr>
        <w:t>Her 2023 origination: $42.3M. SVP average: $38.7M. She was above average?</w:t>
      </w:r>
    </w:p>
    <w:p>
      <w:pPr>
        <w:spacing w:after="60"/>
        <w:ind w:left="432" w:hanging="432"/>
      </w:pPr>
      <w:r>
        <w:rPr>
          <w:b/>
        </w:rPr>
        <w:t>79.</w:t>
        <w:tab/>
      </w:r>
      <w:r>
        <w:rPr>
          <w:b w:val="0"/>
          <w:i w:val="0"/>
        </w:rPr>
        <w:t>Langley $36.1M; Kowalski $39.4M; Trujillo $22.9M. She was second of five?</w:t>
      </w:r>
    </w:p>
    <w:p>
      <w:pPr>
        <w:spacing w:after="60"/>
        <w:ind w:left="432" w:hanging="432"/>
      </w:pPr>
      <w:r>
        <w:rPr>
          <w:b/>
        </w:rPr>
        <w:t>80.</w:t>
        <w:tab/>
      </w:r>
      <w:r>
        <w:rPr>
          <w:b w:val="0"/>
          <w:i w:val="0"/>
        </w:rPr>
        <w:t>You wrote that “other members of the SVP team adapted their strategies.” Which ones other than Marsh met target? (None.)</w:t>
      </w:r>
    </w:p>
    <w:p>
      <w:pPr>
        <w:spacing w:after="60"/>
        <w:ind w:left="432" w:hanging="432"/>
      </w:pPr>
      <w:r>
        <w:rPr>
          <w:b/>
        </w:rPr>
        <w:t>81.</w:t>
        <w:tab/>
      </w:r>
      <w:r>
        <w:rPr>
          <w:b w:val="0"/>
          <w:i w:val="0"/>
        </w:rPr>
        <w:t>You encouraged her to “diversify her pipeline beyond her traditional geographic focus” — toward Phoenix, Albuquerque, northern Arizona. Why away from southern Arizona? Is that connected to your view of “border communities”? Did you give the same instruction to any other SVP?</w:t>
      </w:r>
    </w:p>
    <w:p>
      <w:pPr>
        <w:spacing w:after="60"/>
        <w:ind w:left="432" w:hanging="432"/>
      </w:pPr>
      <w:r>
        <w:rPr>
          <w:b/>
        </w:rPr>
        <w:t>82.</w:t>
        <w:tab/>
      </w:r>
      <w:r>
        <w:rPr>
          <w:b w:val="0"/>
          <w:i w:val="0"/>
        </w:rPr>
        <w:t>You acknowledged a 2023 CRE contraction. Was the $50M target adjusted for any SVP?</w:t>
      </w:r>
    </w:p>
    <w:p>
      <w:r>
        <w:rPr>
          <w:b/>
          <w:i w:val="0"/>
        </w:rPr>
        <w:t>Category 3 — Risk reporting (rated 2)</w:t>
      </w:r>
    </w:p>
    <w:p>
      <w:pPr>
        <w:spacing w:after="60"/>
        <w:ind w:left="432" w:hanging="432"/>
      </w:pPr>
      <w:r>
        <w:rPr>
          <w:b/>
        </w:rPr>
        <w:t>83.</w:t>
        <w:tab/>
      </w:r>
      <w:r>
        <w:rPr>
          <w:b w:val="0"/>
          <w:i w:val="0"/>
        </w:rPr>
        <w:t>See Section I below — lock in sources for “3 business days late” (Q3) and “5 business days late” (Q4).</w:t>
      </w:r>
    </w:p>
    <w:p>
      <w:pPr>
        <w:spacing w:after="60"/>
        <w:ind w:left="432" w:hanging="432"/>
      </w:pPr>
      <w:r>
        <w:rPr>
          <w:b/>
        </w:rPr>
        <w:t>84.</w:t>
        <w:tab/>
      </w:r>
      <w:r>
        <w:rPr>
          <w:b w:val="0"/>
          <w:i w:val="0"/>
        </w:rPr>
        <w:t>You wrote that the Q4 lateness occurred “after I had specifically discussed the importance of timely report submission with Ms. Delgado-Reyes following the Q3 delay.” When was that discussion? Documented anywhere?</w:t>
      </w:r>
    </w:p>
    <w:p>
      <w:pPr>
        <w:pStyle w:val="Heading2"/>
      </w:pPr>
      <w:r>
        <w:t>I. The Quarterly Risk Report Allegations</w:t>
      </w:r>
    </w:p>
    <w:p>
      <w:r>
        <w:rPr>
          <w:b/>
        </w:rPr>
        <w:t xml:space="preserve">Exhibits: </w:t>
      </w:r>
      <w:r>
        <w:rPr>
          <w:b w:val="0"/>
          <w:i w:val="0"/>
        </w:rPr>
        <w:t>PX-5, PX-6, PX-7, PX-10</w:t>
      </w:r>
    </w:p>
    <w:p>
      <w:r>
        <w:rPr>
          <w:b/>
          <w:color w:val="1F3A5F"/>
        </w:rPr>
        <w:t xml:space="preserve">Objective: </w:t>
      </w:r>
      <w:r>
        <w:rPr>
          <w:b w:val="0"/>
          <w:i/>
        </w:rPr>
        <w:t>Force concession that the Q4 allegation is false and the Q3 allegation ignores the bank’s own extension; show he had the contrary information in his possession.</w:t>
      </w:r>
    </w:p>
    <w:p>
      <w:r>
        <w:rPr>
          <w:b/>
          <w:i w:val="0"/>
        </w:rPr>
        <w:t>Q3 2023</w:t>
      </w:r>
    </w:p>
    <w:p>
      <w:pPr>
        <w:spacing w:after="60"/>
        <w:ind w:left="432" w:hanging="432"/>
      </w:pPr>
      <w:r>
        <w:rPr>
          <w:b/>
        </w:rPr>
        <w:t>85.</w:t>
        <w:tab/>
      </w:r>
      <w:r>
        <w:rPr>
          <w:b w:val="0"/>
          <w:i w:val="0"/>
        </w:rPr>
        <w:t>The LoanStar Quarterly Reporting Module was down for the entire Southwest Division from 6:15 AM October 2 through October 3, 2023? Full function not restored until 8:00 AM October 4?</w:t>
      </w:r>
    </w:p>
    <w:p>
      <w:pPr>
        <w:spacing w:after="60"/>
        <w:ind w:left="432" w:hanging="432"/>
      </w:pPr>
      <w:r>
        <w:rPr>
          <w:b/>
        </w:rPr>
        <w:t>86.</w:t>
        <w:tab/>
      </w:r>
      <w:r>
        <w:rPr>
          <w:b w:val="0"/>
          <w:i w:val="0"/>
        </w:rPr>
        <w:t>All ~85 affected Southwest users received a 2-business-day extension to October 4, 2023? The ticket says the extension was approved “in coordination with regional management.” You are regional management — were you consulted? Did you approve it? Did you receive the October 3 notification (EMAIL-SW-20231003-RPT)?</w:t>
      </w:r>
    </w:p>
    <w:p>
      <w:pPr>
        <w:spacing w:after="60"/>
        <w:ind w:left="432" w:hanging="432"/>
      </w:pPr>
      <w:r>
        <w:rPr>
          <w:b/>
        </w:rPr>
        <w:t>87.</w:t>
        <w:tab/>
      </w:r>
      <w:r>
        <w:rPr>
          <w:b w:val="0"/>
          <w:i w:val="0"/>
        </w:rPr>
        <w:t>On what date and time was her Q3 report submitted? What is your source — LoanStar log, email, someone’s statement? Did you personally check?</w:t>
      </w:r>
    </w:p>
    <w:p>
      <w:pPr>
        <w:spacing w:after="60"/>
        <w:ind w:left="432" w:hanging="432"/>
      </w:pPr>
      <w:r>
        <w:rPr>
          <w:b/>
        </w:rPr>
        <w:t>88.</w:t>
        <w:tab/>
      </w:r>
      <w:r>
        <w:rPr>
          <w:b w:val="0"/>
          <w:i w:val="0"/>
        </w:rPr>
        <w:t>Did you calculate “3 business days late” from October 2 (the original deadline) or October 4 (the extended deadline)?</w:t>
      </w:r>
    </w:p>
    <w:p>
      <w:pPr>
        <w:spacing w:after="60"/>
        <w:ind w:left="432" w:hanging="432"/>
      </w:pPr>
      <w:r>
        <w:rPr>
          <w:b/>
        </w:rPr>
        <w:t>89.</w:t>
        <w:tab/>
      </w:r>
      <w:r>
        <w:rPr>
          <w:b w:val="0"/>
          <w:i w:val="0"/>
        </w:rPr>
        <w:t>Were any other SVPs’ Q3 reports submitted after October 2? Were any of them cited for lateness? [Request all SVP Q3/Q4 submission timestamps.]</w:t>
      </w:r>
    </w:p>
    <w:p>
      <w:pPr>
        <w:spacing w:after="60"/>
        <w:ind w:left="432" w:hanging="432"/>
      </w:pPr>
      <w:r>
        <w:rPr>
          <w:b/>
        </w:rPr>
        <w:t>90.</w:t>
        <w:tab/>
      </w:r>
      <w:r>
        <w:rPr>
          <w:b w:val="0"/>
          <w:i w:val="0"/>
        </w:rPr>
        <w:t>You wrote that SVPs should “have contingency plans” for outages. The outage made the reporting module unavailable to everyone. What contingency could she have used to submit through a system that was down?</w:t>
      </w:r>
    </w:p>
    <w:p>
      <w:r>
        <w:rPr>
          <w:b/>
          <w:i w:val="0"/>
        </w:rPr>
        <w:t>Q4 2023</w:t>
      </w:r>
    </w:p>
    <w:p>
      <w:pPr>
        <w:spacing w:after="60"/>
        <w:ind w:left="432" w:hanging="432"/>
      </w:pPr>
      <w:r>
        <w:rPr>
          <w:b/>
        </w:rPr>
        <w:t>91.</w:t>
        <w:tab/>
      </w:r>
      <w:r>
        <w:rPr>
          <w:b w:val="0"/>
          <w:i w:val="0"/>
        </w:rPr>
        <w:t>[Hand PX-6.] This is an email from Ms. Delgado-Reyes to you, subject “Q4 2023 Commercial Lending Risk Report — Delgado-Reyes,” dated January 10, 2024, attaching the report? You received it?</w:t>
      </w:r>
    </w:p>
    <w:p>
      <w:pPr>
        <w:spacing w:after="60"/>
        <w:ind w:left="432" w:hanging="432"/>
      </w:pPr>
      <w:r>
        <w:rPr>
          <w:b/>
        </w:rPr>
        <w:t>92.</w:t>
        <w:tab/>
      </w:r>
      <w:r>
        <w:rPr>
          <w:b w:val="0"/>
          <w:i w:val="0"/>
        </w:rPr>
        <w:t>The Q4 deadline was January 10, 2024 (close of business)? The review itself says “due January 10, 2024.”</w:t>
      </w:r>
    </w:p>
    <w:p>
      <w:pPr>
        <w:spacing w:after="60"/>
        <w:ind w:left="432" w:hanging="432"/>
      </w:pPr>
      <w:r>
        <w:rPr>
          <w:b/>
        </w:rPr>
        <w:t>93.</w:t>
        <w:tab/>
      </w:r>
      <w:r>
        <w:rPr>
          <w:b w:val="0"/>
          <w:i w:val="0"/>
        </w:rPr>
        <w:t>This email was received on or before the deadline — correct?</w:t>
      </w:r>
    </w:p>
    <w:p>
      <w:pPr>
        <w:spacing w:after="60"/>
        <w:ind w:left="432" w:hanging="432"/>
      </w:pPr>
      <w:r>
        <w:rPr>
          <w:b/>
        </w:rPr>
        <w:t>94.</w:t>
        <w:tab/>
      </w:r>
      <w:r>
        <w:rPr>
          <w:b w:val="0"/>
          <w:i w:val="0"/>
        </w:rPr>
        <w:t>Then the statement in the review and PIP that the Q4 report was “5 business days late” is not accurate, is it?</w:t>
      </w:r>
    </w:p>
    <w:p>
      <w:pPr>
        <w:spacing w:after="60"/>
        <w:ind w:left="432" w:hanging="432"/>
      </w:pPr>
      <w:r>
        <w:rPr>
          <w:b/>
        </w:rPr>
        <w:t>95.</w:t>
        <w:tab/>
      </w:r>
      <w:r>
        <w:rPr>
          <w:b w:val="0"/>
          <w:i w:val="0"/>
        </w:rPr>
        <w:t>Before signing the review and the PIP, did you look in your own inbox to check when the report arrived? Did anyone?</w:t>
      </w:r>
    </w:p>
    <w:p>
      <w:pPr>
        <w:spacing w:after="60"/>
        <w:ind w:left="432" w:hanging="432"/>
      </w:pPr>
      <w:r>
        <w:rPr>
          <w:b/>
        </w:rPr>
        <w:t>96.</w:t>
        <w:tab/>
      </w:r>
      <w:r>
        <w:rPr>
          <w:b w:val="0"/>
          <w:i w:val="0"/>
        </w:rPr>
        <w:t>Is there any other document supporting “5 business days late”? Identify it. [If he claims a separate LoanStar upload was late, pin down whether the LoanStar upload was required in addition to email, and whether any other SVP was measured the same way.]</w:t>
      </w:r>
    </w:p>
    <w:p>
      <w:pPr>
        <w:spacing w:after="60"/>
        <w:ind w:left="432" w:hanging="432"/>
      </w:pPr>
      <w:r>
        <w:rPr>
          <w:b/>
        </w:rPr>
        <w:t>97.</w:t>
        <w:tab/>
      </w:r>
      <w:r>
        <w:rPr>
          <w:b w:val="0"/>
          <w:i w:val="0"/>
        </w:rPr>
        <w:t>January 10 was also the day HR opened the investigation into your conduct. Coincidence?</w:t>
      </w:r>
    </w:p>
    <w:p>
      <w:pPr>
        <w:spacing w:after="60"/>
        <w:ind w:left="432" w:hanging="432"/>
      </w:pPr>
      <w:r>
        <w:rPr>
          <w:b/>
        </w:rPr>
        <w:t>98.</w:t>
        <w:tab/>
      </w:r>
      <w:r>
        <w:rPr>
          <w:b w:val="0"/>
          <w:i w:val="0"/>
        </w:rPr>
        <w:t>The termination letter refers to “continued concerns” about report timeliness. Identify any report she submitted late between February 20 and March 14, 2024. (If none: then no reporting deficiency occurred during the PIP?)</w:t>
      </w:r>
    </w:p>
    <w:p>
      <w:pPr>
        <w:pStyle w:val="Heading2"/>
      </w:pPr>
      <w:r>
        <w:t>J. The February 18, 2024 Email Chain — Core Examination</w:t>
      </w:r>
    </w:p>
    <w:p>
      <w:r>
        <w:rPr>
          <w:b/>
        </w:rPr>
        <w:t xml:space="preserve">Exhibits: </w:t>
      </w:r>
      <w:r>
        <w:rPr>
          <w:b w:val="0"/>
          <w:i w:val="0"/>
        </w:rPr>
        <w:t>PX-9</w:t>
      </w:r>
    </w:p>
    <w:p>
      <w:r>
        <w:rPr>
          <w:b/>
          <w:color w:val="1F3A5F"/>
        </w:rPr>
        <w:t xml:space="preserve">Objective: </w:t>
      </w:r>
      <w:r>
        <w:rPr>
          <w:b w:val="0"/>
          <w:i/>
        </w:rPr>
        <w:t>Authenticate; define every phrase; obtain admission that the complaint was a factor; establish metric selection preceded drafting; establish Cho’s awareness of risk. Go slowly. Use short, single-fact questions. Read each line into the record.</w:t>
      </w:r>
    </w:p>
    <w:p>
      <w:r>
        <w:rPr>
          <w:b/>
          <w:i w:val="0"/>
        </w:rPr>
        <w:t>Authentication</w:t>
      </w:r>
    </w:p>
    <w:p>
      <w:pPr>
        <w:spacing w:after="60"/>
        <w:ind w:left="432" w:hanging="432"/>
      </w:pPr>
      <w:r>
        <w:rPr>
          <w:b/>
        </w:rPr>
        <w:t>99.</w:t>
        <w:tab/>
      </w:r>
      <w:r>
        <w:rPr>
          <w:b w:val="0"/>
          <w:i w:val="0"/>
        </w:rPr>
        <w:t>PX-9 is a true and correct copy of emails between you and Sandra Cho on Sunday, February 18, 2024? You wrote the 3:22 PM and 4:47 PM messages? Sent from your Ridgeline account?</w:t>
      </w:r>
    </w:p>
    <w:p>
      <w:pPr>
        <w:spacing w:after="60"/>
        <w:ind w:left="432" w:hanging="432"/>
      </w:pPr>
      <w:r>
        <w:rPr>
          <w:b/>
        </w:rPr>
        <w:t>100.</w:t>
        <w:tab/>
      </w:r>
      <w:r>
        <w:rPr>
          <w:b w:val="0"/>
          <w:i w:val="0"/>
        </w:rPr>
        <w:t>Your address is shown as twhitford@ridgelinenational.com. Did you also use @ridgelinenb.com? Do both reach the same mailbox?</w:t>
      </w:r>
    </w:p>
    <w:p>
      <w:pPr>
        <w:spacing w:after="60"/>
        <w:ind w:left="432" w:hanging="432"/>
      </w:pPr>
      <w:r>
        <w:rPr>
          <w:b/>
        </w:rPr>
        <w:t>101.</w:t>
        <w:tab/>
      </w:r>
      <w:r>
        <w:rPr>
          <w:b w:val="0"/>
          <w:i w:val="0"/>
        </w:rPr>
        <w:t>Were there any other messages in this thread, or any phone calls, texts, or meetings with Cho on this subject between February 12 and February 20? [Demand production.]</w:t>
      </w:r>
    </w:p>
    <w:p>
      <w:pPr>
        <w:spacing w:after="60"/>
        <w:ind w:left="432" w:hanging="432"/>
      </w:pPr>
      <w:r>
        <w:rPr>
          <w:b/>
        </w:rPr>
        <w:t>102.</w:t>
        <w:tab/>
      </w:r>
      <w:r>
        <w:rPr>
          <w:b w:val="0"/>
          <w:i w:val="0"/>
        </w:rPr>
        <w:t>Did anyone else — Embree, Legal — receive or see this thread before the PIP issued?</w:t>
      </w:r>
    </w:p>
    <w:p>
      <w:r>
        <w:rPr>
          <w:b/>
          <w:i w:val="0"/>
        </w:rPr>
        <w:t>3:22 PM message</w:t>
      </w:r>
    </w:p>
    <w:p>
      <w:pPr>
        <w:spacing w:after="60"/>
        <w:ind w:left="432" w:hanging="432"/>
      </w:pPr>
      <w:r>
        <w:rPr>
          <w:b/>
        </w:rPr>
        <w:t>103.</w:t>
        <w:tab/>
      </w:r>
      <w:r>
        <w:rPr>
          <w:b w:val="0"/>
          <w:i w:val="0"/>
        </w:rPr>
        <w:t>“I’ve been thinking about the Delgado situation over the weekend.” What was “the Delgado situation”?</w:t>
      </w:r>
    </w:p>
    <w:p>
      <w:pPr>
        <w:spacing w:after="60"/>
        <w:ind w:left="432" w:hanging="432"/>
      </w:pPr>
      <w:r>
        <w:rPr>
          <w:b/>
        </w:rPr>
        <w:t>104.</w:t>
        <w:tab/>
      </w:r>
      <w:r>
        <w:rPr>
          <w:b w:val="0"/>
          <w:i w:val="0"/>
        </w:rPr>
        <w:t>“Between the complaint and her numbers, I think we need to move quickly.” “The complaint” refers to Ms. Delgado-Reyes’s January 8, 2024 discrimination complaint against you? There is no other complaint you were referring to?</w:t>
      </w:r>
    </w:p>
    <w:p>
      <w:pPr>
        <w:spacing w:after="60"/>
        <w:ind w:left="432" w:hanging="432"/>
      </w:pPr>
      <w:r>
        <w:rPr>
          <w:b/>
        </w:rPr>
        <w:t>105.</w:t>
        <w:tab/>
      </w:r>
      <w:r>
        <w:rPr>
          <w:b w:val="0"/>
          <w:i w:val="0"/>
        </w:rPr>
        <w:t>You listed the complaint first, before her numbers?</w:t>
      </w:r>
    </w:p>
    <w:p>
      <w:pPr>
        <w:spacing w:after="60"/>
        <w:ind w:left="432" w:hanging="432"/>
      </w:pPr>
      <w:r>
        <w:rPr>
          <w:b/>
        </w:rPr>
        <w:t>106.</w:t>
        <w:tab/>
      </w:r>
      <w:r>
        <w:rPr>
          <w:b w:val="0"/>
          <w:i w:val="0"/>
        </w:rPr>
        <w:t>So as of February 18, both the complaint and her numbers were factors in your thinking about next steps? [Lock in yes/no. If he says the complaint was not a factor — “Then why did you write it?”]</w:t>
      </w:r>
    </w:p>
    <w:p>
      <w:pPr>
        <w:spacing w:after="60"/>
        <w:ind w:left="432" w:hanging="432"/>
      </w:pPr>
      <w:r>
        <w:rPr>
          <w:b/>
        </w:rPr>
        <w:t>107.</w:t>
        <w:tab/>
      </w:r>
      <w:r>
        <w:rPr>
          <w:b w:val="0"/>
          <w:i w:val="0"/>
        </w:rPr>
        <w:t>Why did the complaint make it necessary to “move quickly”?</w:t>
      </w:r>
    </w:p>
    <w:p>
      <w:pPr>
        <w:spacing w:after="60"/>
        <w:ind w:left="432" w:hanging="432"/>
      </w:pPr>
      <w:r>
        <w:rPr>
          <w:b/>
        </w:rPr>
        <w:t>108.</w:t>
        <w:tab/>
      </w:r>
      <w:r>
        <w:rPr>
          <w:b w:val="0"/>
          <w:i w:val="0"/>
        </w:rPr>
        <w:t>“I don’t want this to linger and become a bigger problem.” What is “this”? What “bigger problem” did you anticipate? An EEOC charge? A lawsuit? More employees coming forward?</w:t>
      </w:r>
    </w:p>
    <w:p>
      <w:pPr>
        <w:spacing w:after="60"/>
        <w:ind w:left="432" w:hanging="432"/>
      </w:pPr>
      <w:r>
        <w:rPr>
          <w:b/>
        </w:rPr>
        <w:t>109.</w:t>
        <w:tab/>
      </w:r>
      <w:r>
        <w:rPr>
          <w:b w:val="0"/>
          <w:i w:val="0"/>
        </w:rPr>
        <w:t>“The longer we sit on it the harder it gets to address.” Harder how? Her numbers had been the same since December 31, 2023 — what made them “harder to address” with time?</w:t>
      </w:r>
    </w:p>
    <w:p>
      <w:pPr>
        <w:spacing w:after="60"/>
        <w:ind w:left="432" w:hanging="432"/>
      </w:pPr>
      <w:r>
        <w:rPr>
          <w:b/>
        </w:rPr>
        <w:t>110.</w:t>
        <w:tab/>
      </w:r>
      <w:r>
        <w:rPr>
          <w:b w:val="0"/>
          <w:i w:val="0"/>
        </w:rPr>
        <w:t>“I’d rather be out in front of it than playing catch-up in a month.” What would happen “in a month”?</w:t>
      </w:r>
    </w:p>
    <w:p>
      <w:pPr>
        <w:spacing w:after="60"/>
        <w:ind w:left="432" w:hanging="432"/>
      </w:pPr>
      <w:r>
        <w:rPr>
          <w:b/>
        </w:rPr>
        <w:t>111.</w:t>
        <w:tab/>
      </w:r>
      <w:r>
        <w:rPr>
          <w:b w:val="0"/>
          <w:i w:val="0"/>
        </w:rPr>
        <w:t>“I’m putting together a PIP this week.” As of February 18 you had already decided to issue a PIP — before any HR review of the PIP?</w:t>
      </w:r>
    </w:p>
    <w:p>
      <w:pPr>
        <w:spacing w:after="60"/>
        <w:ind w:left="432" w:hanging="432"/>
      </w:pPr>
      <w:r>
        <w:rPr>
          <w:b/>
        </w:rPr>
        <w:t>112.</w:t>
        <w:tab/>
      </w:r>
      <w:r>
        <w:rPr>
          <w:b w:val="0"/>
          <w:i w:val="0"/>
        </w:rPr>
        <w:t>“She’s had a good run but I think it’s time.” Time for what? You meant time for her employment to end, didn’t you? So on February 18, before the PIP was issued, you had already concluded her employment should end?</w:t>
      </w:r>
    </w:p>
    <w:p>
      <w:r>
        <w:rPr>
          <w:b/>
          <w:i w:val="0"/>
        </w:rPr>
        <w:t>Cho’s 4:15 PM response</w:t>
      </w:r>
    </w:p>
    <w:p>
      <w:pPr>
        <w:spacing w:after="60"/>
        <w:ind w:left="432" w:hanging="432"/>
      </w:pPr>
      <w:r>
        <w:rPr>
          <w:b/>
        </w:rPr>
        <w:t>113.</w:t>
        <w:tab/>
      </w:r>
      <w:r>
        <w:rPr>
          <w:b w:val="0"/>
          <w:i w:val="0"/>
        </w:rPr>
        <w:t>Cho wrote, “We need to be careful given the open investigation.” You understood her to be referring to the investigation of Ms. Delgado-Reyes’s complaint against you?</w:t>
      </w:r>
    </w:p>
    <w:p>
      <w:pPr>
        <w:spacing w:after="60"/>
        <w:ind w:left="432" w:hanging="432"/>
      </w:pPr>
      <w:r>
        <w:rPr>
          <w:b/>
        </w:rPr>
        <w:t>114.</w:t>
        <w:tab/>
      </w:r>
      <w:r>
        <w:rPr>
          <w:b w:val="0"/>
          <w:i w:val="0"/>
        </w:rPr>
        <w:t>Cho wanted to make sure “we’re protected on our end.” Protected from what? Did you understand she was concerned about a retaliation claim?</w:t>
      </w:r>
    </w:p>
    <w:p>
      <w:pPr>
        <w:spacing w:after="60"/>
        <w:ind w:left="432" w:hanging="432"/>
      </w:pPr>
      <w:r>
        <w:rPr>
          <w:b/>
        </w:rPr>
        <w:t>115.</w:t>
        <w:tab/>
      </w:r>
      <w:r>
        <w:rPr>
          <w:b w:val="0"/>
          <w:i w:val="0"/>
        </w:rPr>
        <w:t>Cho wrote “I trust your read on the numbers.” Did Cho ever independently examine the numbers? Did you send her the SVP comparison data?</w:t>
      </w:r>
    </w:p>
    <w:p>
      <w:r>
        <w:rPr>
          <w:b/>
          <w:i w:val="0"/>
        </w:rPr>
        <w:t>4:47 PM reply</w:t>
      </w:r>
    </w:p>
    <w:p>
      <w:pPr>
        <w:spacing w:after="60"/>
        <w:ind w:left="432" w:hanging="432"/>
      </w:pPr>
      <w:r>
        <w:rPr>
          <w:b/>
        </w:rPr>
        <w:t>116.</w:t>
        <w:tab/>
      </w:r>
      <w:r>
        <w:rPr>
          <w:b w:val="0"/>
          <w:i w:val="0"/>
        </w:rPr>
        <w:t>“Investigation is closed. Embree said unsubstantiated.” Why was the investigation’s closure relevant to when you could issue a PIP?</w:t>
      </w:r>
    </w:p>
    <w:p>
      <w:pPr>
        <w:spacing w:after="60"/>
        <w:ind w:left="432" w:hanging="432"/>
      </w:pPr>
      <w:r>
        <w:rPr>
          <w:b/>
        </w:rPr>
        <w:t>117.</w:t>
        <w:tab/>
      </w:r>
      <w:r>
        <w:rPr>
          <w:b w:val="0"/>
          <w:i w:val="0"/>
        </w:rPr>
        <w:t>Did you believe that once the investigation closed, you were free to take action? Did anyone tell you that? You knew § 7.4.1 says the protected period continues after the investigation concludes?</w:t>
      </w:r>
    </w:p>
    <w:p>
      <w:pPr>
        <w:spacing w:after="60"/>
        <w:ind w:left="432" w:hanging="432"/>
      </w:pPr>
      <w:r>
        <w:rPr>
          <w:b/>
        </w:rPr>
        <w:t>118.</w:t>
        <w:tab/>
      </w:r>
      <w:r>
        <w:rPr>
          <w:b w:val="0"/>
          <w:i w:val="0"/>
        </w:rPr>
        <w:t>“I’ve already pulled together the metrics I want to cite — delinquency rate, origination shortfall, and the late report submissions.” So you selected the metrics you “want[ed] to cite” before drafting the PIP?</w:t>
      </w:r>
    </w:p>
    <w:p>
      <w:pPr>
        <w:spacing w:after="60"/>
        <w:ind w:left="432" w:hanging="432"/>
      </w:pPr>
      <w:r>
        <w:rPr>
          <w:b/>
        </w:rPr>
        <w:t>119.</w:t>
        <w:tab/>
      </w:r>
      <w:r>
        <w:rPr>
          <w:b w:val="0"/>
          <w:i w:val="0"/>
        </w:rPr>
        <w:t>When you pulled those metrics, did you pull the same metrics for Langley, Kowalski, and Trujillo? You knew they were worse on delinquency and origination?</w:t>
      </w:r>
    </w:p>
    <w:p>
      <w:pPr>
        <w:spacing w:after="60"/>
        <w:ind w:left="432" w:hanging="432"/>
      </w:pPr>
      <w:r>
        <w:rPr>
          <w:b/>
        </w:rPr>
        <w:t>120.</w:t>
        <w:tab/>
      </w:r>
      <w:r>
        <w:rPr>
          <w:b w:val="0"/>
          <w:i w:val="0"/>
        </w:rPr>
        <w:t>“Should be straightforward to document.” Documenting was the goal — to support a decision already made?</w:t>
      </w:r>
    </w:p>
    <w:p>
      <w:pPr>
        <w:spacing w:after="60"/>
        <w:ind w:left="432" w:hanging="432"/>
      </w:pPr>
      <w:r>
        <w:rPr>
          <w:b/>
        </w:rPr>
        <w:t>121.</w:t>
        <w:tab/>
      </w:r>
      <w:r>
        <w:rPr>
          <w:b w:val="0"/>
          <w:i w:val="0"/>
        </w:rPr>
        <w:t>Nowhere in this chain do you mention coaching, improvement, or helping her succeed — correct?</w:t>
      </w:r>
    </w:p>
    <w:p>
      <w:pPr>
        <w:spacing w:after="60"/>
        <w:ind w:left="432" w:hanging="432"/>
      </w:pPr>
      <w:r>
        <w:rPr>
          <w:b/>
        </w:rPr>
        <w:t>122.</w:t>
        <w:tab/>
      </w:r>
      <w:r>
        <w:rPr>
          <w:b w:val="0"/>
          <w:i w:val="0"/>
        </w:rPr>
        <w:t>Did you submit a written memorandum to Embree under § 7.4.2(a) before issuing the PIP? Did you ever contact the CHRO or General Counsel?</w:t>
      </w:r>
    </w:p>
    <w:p>
      <w:pPr>
        <w:pStyle w:val="Heading2"/>
      </w:pPr>
      <w:r>
        <w:t>K. The PIP (Feb. 20, 2024 — Day 43)</w:t>
      </w:r>
    </w:p>
    <w:p>
      <w:r>
        <w:rPr>
          <w:b/>
        </w:rPr>
        <w:t xml:space="preserve">Exhibits: </w:t>
      </w:r>
      <w:r>
        <w:rPr>
          <w:b w:val="0"/>
          <w:i w:val="0"/>
        </w:rPr>
        <w:t>PX-10, PX-1 § 7.7</w:t>
      </w:r>
    </w:p>
    <w:p>
      <w:r>
        <w:rPr>
          <w:b/>
          <w:color w:val="1F3A5F"/>
        </w:rPr>
        <w:t xml:space="preserve">Objective: </w:t>
      </w:r>
      <w:r>
        <w:rPr>
          <w:b w:val="0"/>
          <w:i/>
        </w:rPr>
        <w:t>Policy non-compliance; objectives designed to fail; recycled (and false) grounds; no genuine support.</w:t>
      </w:r>
    </w:p>
    <w:p>
      <w:pPr>
        <w:spacing w:after="60"/>
        <w:ind w:left="432" w:hanging="432"/>
      </w:pPr>
      <w:r>
        <w:rPr>
          <w:b/>
        </w:rPr>
        <w:t>123.</w:t>
        <w:tab/>
      </w:r>
      <w:r>
        <w:rPr>
          <w:b w:val="0"/>
          <w:i w:val="0"/>
        </w:rPr>
        <w:t>Who drafted the PIP? Using what template? Who supplied the employee data? Why does the PIP list Employee ID RNB-038714 and a March 18, 2013 hire date when her review says 104782 and March 11, 2013?</w:t>
      </w:r>
    </w:p>
    <w:p>
      <w:pPr>
        <w:spacing w:after="60"/>
        <w:ind w:left="432" w:hanging="432"/>
      </w:pPr>
      <w:r>
        <w:rPr>
          <w:b/>
        </w:rPr>
        <w:t>124.</w:t>
        <w:tab/>
      </w:r>
      <w:r>
        <w:rPr>
          <w:b w:val="0"/>
          <w:i w:val="0"/>
        </w:rPr>
        <w:t>Embree signed the PIP on February 20. Did Embree conduct the independent review required by § 7.7(d), including a comparison with similarly situated employees? Did you see any written review?</w:t>
      </w:r>
    </w:p>
    <w:p>
      <w:pPr>
        <w:spacing w:after="60"/>
        <w:ind w:left="432" w:hanging="432"/>
      </w:pPr>
      <w:r>
        <w:rPr>
          <w:b/>
        </w:rPr>
        <w:t>125.</w:t>
        <w:tab/>
      </w:r>
      <w:r>
        <w:rPr>
          <w:b w:val="0"/>
          <w:i w:val="0"/>
        </w:rPr>
        <w:t>Did the CHRO approve the PIP in writing before issuance (§ 7.7(a))? Did you sign the § 7.7(c) certification that the deficiencies were documented before the complaint? (If yes, produce; if no — why not?)</w:t>
      </w:r>
    </w:p>
    <w:p>
      <w:pPr>
        <w:spacing w:after="60"/>
        <w:ind w:left="432" w:hanging="432"/>
      </w:pPr>
      <w:r>
        <w:rPr>
          <w:b/>
        </w:rPr>
        <w:t>126.</w:t>
        <w:tab/>
      </w:r>
      <w:r>
        <w:rPr>
          <w:b w:val="0"/>
          <w:i w:val="0"/>
        </w:rPr>
        <w:t>The PIP deficiencies are the same three categories as the review and as your February 18 email? Nothing new happened between February 5 and February 20?</w:t>
      </w:r>
    </w:p>
    <w:p>
      <w:pPr>
        <w:spacing w:after="60"/>
        <w:ind w:left="432" w:hanging="432"/>
      </w:pPr>
      <w:r>
        <w:rPr>
          <w:b/>
        </w:rPr>
        <w:t>127.</w:t>
        <w:tab/>
      </w:r>
      <w:r>
        <w:rPr>
          <w:b w:val="0"/>
          <w:i w:val="0"/>
        </w:rPr>
        <w:t>Objective 1: reduce delinquency from 2.4% to 2.0% within 30 days. Has any SVP in your division ever cut delinquency 40 bps in 30 days? Is that achievable on a $340M book, given workout timelines? Did Langley (3.1%) receive a 30-day deadline to reach 2.0%?</w:t>
      </w:r>
    </w:p>
    <w:p>
      <w:pPr>
        <w:spacing w:after="60"/>
        <w:ind w:left="432" w:hanging="432"/>
      </w:pPr>
      <w:r>
        <w:rPr>
          <w:b/>
        </w:rPr>
        <w:t>128.</w:t>
        <w:tab/>
      </w:r>
      <w:r>
        <w:rPr>
          <w:b w:val="0"/>
          <w:i w:val="0"/>
        </w:rPr>
        <w:t>Objective 2: $4.5M in originations or committed proposals and eight BD meetings in 30 days. How did she do? Did she meet or exceed the $4.5M? How many meetings did she hold? [Obtain her weekly pipeline reports.]</w:t>
      </w:r>
    </w:p>
    <w:p>
      <w:pPr>
        <w:spacing w:after="60"/>
        <w:ind w:left="432" w:hanging="432"/>
      </w:pPr>
      <w:r>
        <w:rPr>
          <w:b/>
        </w:rPr>
        <w:t>129.</w:t>
        <w:tab/>
      </w:r>
      <w:r>
        <w:rPr>
          <w:b w:val="0"/>
          <w:i w:val="0"/>
        </w:rPr>
        <w:t>Objective 3: timely reports. Did she miss any deadline during the PIP? Identify it.</w:t>
      </w:r>
    </w:p>
    <w:p>
      <w:pPr>
        <w:spacing w:after="60"/>
        <w:ind w:left="432" w:hanging="432"/>
      </w:pPr>
      <w:r>
        <w:rPr>
          <w:b/>
        </w:rPr>
        <w:t>130.</w:t>
        <w:tab/>
      </w:r>
      <w:r>
        <w:rPr>
          <w:b w:val="0"/>
          <w:i w:val="0"/>
        </w:rPr>
        <w:t>Section 5 promised weekly Tuesday 10:00 AM meetings. The PIP issued Tuesday, February 20. List each weekly meeting that occurred (Feb. 27, Mar. 5, Mar. 12). Notes? Did you tell her at any meeting she was failing?</w:t>
      </w:r>
    </w:p>
    <w:p>
      <w:pPr>
        <w:spacing w:after="60"/>
        <w:ind w:left="432" w:hanging="432"/>
      </w:pPr>
      <w:r>
        <w:rPr>
          <w:b/>
        </w:rPr>
        <w:t>131.</w:t>
        <w:tab/>
      </w:r>
      <w:r>
        <w:rPr>
          <w:b w:val="0"/>
          <w:i w:val="0"/>
        </w:rPr>
        <w:t>Did she meet weekly with the Division Credit Risk Officer? Did you ask the Credit Risk Officer for feedback on her progress?</w:t>
      </w:r>
    </w:p>
    <w:p>
      <w:pPr>
        <w:spacing w:after="60"/>
        <w:ind w:left="432" w:hanging="432"/>
      </w:pPr>
      <w:r>
        <w:rPr>
          <w:b/>
        </w:rPr>
        <w:t>132.</w:t>
        <w:tab/>
      </w:r>
      <w:r>
        <w:rPr>
          <w:b w:val="0"/>
          <w:i w:val="0"/>
        </w:rPr>
        <w:t>Did she submit the delinquent-credit remediation plan within 10 business days (due ~March 5)? What did it say?</w:t>
      </w:r>
    </w:p>
    <w:p>
      <w:pPr>
        <w:pStyle w:val="Heading2"/>
      </w:pPr>
      <w:r>
        <w:t>L. The Termination (Mar. 14, 2024 — Day 66; PIP Day 23 of 30)</w:t>
      </w:r>
    </w:p>
    <w:p>
      <w:r>
        <w:rPr>
          <w:b/>
        </w:rPr>
        <w:t xml:space="preserve">Exhibits: </w:t>
      </w:r>
      <w:r>
        <w:rPr>
          <w:b w:val="0"/>
          <w:i w:val="0"/>
        </w:rPr>
        <w:t>PX-11, PX-10, PX-1 §§ 7.4, 7.7(e)</w:t>
      </w:r>
    </w:p>
    <w:p>
      <w:r>
        <w:rPr>
          <w:b/>
          <w:color w:val="1F3A5F"/>
        </w:rPr>
        <w:t xml:space="preserve">Objective: </w:t>
      </w:r>
      <w:r>
        <w:rPr>
          <w:b w:val="0"/>
          <w:i/>
        </w:rPr>
        <w:t>Early termination with no misconduct; decision was his; Cho rubber-stamped; no CHRO/GC approval.</w:t>
      </w:r>
    </w:p>
    <w:p>
      <w:pPr>
        <w:spacing w:after="60"/>
        <w:ind w:left="432" w:hanging="432"/>
      </w:pPr>
      <w:r>
        <w:rPr>
          <w:b/>
        </w:rPr>
        <w:t>133.</w:t>
        <w:tab/>
      </w:r>
      <w:r>
        <w:rPr>
          <w:b w:val="0"/>
          <w:i w:val="0"/>
        </w:rPr>
        <w:t>The PIP end date was March 21. You terminated her March 14 — seven days early. Why? What happened between March 12 and March 14?</w:t>
      </w:r>
    </w:p>
    <w:p>
      <w:pPr>
        <w:spacing w:after="60"/>
        <w:ind w:left="432" w:hanging="432"/>
      </w:pPr>
      <w:r>
        <w:rPr>
          <w:b/>
        </w:rPr>
        <w:t>134.</w:t>
        <w:tab/>
      </w:r>
      <w:r>
        <w:rPr>
          <w:b w:val="0"/>
          <w:i w:val="0"/>
        </w:rPr>
        <w:t>Did she engage in any gross misconduct, fraud, theft, violence, or other conduct warranting summary dismissal (§ 7.7(e))? (No.) So the termination was solely performance-based?</w:t>
      </w:r>
    </w:p>
    <w:p>
      <w:pPr>
        <w:spacing w:after="60"/>
        <w:ind w:left="432" w:hanging="432"/>
      </w:pPr>
      <w:r>
        <w:rPr>
          <w:b/>
        </w:rPr>
        <w:t>135.</w:t>
        <w:tab/>
      </w:r>
      <w:r>
        <w:rPr>
          <w:b w:val="0"/>
          <w:i w:val="0"/>
        </w:rPr>
        <w:t>The letter says “insufficient progress was made … to bring delinquencies in line.” What was her delinquency rate on March 14? What source? Was it the same data point as Q4 2023 (2.4%)?</w:t>
      </w:r>
    </w:p>
    <w:p>
      <w:pPr>
        <w:spacing w:after="60"/>
        <w:ind w:left="432" w:hanging="432"/>
      </w:pPr>
      <w:r>
        <w:rPr>
          <w:b/>
        </w:rPr>
        <w:t>136.</w:t>
        <w:tab/>
      </w:r>
      <w:r>
        <w:rPr>
          <w:b w:val="0"/>
          <w:i w:val="0"/>
        </w:rPr>
        <w:t>The letter says “no such trajectory was evidenced” on origination. What were her PIP-period originations and committed proposals?</w:t>
      </w:r>
    </w:p>
    <w:p>
      <w:pPr>
        <w:spacing w:after="60"/>
        <w:ind w:left="432" w:hanging="432"/>
      </w:pPr>
      <w:r>
        <w:rPr>
          <w:b/>
        </w:rPr>
        <w:t>137.</w:t>
        <w:tab/>
      </w:r>
      <w:r>
        <w:rPr>
          <w:b w:val="0"/>
          <w:i w:val="0"/>
        </w:rPr>
        <w:t>Did you write the termination letter? When did you start drafting it? Any drafts before March 12? Before February 20?</w:t>
      </w:r>
    </w:p>
    <w:p>
      <w:pPr>
        <w:spacing w:after="60"/>
        <w:ind w:left="432" w:hanging="432"/>
      </w:pPr>
      <w:r>
        <w:rPr>
          <w:b/>
        </w:rPr>
        <w:t>138.</w:t>
        <w:tab/>
      </w:r>
      <w:r>
        <w:rPr>
          <w:b w:val="0"/>
          <w:i w:val="0"/>
        </w:rPr>
        <w:t>You “recommended” termination to Cho on March 14. How — email, call? How long did that conversation last? What documents did you send her? Did she ask any questions? Did she approve the same day?</w:t>
      </w:r>
    </w:p>
    <w:p>
      <w:pPr>
        <w:spacing w:after="60"/>
        <w:ind w:left="432" w:hanging="432"/>
      </w:pPr>
      <w:r>
        <w:rPr>
          <w:b/>
        </w:rPr>
        <w:t>139.</w:t>
        <w:tab/>
      </w:r>
      <w:r>
        <w:rPr>
          <w:b w:val="0"/>
          <w:i w:val="0"/>
        </w:rPr>
        <w:t>Did Cho ever speak with Ms. Delgado-Reyes, the Credit Risk Officer, or anyone else before approving? Did she review the SVP comparison data? To your knowledge, did she rely on your account?</w:t>
      </w:r>
    </w:p>
    <w:p>
      <w:pPr>
        <w:spacing w:after="60"/>
        <w:ind w:left="432" w:hanging="432"/>
      </w:pPr>
      <w:r>
        <w:rPr>
          <w:b/>
        </w:rPr>
        <w:t>140.</w:t>
        <w:tab/>
      </w:r>
      <w:r>
        <w:rPr>
          <w:b w:val="0"/>
          <w:i w:val="0"/>
        </w:rPr>
        <w:t>The letter says the decision was made “in consultation with” Cho and Embree. No mention of the CHRO or General Counsel. Did either give written approval under § 7.4.2(d) before March 14? [Lock in: no.]</w:t>
      </w:r>
    </w:p>
    <w:p>
      <w:pPr>
        <w:spacing w:after="60"/>
        <w:ind w:left="432" w:hanging="432"/>
      </w:pPr>
      <w:r>
        <w:rPr>
          <w:b/>
        </w:rPr>
        <w:t>141.</w:t>
        <w:tab/>
      </w:r>
      <w:r>
        <w:rPr>
          <w:b w:val="0"/>
          <w:i w:val="0"/>
        </w:rPr>
        <w:t>Who replaced her? Who took over her portfolio? Race/ethnicity of that person?</w:t>
      </w:r>
    </w:p>
    <w:p>
      <w:pPr>
        <w:spacing w:after="60"/>
        <w:ind w:left="432" w:hanging="432"/>
      </w:pPr>
      <w:r>
        <w:rPr>
          <w:b/>
        </w:rPr>
        <w:t>142.</w:t>
        <w:tab/>
      </w:r>
      <w:r>
        <w:rPr>
          <w:b w:val="0"/>
          <w:i w:val="0"/>
        </w:rPr>
        <w:t>You understood when you terminated her that you were within 90 days of her complaint (April 7 was day 90)?</w:t>
      </w:r>
    </w:p>
    <w:p>
      <w:pPr>
        <w:pStyle w:val="Heading2"/>
      </w:pPr>
      <w:r>
        <w:t>M. Comparators and Treatment of Other SVPs</w:t>
      </w:r>
    </w:p>
    <w:p>
      <w:r>
        <w:rPr>
          <w:b/>
        </w:rPr>
        <w:t xml:space="preserve">Exhibits: </w:t>
      </w:r>
      <w:r>
        <w:rPr>
          <w:b w:val="0"/>
          <w:i w:val="0"/>
        </w:rPr>
        <w:t>PX-8 (RNB-SW-004721–22)</w:t>
      </w:r>
    </w:p>
    <w:p>
      <w:r>
        <w:rPr>
          <w:b/>
          <w:color w:val="1F3A5F"/>
        </w:rPr>
        <w:t xml:space="preserve">Objective: </w:t>
      </w:r>
      <w:r>
        <w:rPr>
          <w:b w:val="0"/>
          <w:i/>
        </w:rPr>
        <w:t>Row-by-row admissions; same supervisor, same targets, same period; only the complainant was PIP’d.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584"/>
            <w:shd w:val="clear" w:color="auto" w:fill="D9E2F3"/>
          </w:tcPr>
          <w:p>
            <w:r/>
            <w:r>
              <w:rPr>
                <w:b/>
                <w:sz w:val="20"/>
              </w:rPr>
              <w:t>SVP</w:t>
            </w:r>
          </w:p>
        </w:tc>
        <w:tc>
          <w:tcPr>
            <w:tcW w:type="dxa" w:w="1584"/>
            <w:shd w:val="clear" w:color="auto" w:fill="D9E2F3"/>
          </w:tcPr>
          <w:p>
            <w:r/>
            <w:r>
              <w:rPr>
                <w:b/>
                <w:sz w:val="20"/>
              </w:rPr>
              <w:t>Race / Gender</w:t>
            </w:r>
          </w:p>
        </w:tc>
        <w:tc>
          <w:tcPr>
            <w:tcW w:type="dxa" w:w="864"/>
            <w:shd w:val="clear" w:color="auto" w:fill="D9E2F3"/>
          </w:tcPr>
          <w:p>
            <w:r/>
            <w:r>
              <w:rPr>
                <w:b/>
                <w:sz w:val="20"/>
              </w:rPr>
              <w:t>Delinq.</w:t>
            </w:r>
          </w:p>
        </w:tc>
        <w:tc>
          <w:tcPr>
            <w:tcW w:type="dxa" w:w="1008"/>
            <w:shd w:val="clear" w:color="auto" w:fill="D9E2F3"/>
          </w:tcPr>
          <w:p>
            <w:r/>
            <w:r>
              <w:rPr>
                <w:b/>
                <w:sz w:val="20"/>
              </w:rPr>
              <w:t>Orig. ($M)</w:t>
            </w:r>
          </w:p>
        </w:tc>
        <w:tc>
          <w:tcPr>
            <w:tcW w:type="dxa" w:w="1296"/>
            <w:shd w:val="clear" w:color="auto" w:fill="D9E2F3"/>
          </w:tcPr>
          <w:p>
            <w:r/>
            <w:r>
              <w:rPr>
                <w:b/>
                <w:sz w:val="20"/>
              </w:rPr>
              <w:t>Defaults</w:t>
            </w:r>
          </w:p>
        </w:tc>
        <w:tc>
          <w:tcPr>
            <w:tcW w:type="dxa" w:w="1872"/>
            <w:shd w:val="clear" w:color="auto" w:fill="D9E2F3"/>
          </w:tcPr>
          <w:p>
            <w:r/>
            <w:r>
              <w:rPr>
                <w:b/>
                <w:sz w:val="20"/>
              </w:rPr>
              <w:t>2023 Rating</w:t>
            </w:r>
          </w:p>
        </w:tc>
        <w:tc>
          <w:tcPr>
            <w:tcW w:type="dxa" w:w="1296"/>
            <w:shd w:val="clear" w:color="auto" w:fill="D9E2F3"/>
          </w:tcPr>
          <w:p>
            <w:r/>
            <w:r>
              <w:rPr>
                <w:b/>
                <w:sz w:val="20"/>
              </w:rPr>
              <w:t>PIP / Term.</w:t>
            </w:r>
          </w:p>
        </w:tc>
      </w:tr>
      <w:tr>
        <w:tc>
          <w:tcPr>
            <w:tcW w:type="dxa" w:w="1584"/>
          </w:tcPr>
          <w:p>
            <w:r/>
            <w:r>
              <w:rPr>
                <w:b w:val="0"/>
                <w:i w:val="0"/>
                <w:sz w:val="20"/>
              </w:rPr>
              <w:t>Delgado-Reyes</w:t>
            </w:r>
          </w:p>
        </w:tc>
        <w:tc>
          <w:tcPr>
            <w:tcW w:type="dxa" w:w="1584"/>
          </w:tcPr>
          <w:p>
            <w:r/>
            <w:r>
              <w:rPr>
                <w:b w:val="0"/>
                <w:i w:val="0"/>
                <w:sz w:val="20"/>
              </w:rPr>
              <w:t>Mexican-American F</w:t>
            </w:r>
          </w:p>
        </w:tc>
        <w:tc>
          <w:tcPr>
            <w:tcW w:type="dxa" w:w="864"/>
          </w:tcPr>
          <w:p>
            <w:r/>
            <w:r>
              <w:rPr>
                <w:b w:val="0"/>
                <w:i w:val="0"/>
                <w:sz w:val="20"/>
              </w:rPr>
              <w:t>2.4%</w:t>
            </w:r>
          </w:p>
        </w:tc>
        <w:tc>
          <w:tcPr>
            <w:tcW w:type="dxa" w:w="1008"/>
          </w:tcPr>
          <w:p>
            <w:r/>
            <w:r>
              <w:rPr>
                <w:b w:val="0"/>
                <w:i w:val="0"/>
                <w:sz w:val="20"/>
              </w:rPr>
              <w:t>42.3</w:t>
            </w:r>
          </w:p>
        </w:tc>
        <w:tc>
          <w:tcPr>
            <w:tcW w:type="dxa" w:w="1296"/>
          </w:tcPr>
          <w:p>
            <w:r/>
            <w:r>
              <w:rPr>
                <w:b w:val="0"/>
                <w:i w:val="0"/>
                <w:sz w:val="20"/>
              </w:rPr>
              <w:t>2 / $3.1M</w:t>
            </w:r>
          </w:p>
        </w:tc>
        <w:tc>
          <w:tcPr>
            <w:tcW w:type="dxa" w:w="1872"/>
          </w:tcPr>
          <w:p>
            <w:r/>
            <w:r>
              <w:rPr>
                <w:b w:val="0"/>
                <w:i w:val="0"/>
                <w:sz w:val="20"/>
              </w:rPr>
              <w:t>Meets (finalized 2/5/24)</w:t>
            </w:r>
          </w:p>
        </w:tc>
        <w:tc>
          <w:tcPr>
            <w:tcW w:type="dxa" w:w="1296"/>
          </w:tcPr>
          <w:p>
            <w:r/>
            <w:r>
              <w:rPr>
                <w:b w:val="0"/>
                <w:i w:val="0"/>
                <w:sz w:val="20"/>
              </w:rPr>
              <w:t>Y / Y</w:t>
            </w:r>
          </w:p>
        </w:tc>
      </w:tr>
      <w:tr>
        <w:tc>
          <w:tcPr>
            <w:tcW w:type="dxa" w:w="1584"/>
          </w:tcPr>
          <w:p>
            <w:r/>
            <w:r>
              <w:rPr>
                <w:b w:val="0"/>
                <w:i w:val="0"/>
                <w:sz w:val="20"/>
              </w:rPr>
              <w:t>Langley</w:t>
            </w:r>
          </w:p>
        </w:tc>
        <w:tc>
          <w:tcPr>
            <w:tcW w:type="dxa" w:w="1584"/>
          </w:tcPr>
          <w:p>
            <w:r/>
            <w:r>
              <w:rPr>
                <w:b w:val="0"/>
                <w:i w:val="0"/>
                <w:sz w:val="20"/>
              </w:rPr>
              <w:t>White M</w:t>
            </w:r>
          </w:p>
        </w:tc>
        <w:tc>
          <w:tcPr>
            <w:tcW w:type="dxa" w:w="864"/>
          </w:tcPr>
          <w:p>
            <w:r/>
            <w:r>
              <w:rPr>
                <w:b w:val="0"/>
                <w:i w:val="0"/>
                <w:sz w:val="20"/>
              </w:rPr>
              <w:t>3.1%</w:t>
            </w:r>
          </w:p>
        </w:tc>
        <w:tc>
          <w:tcPr>
            <w:tcW w:type="dxa" w:w="1008"/>
          </w:tcPr>
          <w:p>
            <w:r/>
            <w:r>
              <w:rPr>
                <w:b w:val="0"/>
                <w:i w:val="0"/>
                <w:sz w:val="20"/>
              </w:rPr>
              <w:t>36.1</w:t>
            </w:r>
          </w:p>
        </w:tc>
        <w:tc>
          <w:tcPr>
            <w:tcW w:type="dxa" w:w="1296"/>
          </w:tcPr>
          <w:p>
            <w:r/>
            <w:r>
              <w:rPr>
                <w:b w:val="0"/>
                <w:i w:val="0"/>
                <w:sz w:val="20"/>
              </w:rPr>
              <w:t>3 / $4.7M</w:t>
            </w:r>
          </w:p>
        </w:tc>
        <w:tc>
          <w:tcPr>
            <w:tcW w:type="dxa" w:w="1872"/>
          </w:tcPr>
          <w:p>
            <w:r/>
            <w:r>
              <w:rPr>
                <w:b w:val="0"/>
                <w:i w:val="0"/>
                <w:sz w:val="20"/>
              </w:rPr>
              <w:t>Meets (1/29/24)</w:t>
            </w:r>
          </w:p>
        </w:tc>
        <w:tc>
          <w:tcPr>
            <w:tcW w:type="dxa" w:w="1296"/>
          </w:tcPr>
          <w:p>
            <w:r/>
            <w:r>
              <w:rPr>
                <w:b w:val="0"/>
                <w:i w:val="0"/>
                <w:sz w:val="20"/>
              </w:rPr>
              <w:t>N / N</w:t>
            </w:r>
          </w:p>
        </w:tc>
      </w:tr>
      <w:tr>
        <w:tc>
          <w:tcPr>
            <w:tcW w:type="dxa" w:w="1584"/>
          </w:tcPr>
          <w:p>
            <w:r/>
            <w:r>
              <w:rPr>
                <w:b w:val="0"/>
                <w:i w:val="0"/>
                <w:sz w:val="20"/>
              </w:rPr>
              <w:t>Kowalski</w:t>
            </w:r>
          </w:p>
        </w:tc>
        <w:tc>
          <w:tcPr>
            <w:tcW w:type="dxa" w:w="1584"/>
          </w:tcPr>
          <w:p>
            <w:r/>
            <w:r>
              <w:rPr>
                <w:b w:val="0"/>
                <w:i w:val="0"/>
                <w:sz w:val="20"/>
              </w:rPr>
              <w:t>White M</w:t>
            </w:r>
          </w:p>
        </w:tc>
        <w:tc>
          <w:tcPr>
            <w:tcW w:type="dxa" w:w="864"/>
          </w:tcPr>
          <w:p>
            <w:r/>
            <w:r>
              <w:rPr>
                <w:b w:val="0"/>
                <w:i w:val="0"/>
                <w:sz w:val="20"/>
              </w:rPr>
              <w:t>2.8%</w:t>
            </w:r>
          </w:p>
        </w:tc>
        <w:tc>
          <w:tcPr>
            <w:tcW w:type="dxa" w:w="1008"/>
          </w:tcPr>
          <w:p>
            <w:r/>
            <w:r>
              <w:rPr>
                <w:b w:val="0"/>
                <w:i w:val="0"/>
                <w:sz w:val="20"/>
              </w:rPr>
              <w:t>39.4</w:t>
            </w:r>
          </w:p>
        </w:tc>
        <w:tc>
          <w:tcPr>
            <w:tcW w:type="dxa" w:w="1296"/>
          </w:tcPr>
          <w:p>
            <w:r/>
            <w:r>
              <w:rPr>
                <w:b w:val="0"/>
                <w:i w:val="0"/>
                <w:sz w:val="20"/>
              </w:rPr>
              <w:t>2 / $2.9M</w:t>
            </w:r>
          </w:p>
        </w:tc>
        <w:tc>
          <w:tcPr>
            <w:tcW w:type="dxa" w:w="1872"/>
          </w:tcPr>
          <w:p>
            <w:r/>
            <w:r>
              <w:rPr>
                <w:b w:val="0"/>
                <w:i w:val="0"/>
                <w:sz w:val="20"/>
              </w:rPr>
              <w:t>Meets (1/31/24)</w:t>
            </w:r>
          </w:p>
        </w:tc>
        <w:tc>
          <w:tcPr>
            <w:tcW w:type="dxa" w:w="1296"/>
          </w:tcPr>
          <w:p>
            <w:r/>
            <w:r>
              <w:rPr>
                <w:b w:val="0"/>
                <w:i w:val="0"/>
                <w:sz w:val="20"/>
              </w:rPr>
              <w:t>N / N</w:t>
            </w:r>
          </w:p>
        </w:tc>
      </w:tr>
      <w:tr>
        <w:tc>
          <w:tcPr>
            <w:tcW w:type="dxa" w:w="1584"/>
          </w:tcPr>
          <w:p>
            <w:r/>
            <w:r>
              <w:rPr>
                <w:b w:val="0"/>
                <w:i w:val="0"/>
                <w:sz w:val="20"/>
              </w:rPr>
              <w:t>Marsh</w:t>
            </w:r>
          </w:p>
        </w:tc>
        <w:tc>
          <w:tcPr>
            <w:tcW w:type="dxa" w:w="1584"/>
          </w:tcPr>
          <w:p>
            <w:r/>
            <w:r>
              <w:rPr>
                <w:b w:val="0"/>
                <w:i w:val="0"/>
                <w:sz w:val="20"/>
              </w:rPr>
              <w:t>White F</w:t>
            </w:r>
          </w:p>
        </w:tc>
        <w:tc>
          <w:tcPr>
            <w:tcW w:type="dxa" w:w="864"/>
          </w:tcPr>
          <w:p>
            <w:r/>
            <w:r>
              <w:rPr>
                <w:b w:val="0"/>
                <w:i w:val="0"/>
                <w:sz w:val="20"/>
              </w:rPr>
              <w:t>1.9%</w:t>
            </w:r>
          </w:p>
        </w:tc>
        <w:tc>
          <w:tcPr>
            <w:tcW w:type="dxa" w:w="1008"/>
          </w:tcPr>
          <w:p>
            <w:r/>
            <w:r>
              <w:rPr>
                <w:b w:val="0"/>
                <w:i w:val="0"/>
                <w:sz w:val="20"/>
              </w:rPr>
              <w:t>52.8</w:t>
            </w:r>
          </w:p>
        </w:tc>
        <w:tc>
          <w:tcPr>
            <w:tcW w:type="dxa" w:w="1296"/>
          </w:tcPr>
          <w:p>
            <w:r/>
            <w:r>
              <w:rPr>
                <w:b w:val="0"/>
                <w:i w:val="0"/>
                <w:sz w:val="20"/>
              </w:rPr>
              <w:t>1 / $1.4M</w:t>
            </w:r>
          </w:p>
        </w:tc>
        <w:tc>
          <w:tcPr>
            <w:tcW w:type="dxa" w:w="1872"/>
          </w:tcPr>
          <w:p>
            <w:r/>
            <w:r>
              <w:rPr>
                <w:b w:val="0"/>
                <w:i w:val="0"/>
                <w:sz w:val="20"/>
              </w:rPr>
              <w:t>Exceeds (1/22/24)</w:t>
            </w:r>
          </w:p>
        </w:tc>
        <w:tc>
          <w:tcPr>
            <w:tcW w:type="dxa" w:w="1296"/>
          </w:tcPr>
          <w:p>
            <w:r/>
            <w:r>
              <w:rPr>
                <w:b w:val="0"/>
                <w:i w:val="0"/>
                <w:sz w:val="20"/>
              </w:rPr>
              <w:t>N / N</w:t>
            </w:r>
          </w:p>
        </w:tc>
      </w:tr>
      <w:tr>
        <w:tc>
          <w:tcPr>
            <w:tcW w:type="dxa" w:w="1584"/>
          </w:tcPr>
          <w:p>
            <w:r/>
            <w:r>
              <w:rPr>
                <w:b w:val="0"/>
                <w:i w:val="0"/>
                <w:sz w:val="20"/>
              </w:rPr>
              <w:t>Trujillo</w:t>
            </w:r>
          </w:p>
        </w:tc>
        <w:tc>
          <w:tcPr>
            <w:tcW w:type="dxa" w:w="1584"/>
          </w:tcPr>
          <w:p>
            <w:r/>
            <w:r>
              <w:rPr>
                <w:b w:val="0"/>
                <w:i w:val="0"/>
                <w:sz w:val="20"/>
              </w:rPr>
              <w:t>Hispanic M</w:t>
            </w:r>
          </w:p>
        </w:tc>
        <w:tc>
          <w:tcPr>
            <w:tcW w:type="dxa" w:w="864"/>
          </w:tcPr>
          <w:p>
            <w:r/>
            <w:r>
              <w:rPr>
                <w:b w:val="0"/>
                <w:i w:val="0"/>
                <w:sz w:val="20"/>
              </w:rPr>
              <w:t>2.8%</w:t>
            </w:r>
          </w:p>
        </w:tc>
        <w:tc>
          <w:tcPr>
            <w:tcW w:type="dxa" w:w="1008"/>
          </w:tcPr>
          <w:p>
            <w:r/>
            <w:r>
              <w:rPr>
                <w:b w:val="0"/>
                <w:i w:val="0"/>
                <w:sz w:val="20"/>
              </w:rPr>
              <w:t>22.9</w:t>
            </w:r>
          </w:p>
        </w:tc>
        <w:tc>
          <w:tcPr>
            <w:tcW w:type="dxa" w:w="1296"/>
          </w:tcPr>
          <w:p>
            <w:r/>
            <w:r>
              <w:rPr>
                <w:b w:val="0"/>
                <w:i w:val="0"/>
                <w:sz w:val="20"/>
              </w:rPr>
              <w:t>1 / $1.5M</w:t>
            </w:r>
          </w:p>
        </w:tc>
        <w:tc>
          <w:tcPr>
            <w:tcW w:type="dxa" w:w="1872"/>
          </w:tcPr>
          <w:p>
            <w:r/>
            <w:r>
              <w:rPr>
                <w:b w:val="0"/>
                <w:i w:val="0"/>
                <w:sz w:val="20"/>
              </w:rPr>
              <w:t>Below (2/12/24)</w:t>
            </w:r>
          </w:p>
        </w:tc>
        <w:tc>
          <w:tcPr>
            <w:tcW w:type="dxa" w:w="1296"/>
          </w:tcPr>
          <w:p>
            <w:r/>
            <w:r>
              <w:rPr>
                <w:b w:val="0"/>
                <w:i w:val="0"/>
                <w:sz w:val="20"/>
              </w:rPr>
              <w:t>N / N (verbal coaching Oct. 2023)</w:t>
            </w:r>
          </w:p>
        </w:tc>
      </w:tr>
      <w:tr>
        <w:tc>
          <w:tcPr>
            <w:tcW w:type="dxa" w:w="1584"/>
          </w:tcPr>
          <w:p>
            <w:r/>
            <w:r>
              <w:rPr>
                <w:b w:val="0"/>
                <w:i w:val="0"/>
                <w:sz w:val="20"/>
              </w:rPr>
              <w:t>Division avg.</w:t>
            </w:r>
          </w:p>
        </w:tc>
        <w:tc>
          <w:tcPr>
            <w:tcW w:type="dxa" w:w="1584"/>
          </w:tcPr>
          <w:p>
            <w:r/>
            <w:r>
              <w:rPr>
                <w:b w:val="0"/>
                <w:i w:val="0"/>
                <w:sz w:val="20"/>
              </w:rPr>
              <w:t>—</w:t>
            </w:r>
          </w:p>
        </w:tc>
        <w:tc>
          <w:tcPr>
            <w:tcW w:type="dxa" w:w="864"/>
          </w:tcPr>
          <w:p>
            <w:r/>
            <w:r>
              <w:rPr>
                <w:b w:val="0"/>
                <w:i w:val="0"/>
                <w:sz w:val="20"/>
              </w:rPr>
              <w:t>2.6%</w:t>
            </w:r>
          </w:p>
        </w:tc>
        <w:tc>
          <w:tcPr>
            <w:tcW w:type="dxa" w:w="1008"/>
          </w:tcPr>
          <w:p>
            <w:r/>
            <w:r>
              <w:rPr>
                <w:b w:val="0"/>
                <w:i w:val="0"/>
                <w:sz w:val="20"/>
              </w:rPr>
              <w:t>38.7</w:t>
            </w:r>
          </w:p>
        </w:tc>
        <w:tc>
          <w:tcPr>
            <w:tcW w:type="dxa" w:w="1296"/>
          </w:tcPr>
          <w:p>
            <w:r/>
            <w:r>
              <w:rPr>
                <w:b w:val="0"/>
                <w:i w:val="0"/>
                <w:sz w:val="20"/>
              </w:rPr>
              <w:t>9 / $13.6M total</w:t>
            </w:r>
          </w:p>
        </w:tc>
        <w:tc>
          <w:tcPr>
            <w:tcW w:type="dxa" w:w="1872"/>
          </w:tcPr>
          <w:p>
            <w:r/>
            <w:r>
              <w:rPr>
                <w:b w:val="0"/>
                <w:i w:val="0"/>
                <w:sz w:val="20"/>
              </w:rPr>
              <w:t>—</w:t>
            </w:r>
          </w:p>
        </w:tc>
        <w:tc>
          <w:tcPr>
            <w:tcW w:type="dxa" w:w="1296"/>
          </w:tcPr>
          <w:p>
            <w:r/>
            <w:r>
              <w:rPr>
                <w:b w:val="0"/>
                <w:i w:val="0"/>
                <w:sz w:val="20"/>
              </w:rPr>
              <w:t>1 of 5</w:t>
            </w:r>
          </w:p>
        </w:tc>
      </w:tr>
    </w:tbl>
    <w:p/>
    <w:p>
      <w:pPr>
        <w:spacing w:after="60"/>
        <w:ind w:left="432" w:hanging="432"/>
      </w:pPr>
      <w:r>
        <w:rPr>
          <w:b/>
        </w:rPr>
        <w:t>143.</w:t>
        <w:tab/>
      </w:r>
      <w:r>
        <w:rPr>
          <w:b w:val="0"/>
          <w:i w:val="0"/>
        </w:rPr>
        <w:t>PX-8 was prepared by the Office of the Regional President and HR. Did you or your office prepare it? It is accurate?</w:t>
      </w:r>
    </w:p>
    <w:p>
      <w:pPr>
        <w:spacing w:after="60"/>
        <w:ind w:left="432" w:hanging="432"/>
      </w:pPr>
      <w:r>
        <w:rPr>
          <w:b/>
        </w:rPr>
        <w:t>144.</w:t>
        <w:tab/>
      </w:r>
      <w:r>
        <w:rPr>
          <w:b w:val="0"/>
          <w:i w:val="0"/>
        </w:rPr>
        <w:t>All five SVPs held the same title, reported to you, and had the same 2.0% delinquency target and $50M origination target in 2023?</w:t>
      </w:r>
    </w:p>
    <w:p>
      <w:pPr>
        <w:spacing w:after="60"/>
        <w:ind w:left="432" w:hanging="432"/>
      </w:pPr>
      <w:r>
        <w:rPr>
          <w:b/>
        </w:rPr>
        <w:t>145.</w:t>
        <w:tab/>
      </w:r>
      <w:r>
        <w:rPr>
          <w:b w:val="0"/>
          <w:i w:val="0"/>
        </w:rPr>
        <w:t>Langley: worse on delinquency (3.1 vs 2.4), origination (36.1 vs 42.3), and defaults (3/$4.7M vs 2/$3.1M). Correct? No PIP? Still employed?</w:t>
      </w:r>
    </w:p>
    <w:p>
      <w:pPr>
        <w:spacing w:after="60"/>
        <w:ind w:left="432" w:hanging="432"/>
      </w:pPr>
      <w:r>
        <w:rPr>
          <w:b/>
        </w:rPr>
        <w:t>146.</w:t>
        <w:tab/>
      </w:r>
      <w:r>
        <w:rPr>
          <w:b w:val="0"/>
          <w:i w:val="0"/>
        </w:rPr>
        <w:t>Kowalski: worse on delinquency and origination. No PIP? Still employed?</w:t>
      </w:r>
    </w:p>
    <w:p>
      <w:pPr>
        <w:spacing w:after="60"/>
        <w:ind w:left="432" w:hanging="432"/>
      </w:pPr>
      <w:r>
        <w:rPr>
          <w:b/>
        </w:rPr>
        <w:t>147.</w:t>
        <w:tab/>
      </w:r>
      <w:r>
        <w:rPr>
          <w:b w:val="0"/>
          <w:i w:val="0"/>
        </w:rPr>
        <w:t>Were Langley’s or Kowalski’s Q3/Q4 risk reports submitted after the original deadlines? Were they cited?</w:t>
      </w:r>
    </w:p>
    <w:p>
      <w:pPr>
        <w:spacing w:after="60"/>
        <w:ind w:left="432" w:hanging="432"/>
      </w:pPr>
      <w:r>
        <w:rPr>
          <w:b/>
        </w:rPr>
        <w:t>148.</w:t>
        <w:tab/>
      </w:r>
      <w:r>
        <w:rPr>
          <w:b w:val="0"/>
          <w:i w:val="0"/>
        </w:rPr>
        <w:t>Langley received Meets in both 2022 and 2023 — two consecutive years — without a PIP. Ms. Delgado-Reyes received Meets once after an Exceeds and was PIP’d within 15 days. Explain the difference.</w:t>
      </w:r>
    </w:p>
    <w:p>
      <w:pPr>
        <w:spacing w:after="60"/>
        <w:ind w:left="432" w:hanging="432"/>
      </w:pPr>
      <w:r>
        <w:rPr>
          <w:b/>
        </w:rPr>
        <w:t>149.</w:t>
        <w:tab/>
      </w:r>
      <w:r>
        <w:rPr>
          <w:b w:val="0"/>
          <w:i w:val="0"/>
        </w:rPr>
        <w:t>Trujillo was rated Below Expectations — lower than Plaintiff — with origination $19.4M below hers. He received verbal coaching only, and no PIP? Why a PIP for a “Meets” employee and not for a “Below” employee?</w:t>
      </w:r>
    </w:p>
    <w:p>
      <w:pPr>
        <w:spacing w:after="60"/>
        <w:ind w:left="432" w:hanging="432"/>
      </w:pPr>
      <w:r>
        <w:rPr>
          <w:b/>
        </w:rPr>
        <w:t>150.</w:t>
        <w:tab/>
      </w:r>
      <w:r>
        <w:rPr>
          <w:b w:val="0"/>
          <w:i w:val="0"/>
        </w:rPr>
        <w:t>Of the five SVPs, which one filed a discrimination complaint against you? (Only Plaintiff.) Which one was PIP’d? Terminated?</w:t>
      </w:r>
    </w:p>
    <w:p>
      <w:pPr>
        <w:spacing w:after="60"/>
        <w:ind w:left="432" w:hanging="432"/>
      </w:pPr>
      <w:r>
        <w:rPr>
          <w:b/>
        </w:rPr>
        <w:t>151.</w:t>
        <w:tab/>
      </w:r>
      <w:r>
        <w:rPr>
          <w:b w:val="0"/>
          <w:i w:val="0"/>
        </w:rPr>
        <w:t>Did any of the other four ever receive a written criticism from you using the phrase “insufficient credit risk oversight”?</w:t>
      </w:r>
    </w:p>
    <w:p>
      <w:pPr>
        <w:spacing w:after="60"/>
        <w:ind w:left="432" w:hanging="432"/>
      </w:pPr>
      <w:r>
        <w:rPr>
          <w:b/>
        </w:rPr>
        <w:t>152.</w:t>
        <w:tab/>
      </w:r>
      <w:r>
        <w:rPr>
          <w:b w:val="0"/>
          <w:i w:val="0"/>
        </w:rPr>
        <w:t>Has any SVP under your supervision ever been placed on a PIP other than Plaintiff? Identify.</w:t>
      </w:r>
    </w:p>
    <w:p>
      <w:pPr>
        <w:pStyle w:val="Heading2"/>
      </w:pPr>
      <w:r>
        <w:t>N. Other Complainants / Pattern (Foundational Only)</w:t>
      </w:r>
    </w:p>
    <w:p>
      <w:r>
        <w:rPr>
          <w:b/>
          <w:color w:val="1F3A5F"/>
        </w:rPr>
        <w:t xml:space="preserve">Objective: </w:t>
      </w:r>
      <w:r>
        <w:rPr>
          <w:b w:val="0"/>
          <w:i/>
        </w:rPr>
        <w:t>Discover facts supporting FAC ¶¶79–84 without vouching for the pleaded statistics.</w:t>
      </w:r>
    </w:p>
    <w:p>
      <w:pPr>
        <w:spacing w:after="60"/>
        <w:ind w:left="432" w:hanging="432"/>
      </w:pPr>
      <w:r>
        <w:rPr>
          <w:b/>
        </w:rPr>
        <w:t>153.</w:t>
        <w:tab/>
      </w:r>
      <w:r>
        <w:rPr>
          <w:b w:val="0"/>
          <w:i w:val="0"/>
        </w:rPr>
        <w:t>Since July 2019, how many Southwest Division employees filed internal discrimination or harassment complaints that you became aware of? Identify each.</w:t>
      </w:r>
    </w:p>
    <w:p>
      <w:pPr>
        <w:spacing w:after="60"/>
        <w:ind w:left="432" w:hanging="432"/>
      </w:pPr>
      <w:r>
        <w:rPr>
          <w:b/>
        </w:rPr>
        <w:t>154.</w:t>
        <w:tab/>
      </w:r>
      <w:r>
        <w:rPr>
          <w:b w:val="0"/>
          <w:i w:val="0"/>
        </w:rPr>
        <w:t>For each: were you the accused? Did you participate in any subsequent PIP, discipline, or termination? When, relative to the complaint?</w:t>
      </w:r>
    </w:p>
    <w:p>
      <w:pPr>
        <w:spacing w:after="60"/>
        <w:ind w:left="432" w:hanging="432"/>
      </w:pPr>
      <w:r>
        <w:rPr>
          <w:b/>
        </w:rPr>
        <w:t>155.</w:t>
        <w:tab/>
      </w:r>
      <w:r>
        <w:rPr>
          <w:b w:val="0"/>
          <w:i w:val="0"/>
        </w:rPr>
        <w:t>Were you ever informed of the divisional complaint log required by § 7.8? Did you ever review it?</w:t>
      </w:r>
    </w:p>
    <w:p>
      <w:pPr>
        <w:spacing w:after="60"/>
        <w:ind w:left="432" w:hanging="432"/>
      </w:pPr>
      <w:r>
        <w:rPr>
          <w:b/>
        </w:rPr>
        <w:t>156.</w:t>
        <w:tab/>
      </w:r>
      <w:r>
        <w:rPr>
          <w:b w:val="0"/>
          <w:i w:val="0"/>
        </w:rPr>
        <w:t>Have you been the subject of any other complaint — internal, EEOC, hotline — at any time at Ridgeline?</w:t>
      </w:r>
    </w:p>
    <w:p>
      <w:pPr>
        <w:pStyle w:val="Heading2"/>
      </w:pPr>
      <w:r>
        <w:t>O. Clean-Up and Closing</w:t>
      </w:r>
    </w:p>
    <w:p>
      <w:pPr>
        <w:spacing w:after="60"/>
        <w:ind w:left="432" w:hanging="432"/>
      </w:pPr>
      <w:r>
        <w:rPr>
          <w:b/>
        </w:rPr>
        <w:t>157.</w:t>
        <w:tab/>
      </w:r>
      <w:r>
        <w:rPr>
          <w:b w:val="0"/>
          <w:i w:val="0"/>
        </w:rPr>
        <w:t>Is there any reason for the PIP or termination that you have not told us today? [Close the door on new justifications.]</w:t>
      </w:r>
    </w:p>
    <w:p>
      <w:pPr>
        <w:spacing w:after="60"/>
        <w:ind w:left="432" w:hanging="432"/>
      </w:pPr>
      <w:r>
        <w:rPr>
          <w:b/>
        </w:rPr>
        <w:t>158.</w:t>
        <w:tab/>
      </w:r>
      <w:r>
        <w:rPr>
          <w:b w:val="0"/>
          <w:i w:val="0"/>
        </w:rPr>
        <w:t>Is there any document supporting your decisions that you have not identified today?</w:t>
      </w:r>
    </w:p>
    <w:p>
      <w:pPr>
        <w:spacing w:after="60"/>
        <w:ind w:left="432" w:hanging="432"/>
      </w:pPr>
      <w:r>
        <w:rPr>
          <w:b/>
        </w:rPr>
        <w:t>159.</w:t>
        <w:tab/>
      </w:r>
      <w:r>
        <w:rPr>
          <w:b w:val="0"/>
          <w:i w:val="0"/>
        </w:rPr>
        <w:t>Other than Cho and Embree, did anyone participate in the decision to rate, PIP, or terminate Ms. Delgado-Reyes?</w:t>
      </w:r>
    </w:p>
    <w:p>
      <w:pPr>
        <w:spacing w:after="60"/>
        <w:ind w:left="432" w:hanging="432"/>
      </w:pPr>
      <w:r>
        <w:rPr>
          <w:b/>
        </w:rPr>
        <w:t>160.</w:t>
        <w:tab/>
      </w:r>
      <w:r>
        <w:rPr>
          <w:b w:val="0"/>
          <w:i w:val="0"/>
        </w:rPr>
        <w:t>Have you been disciplined, counseled, or reviewed by the bank for how you handled Ms. Delgado-Reyes’s complaint or termination? Any change in your compensation or bonus for 2024?</w:t>
      </w:r>
    </w:p>
    <w:p>
      <w:pPr>
        <w:spacing w:after="60"/>
        <w:ind w:left="432" w:hanging="432"/>
      </w:pPr>
      <w:r>
        <w:rPr>
          <w:b/>
        </w:rPr>
        <w:t>161.</w:t>
        <w:tab/>
      </w:r>
      <w:r>
        <w:rPr>
          <w:b w:val="0"/>
          <w:i w:val="0"/>
        </w:rPr>
        <w:t>Have you given any statement — to the EEOC, to counsel for the bank in a position statement, or otherwise — about these events? Did you review the bank’s EEOC position statement for accuracy?</w:t>
      </w:r>
    </w:p>
    <w:p>
      <w:pPr>
        <w:spacing w:after="60"/>
        <w:ind w:left="432" w:hanging="432"/>
      </w:pPr>
      <w:r>
        <w:rPr>
          <w:b/>
        </w:rPr>
        <w:t>162.</w:t>
        <w:tab/>
      </w:r>
      <w:r>
        <w:rPr>
          <w:b w:val="0"/>
          <w:i w:val="0"/>
        </w:rPr>
        <w:t>Is all the testimony you gave today true and complete?</w:t>
      </w:r>
    </w:p>
    <w:p>
      <w:pPr>
        <w:pStyle w:val="Heading1"/>
      </w:pPr>
      <w:r>
        <w:t>VII. Must-Get Admissions Checklist</w:t>
      </w:r>
    </w:p>
    <w:tbl>
      <w:tblPr>
        <w:tblStyle w:val="TableGrid"/>
        <w:tblW w:type="auto" w:w="0"/>
        <w:tblLook w:firstColumn="1" w:firstRow="1" w:lastColumn="0" w:lastRow="0" w:noHBand="0" w:noVBand="1" w:val="04A0"/>
      </w:tblPr>
      <w:tblGrid>
        <w:gridCol w:w="3120"/>
        <w:gridCol w:w="3120"/>
        <w:gridCol w:w="3120"/>
      </w:tblGrid>
      <w:tr>
        <w:tc>
          <w:tcPr>
            <w:tcW w:type="dxa" w:w="576"/>
            <w:shd w:val="clear" w:color="auto" w:fill="D9E2F3"/>
          </w:tcPr>
          <w:p>
            <w:r/>
            <w:r>
              <w:rPr>
                <w:b/>
                <w:sz w:val="20"/>
              </w:rPr>
              <w:t>✓</w:t>
            </w:r>
          </w:p>
        </w:tc>
        <w:tc>
          <w:tcPr>
            <w:tcW w:type="dxa" w:w="6912"/>
            <w:shd w:val="clear" w:color="auto" w:fill="D9E2F3"/>
          </w:tcPr>
          <w:p>
            <w:r/>
            <w:r>
              <w:rPr>
                <w:b/>
                <w:sz w:val="20"/>
              </w:rPr>
              <w:t>Admission</w:t>
            </w:r>
          </w:p>
        </w:tc>
        <w:tc>
          <w:tcPr>
            <w:tcW w:type="dxa" w:w="1872"/>
            <w:shd w:val="clear" w:color="auto" w:fill="D9E2F3"/>
          </w:tcPr>
          <w:p>
            <w:r/>
            <w:r>
              <w:rPr>
                <w:b/>
                <w:sz w:val="20"/>
              </w:rPr>
              <w:t>Section</w:t>
            </w:r>
          </w:p>
        </w:tc>
      </w:tr>
      <w:tr>
        <w:tc>
          <w:tcPr>
            <w:tcW w:type="dxa" w:w="576"/>
          </w:tcPr>
          <w:p>
            <w:r/>
            <w:r>
              <w:rPr>
                <w:b w:val="0"/>
                <w:i w:val="0"/>
                <w:sz w:val="20"/>
              </w:rPr>
              <w:t>☐</w:t>
            </w:r>
          </w:p>
        </w:tc>
        <w:tc>
          <w:tcPr>
            <w:tcW w:type="dxa" w:w="6912"/>
          </w:tcPr>
          <w:p>
            <w:r/>
            <w:r>
              <w:rPr>
                <w:b w:val="0"/>
                <w:i w:val="0"/>
                <w:sz w:val="20"/>
              </w:rPr>
              <w:t>Knew of complaint by Jan. 16, 2024 (at the latest)</w:t>
            </w:r>
          </w:p>
        </w:tc>
        <w:tc>
          <w:tcPr>
            <w:tcW w:type="dxa" w:w="1872"/>
          </w:tcPr>
          <w:p>
            <w:r/>
            <w:r>
              <w:rPr>
                <w:b w:val="0"/>
                <w:i w:val="0"/>
                <w:sz w:val="20"/>
              </w:rPr>
              <w:t>G</w:t>
            </w:r>
          </w:p>
        </w:tc>
      </w:tr>
      <w:tr>
        <w:tc>
          <w:tcPr>
            <w:tcW w:type="dxa" w:w="576"/>
          </w:tcPr>
          <w:p>
            <w:r/>
            <w:r>
              <w:rPr>
                <w:b w:val="0"/>
                <w:i w:val="0"/>
                <w:sz w:val="20"/>
              </w:rPr>
              <w:t>☐</w:t>
            </w:r>
          </w:p>
        </w:tc>
        <w:tc>
          <w:tcPr>
            <w:tcW w:type="dxa" w:w="6912"/>
          </w:tcPr>
          <w:p>
            <w:r/>
            <w:r>
              <w:rPr>
                <w:b w:val="0"/>
                <w:i w:val="0"/>
                <w:sz w:val="20"/>
              </w:rPr>
              <w:t>“The complaint” in Feb. 18 email = Plaintiff’s Jan. 8 complaint</w:t>
            </w:r>
          </w:p>
        </w:tc>
        <w:tc>
          <w:tcPr>
            <w:tcW w:type="dxa" w:w="1872"/>
          </w:tcPr>
          <w:p>
            <w:r/>
            <w:r>
              <w:rPr>
                <w:b w:val="0"/>
                <w:i w:val="0"/>
                <w:sz w:val="20"/>
              </w:rPr>
              <w:t>J</w:t>
            </w:r>
          </w:p>
        </w:tc>
      </w:tr>
      <w:tr>
        <w:tc>
          <w:tcPr>
            <w:tcW w:type="dxa" w:w="576"/>
          </w:tcPr>
          <w:p>
            <w:r/>
            <w:r>
              <w:rPr>
                <w:b w:val="0"/>
                <w:i w:val="0"/>
                <w:sz w:val="20"/>
              </w:rPr>
              <w:t>☐</w:t>
            </w:r>
          </w:p>
        </w:tc>
        <w:tc>
          <w:tcPr>
            <w:tcW w:type="dxa" w:w="6912"/>
          </w:tcPr>
          <w:p>
            <w:r/>
            <w:r>
              <w:rPr>
                <w:b w:val="0"/>
                <w:i w:val="0"/>
                <w:sz w:val="20"/>
              </w:rPr>
              <w:t>Complaint was a consideration in the decision to “move quickly”</w:t>
            </w:r>
          </w:p>
        </w:tc>
        <w:tc>
          <w:tcPr>
            <w:tcW w:type="dxa" w:w="1872"/>
          </w:tcPr>
          <w:p>
            <w:r/>
            <w:r>
              <w:rPr>
                <w:b w:val="0"/>
                <w:i w:val="0"/>
                <w:sz w:val="20"/>
              </w:rPr>
              <w:t>J</w:t>
            </w:r>
          </w:p>
        </w:tc>
      </w:tr>
      <w:tr>
        <w:tc>
          <w:tcPr>
            <w:tcW w:type="dxa" w:w="576"/>
          </w:tcPr>
          <w:p>
            <w:r/>
            <w:r>
              <w:rPr>
                <w:b w:val="0"/>
                <w:i w:val="0"/>
                <w:sz w:val="20"/>
              </w:rPr>
              <w:t>☐</w:t>
            </w:r>
          </w:p>
        </w:tc>
        <w:tc>
          <w:tcPr>
            <w:tcW w:type="dxa" w:w="6912"/>
          </w:tcPr>
          <w:p>
            <w:r/>
            <w:r>
              <w:rPr>
                <w:b w:val="0"/>
                <w:i w:val="0"/>
                <w:sz w:val="20"/>
              </w:rPr>
              <w:t>“It’s time” = time for her employment to end; decided before PIP issued</w:t>
            </w:r>
          </w:p>
        </w:tc>
        <w:tc>
          <w:tcPr>
            <w:tcW w:type="dxa" w:w="1872"/>
          </w:tcPr>
          <w:p>
            <w:r/>
            <w:r>
              <w:rPr>
                <w:b w:val="0"/>
                <w:i w:val="0"/>
                <w:sz w:val="20"/>
              </w:rPr>
              <w:t>J</w:t>
            </w:r>
          </w:p>
        </w:tc>
      </w:tr>
      <w:tr>
        <w:tc>
          <w:tcPr>
            <w:tcW w:type="dxa" w:w="576"/>
          </w:tcPr>
          <w:p>
            <w:r/>
            <w:r>
              <w:rPr>
                <w:b w:val="0"/>
                <w:i w:val="0"/>
                <w:sz w:val="20"/>
              </w:rPr>
              <w:t>☐</w:t>
            </w:r>
          </w:p>
        </w:tc>
        <w:tc>
          <w:tcPr>
            <w:tcW w:type="dxa" w:w="6912"/>
          </w:tcPr>
          <w:p>
            <w:r/>
            <w:r>
              <w:rPr>
                <w:b w:val="0"/>
                <w:i w:val="0"/>
                <w:sz w:val="20"/>
              </w:rPr>
              <w:t>Metrics selected before PIP drafted; not pulled for comparators</w:t>
            </w:r>
          </w:p>
        </w:tc>
        <w:tc>
          <w:tcPr>
            <w:tcW w:type="dxa" w:w="1872"/>
          </w:tcPr>
          <w:p>
            <w:r/>
            <w:r>
              <w:rPr>
                <w:b w:val="0"/>
                <w:i w:val="0"/>
                <w:sz w:val="20"/>
              </w:rPr>
              <w:t>J</w:t>
            </w:r>
          </w:p>
        </w:tc>
      </w:tr>
      <w:tr>
        <w:tc>
          <w:tcPr>
            <w:tcW w:type="dxa" w:w="576"/>
          </w:tcPr>
          <w:p>
            <w:r/>
            <w:r>
              <w:rPr>
                <w:b w:val="0"/>
                <w:i w:val="0"/>
                <w:sz w:val="20"/>
              </w:rPr>
              <w:t>☐</w:t>
            </w:r>
          </w:p>
        </w:tc>
        <w:tc>
          <w:tcPr>
            <w:tcW w:type="dxa" w:w="6912"/>
          </w:tcPr>
          <w:p>
            <w:r/>
            <w:r>
              <w:rPr>
                <w:b w:val="0"/>
                <w:i w:val="0"/>
                <w:sz w:val="20"/>
              </w:rPr>
              <w:t>Received Q4 report email dated Jan. 10 (on/before deadline); “5 days late” unsupported</w:t>
            </w:r>
          </w:p>
        </w:tc>
        <w:tc>
          <w:tcPr>
            <w:tcW w:type="dxa" w:w="1872"/>
          </w:tcPr>
          <w:p>
            <w:r/>
            <w:r>
              <w:rPr>
                <w:b w:val="0"/>
                <w:i w:val="0"/>
                <w:sz w:val="20"/>
              </w:rPr>
              <w:t>I</w:t>
            </w:r>
          </w:p>
        </w:tc>
      </w:tr>
      <w:tr>
        <w:tc>
          <w:tcPr>
            <w:tcW w:type="dxa" w:w="576"/>
          </w:tcPr>
          <w:p>
            <w:r/>
            <w:r>
              <w:rPr>
                <w:b w:val="0"/>
                <w:i w:val="0"/>
                <w:sz w:val="20"/>
              </w:rPr>
              <w:t>☐</w:t>
            </w:r>
          </w:p>
        </w:tc>
        <w:tc>
          <w:tcPr>
            <w:tcW w:type="dxa" w:w="6912"/>
          </w:tcPr>
          <w:p>
            <w:r/>
            <w:r>
              <w:rPr>
                <w:b w:val="0"/>
                <w:i w:val="0"/>
                <w:sz w:val="20"/>
              </w:rPr>
              <w:t>Q3 extension to Oct. 4 existed; regional management involved; not accounted for</w:t>
            </w:r>
          </w:p>
        </w:tc>
        <w:tc>
          <w:tcPr>
            <w:tcW w:type="dxa" w:w="1872"/>
          </w:tcPr>
          <w:p>
            <w:r/>
            <w:r>
              <w:rPr>
                <w:b w:val="0"/>
                <w:i w:val="0"/>
                <w:sz w:val="20"/>
              </w:rPr>
              <w:t>I</w:t>
            </w:r>
          </w:p>
        </w:tc>
      </w:tr>
      <w:tr>
        <w:tc>
          <w:tcPr>
            <w:tcW w:type="dxa" w:w="576"/>
          </w:tcPr>
          <w:p>
            <w:r/>
            <w:r>
              <w:rPr>
                <w:b w:val="0"/>
                <w:i w:val="0"/>
                <w:sz w:val="20"/>
              </w:rPr>
              <w:t>☐</w:t>
            </w:r>
          </w:p>
        </w:tc>
        <w:tc>
          <w:tcPr>
            <w:tcW w:type="dxa" w:w="6912"/>
          </w:tcPr>
          <w:p>
            <w:r/>
            <w:r>
              <w:rPr>
                <w:b w:val="0"/>
                <w:i w:val="0"/>
                <w:sz w:val="20"/>
              </w:rPr>
              <w:t>Plaintiff better than division average on delinquency and origination</w:t>
            </w:r>
          </w:p>
        </w:tc>
        <w:tc>
          <w:tcPr>
            <w:tcW w:type="dxa" w:w="1872"/>
          </w:tcPr>
          <w:p>
            <w:r/>
            <w:r>
              <w:rPr>
                <w:b w:val="0"/>
                <w:i w:val="0"/>
                <w:sz w:val="20"/>
              </w:rPr>
              <w:t>H, M</w:t>
            </w:r>
          </w:p>
        </w:tc>
      </w:tr>
      <w:tr>
        <w:tc>
          <w:tcPr>
            <w:tcW w:type="dxa" w:w="576"/>
          </w:tcPr>
          <w:p>
            <w:r/>
            <w:r>
              <w:rPr>
                <w:b w:val="0"/>
                <w:i w:val="0"/>
                <w:sz w:val="20"/>
              </w:rPr>
              <w:t>☐</w:t>
            </w:r>
          </w:p>
        </w:tc>
        <w:tc>
          <w:tcPr>
            <w:tcW w:type="dxa" w:w="6912"/>
          </w:tcPr>
          <w:p>
            <w:r/>
            <w:r>
              <w:rPr>
                <w:b w:val="0"/>
                <w:i w:val="0"/>
                <w:sz w:val="20"/>
              </w:rPr>
              <w:t>Langley and Kowalski worse; no PIP; Trujillo rated lower; no PIP</w:t>
            </w:r>
          </w:p>
        </w:tc>
        <w:tc>
          <w:tcPr>
            <w:tcW w:type="dxa" w:w="1872"/>
          </w:tcPr>
          <w:p>
            <w:r/>
            <w:r>
              <w:rPr>
                <w:b w:val="0"/>
                <w:i w:val="0"/>
                <w:sz w:val="20"/>
              </w:rPr>
              <w:t>M</w:t>
            </w:r>
          </w:p>
        </w:tc>
      </w:tr>
      <w:tr>
        <w:tc>
          <w:tcPr>
            <w:tcW w:type="dxa" w:w="576"/>
          </w:tcPr>
          <w:p>
            <w:r/>
            <w:r>
              <w:rPr>
                <w:b w:val="0"/>
                <w:i w:val="0"/>
                <w:sz w:val="20"/>
              </w:rPr>
              <w:t>☐</w:t>
            </w:r>
          </w:p>
        </w:tc>
        <w:tc>
          <w:tcPr>
            <w:tcW w:type="dxa" w:w="6912"/>
          </w:tcPr>
          <w:p>
            <w:r/>
            <w:r>
              <w:rPr>
                <w:b w:val="0"/>
                <w:i w:val="0"/>
                <w:sz w:val="20"/>
              </w:rPr>
              <w:t>No written criticism before Jan. 8, 2024</w:t>
            </w:r>
          </w:p>
        </w:tc>
        <w:tc>
          <w:tcPr>
            <w:tcW w:type="dxa" w:w="1872"/>
          </w:tcPr>
          <w:p>
            <w:r/>
            <w:r>
              <w:rPr>
                <w:b w:val="0"/>
                <w:i w:val="0"/>
                <w:sz w:val="20"/>
              </w:rPr>
              <w:t>E</w:t>
            </w:r>
          </w:p>
        </w:tc>
      </w:tr>
      <w:tr>
        <w:tc>
          <w:tcPr>
            <w:tcW w:type="dxa" w:w="576"/>
          </w:tcPr>
          <w:p>
            <w:r/>
            <w:r>
              <w:rPr>
                <w:b w:val="0"/>
                <w:i w:val="0"/>
                <w:sz w:val="20"/>
              </w:rPr>
              <w:t>☐</w:t>
            </w:r>
          </w:p>
        </w:tc>
        <w:tc>
          <w:tcPr>
            <w:tcW w:type="dxa" w:w="6912"/>
          </w:tcPr>
          <w:p>
            <w:r/>
            <w:r>
              <w:rPr>
                <w:b w:val="0"/>
                <w:i w:val="0"/>
                <w:sz w:val="20"/>
              </w:rPr>
              <w:t>Told HR “no concerns about competence” on Jan. 16</w:t>
            </w:r>
          </w:p>
        </w:tc>
        <w:tc>
          <w:tcPr>
            <w:tcW w:type="dxa" w:w="1872"/>
          </w:tcPr>
          <w:p>
            <w:r/>
            <w:r>
              <w:rPr>
                <w:b w:val="0"/>
                <w:i w:val="0"/>
                <w:sz w:val="20"/>
              </w:rPr>
              <w:t>E</w:t>
            </w:r>
          </w:p>
        </w:tc>
      </w:tr>
      <w:tr>
        <w:tc>
          <w:tcPr>
            <w:tcW w:type="dxa" w:w="576"/>
          </w:tcPr>
          <w:p>
            <w:r/>
            <w:r>
              <w:rPr>
                <w:b w:val="0"/>
                <w:i w:val="0"/>
                <w:sz w:val="20"/>
              </w:rPr>
              <w:t>☐</w:t>
            </w:r>
          </w:p>
        </w:tc>
        <w:tc>
          <w:tcPr>
            <w:tcW w:type="dxa" w:w="6912"/>
          </w:tcPr>
          <w:p>
            <w:r/>
            <w:r>
              <w:rPr>
                <w:b w:val="0"/>
                <w:i w:val="0"/>
                <w:sz w:val="20"/>
              </w:rPr>
              <w:t>Knew § 7.4.1 90-day rule; no CHRO/GC written approval for review, PIP, or termination</w:t>
            </w:r>
          </w:p>
        </w:tc>
        <w:tc>
          <w:tcPr>
            <w:tcW w:type="dxa" w:w="1872"/>
          </w:tcPr>
          <w:p>
            <w:r/>
            <w:r>
              <w:rPr>
                <w:b w:val="0"/>
                <w:i w:val="0"/>
                <w:sz w:val="20"/>
              </w:rPr>
              <w:t>C, K, L</w:t>
            </w:r>
          </w:p>
        </w:tc>
      </w:tr>
      <w:tr>
        <w:tc>
          <w:tcPr>
            <w:tcW w:type="dxa" w:w="576"/>
          </w:tcPr>
          <w:p>
            <w:r/>
            <w:r>
              <w:rPr>
                <w:b w:val="0"/>
                <w:i w:val="0"/>
                <w:sz w:val="20"/>
              </w:rPr>
              <w:t>☐</w:t>
            </w:r>
          </w:p>
        </w:tc>
        <w:tc>
          <w:tcPr>
            <w:tcW w:type="dxa" w:w="6912"/>
          </w:tcPr>
          <w:p>
            <w:r/>
            <w:r>
              <w:rPr>
                <w:b w:val="0"/>
                <w:i w:val="0"/>
                <w:sz w:val="20"/>
              </w:rPr>
              <w:t>Knew § 7.7(e) full-PIP rule; no misconduct; terminated 7 days early</w:t>
            </w:r>
          </w:p>
        </w:tc>
        <w:tc>
          <w:tcPr>
            <w:tcW w:type="dxa" w:w="1872"/>
          </w:tcPr>
          <w:p>
            <w:r/>
            <w:r>
              <w:rPr>
                <w:b w:val="0"/>
                <w:i w:val="0"/>
                <w:sz w:val="20"/>
              </w:rPr>
              <w:t>C, L</w:t>
            </w:r>
          </w:p>
        </w:tc>
      </w:tr>
      <w:tr>
        <w:tc>
          <w:tcPr>
            <w:tcW w:type="dxa" w:w="576"/>
          </w:tcPr>
          <w:p>
            <w:r/>
            <w:r>
              <w:rPr>
                <w:b w:val="0"/>
                <w:i w:val="0"/>
                <w:sz w:val="20"/>
              </w:rPr>
              <w:t>☐</w:t>
            </w:r>
          </w:p>
        </w:tc>
        <w:tc>
          <w:tcPr>
            <w:tcW w:type="dxa" w:w="6912"/>
          </w:tcPr>
          <w:p>
            <w:r/>
            <w:r>
              <w:rPr>
                <w:b w:val="0"/>
                <w:i w:val="0"/>
                <w:sz w:val="20"/>
              </w:rPr>
              <w:t>Cho did no independent review; relied on him</w:t>
            </w:r>
          </w:p>
        </w:tc>
        <w:tc>
          <w:tcPr>
            <w:tcW w:type="dxa" w:w="1872"/>
          </w:tcPr>
          <w:p>
            <w:r/>
            <w:r>
              <w:rPr>
                <w:b w:val="0"/>
                <w:i w:val="0"/>
                <w:sz w:val="20"/>
              </w:rPr>
              <w:t>L</w:t>
            </w:r>
          </w:p>
        </w:tc>
      </w:tr>
      <w:tr>
        <w:tc>
          <w:tcPr>
            <w:tcW w:type="dxa" w:w="576"/>
          </w:tcPr>
          <w:p>
            <w:r/>
            <w:r>
              <w:rPr>
                <w:b w:val="0"/>
                <w:i w:val="0"/>
                <w:sz w:val="20"/>
              </w:rPr>
              <w:t>☐</w:t>
            </w:r>
          </w:p>
        </w:tc>
        <w:tc>
          <w:tcPr>
            <w:tcW w:type="dxa" w:w="6912"/>
          </w:tcPr>
          <w:p>
            <w:r/>
            <w:r>
              <w:rPr>
                <w:b w:val="0"/>
                <w:i w:val="0"/>
                <w:sz w:val="20"/>
              </w:rPr>
              <w:t>Made all three remarks (as admitted to HR); no data presented at Nov. 15 meeting</w:t>
            </w:r>
          </w:p>
        </w:tc>
        <w:tc>
          <w:tcPr>
            <w:tcW w:type="dxa" w:w="1872"/>
          </w:tcPr>
          <w:p>
            <w:r/>
            <w:r>
              <w:rPr>
                <w:b w:val="0"/>
                <w:i w:val="0"/>
                <w:sz w:val="20"/>
              </w:rPr>
              <w:t>F</w:t>
            </w:r>
          </w:p>
        </w:tc>
      </w:tr>
      <w:tr>
        <w:tc>
          <w:tcPr>
            <w:tcW w:type="dxa" w:w="576"/>
          </w:tcPr>
          <w:p>
            <w:r/>
            <w:r>
              <w:rPr>
                <w:b w:val="0"/>
                <w:i w:val="0"/>
                <w:sz w:val="20"/>
              </w:rPr>
              <w:t>☐</w:t>
            </w:r>
          </w:p>
        </w:tc>
        <w:tc>
          <w:tcPr>
            <w:tcW w:type="dxa" w:w="6912"/>
          </w:tcPr>
          <w:p>
            <w:r/>
            <w:r>
              <w:rPr>
                <w:b w:val="0"/>
                <w:i w:val="0"/>
                <w:sz w:val="20"/>
              </w:rPr>
              <w:t>Counseled in 2017 re geographic/ethnic terminology; remembered it</w:t>
            </w:r>
          </w:p>
        </w:tc>
        <w:tc>
          <w:tcPr>
            <w:tcW w:type="dxa" w:w="1872"/>
          </w:tcPr>
          <w:p>
            <w:r/>
            <w:r>
              <w:rPr>
                <w:b w:val="0"/>
                <w:i w:val="0"/>
                <w:sz w:val="20"/>
              </w:rPr>
              <w:t>D</w:t>
            </w:r>
          </w:p>
        </w:tc>
      </w:tr>
      <w:tr>
        <w:tc>
          <w:tcPr>
            <w:tcW w:type="dxa" w:w="576"/>
          </w:tcPr>
          <w:p>
            <w:r/>
            <w:r>
              <w:rPr>
                <w:b w:val="0"/>
                <w:i w:val="0"/>
                <w:sz w:val="20"/>
              </w:rPr>
              <w:t>☐</w:t>
            </w:r>
          </w:p>
        </w:tc>
        <w:tc>
          <w:tcPr>
            <w:tcW w:type="dxa" w:w="6912"/>
          </w:tcPr>
          <w:p>
            <w:r/>
            <w:r>
              <w:rPr>
                <w:b w:val="0"/>
                <w:i w:val="0"/>
                <w:sz w:val="20"/>
              </w:rPr>
              <w:t>Explanation of Feb. 5 vs. “not yet finalized” (Feb. 12) discrepancy</w:t>
            </w:r>
          </w:p>
        </w:tc>
        <w:tc>
          <w:tcPr>
            <w:tcW w:type="dxa" w:w="1872"/>
          </w:tcPr>
          <w:p>
            <w:r/>
            <w:r>
              <w:rPr>
                <w:b w:val="0"/>
                <w:i w:val="0"/>
                <w:sz w:val="20"/>
              </w:rPr>
              <w:t>H</w:t>
            </w:r>
          </w:p>
        </w:tc>
      </w:tr>
    </w:tbl>
    <w:p/>
    <w:p>
      <w:pPr>
        <w:pStyle w:val="Heading1"/>
      </w:pPr>
      <w:r>
        <w:t>VIII. Anticipated Defense Themes and Responses</w:t>
      </w:r>
    </w:p>
    <w:tbl>
      <w:tblPr>
        <w:tblStyle w:val="TableGrid"/>
        <w:tblW w:type="auto" w:w="0"/>
        <w:tblLook w:firstColumn="1" w:firstRow="1" w:lastColumn="0" w:lastRow="0" w:noHBand="0" w:noVBand="1" w:val="04A0"/>
      </w:tblPr>
      <w:tblGrid>
        <w:gridCol w:w="4680"/>
        <w:gridCol w:w="4680"/>
      </w:tblGrid>
      <w:tr>
        <w:tc>
          <w:tcPr>
            <w:tcW w:type="dxa" w:w="2880"/>
            <w:shd w:val="clear" w:color="auto" w:fill="D9E2F3"/>
          </w:tcPr>
          <w:p>
            <w:r/>
            <w:r>
              <w:rPr>
                <w:b/>
                <w:sz w:val="20"/>
              </w:rPr>
              <w:t>Defense theme</w:t>
            </w:r>
          </w:p>
        </w:tc>
        <w:tc>
          <w:tcPr>
            <w:tcW w:type="dxa" w:w="6480"/>
            <w:shd w:val="clear" w:color="auto" w:fill="D9E2F3"/>
          </w:tcPr>
          <w:p>
            <w:r/>
            <w:r>
              <w:rPr>
                <w:b/>
                <w:sz w:val="20"/>
              </w:rPr>
              <w:t>Response / documents</w:t>
            </w:r>
          </w:p>
        </w:tc>
      </w:tr>
      <w:tr>
        <w:tc>
          <w:tcPr>
            <w:tcW w:type="dxa" w:w="2880"/>
          </w:tcPr>
          <w:p>
            <w:r/>
            <w:r>
              <w:rPr>
                <w:b w:val="0"/>
                <w:i w:val="0"/>
                <w:sz w:val="20"/>
              </w:rPr>
              <w:t>Remarks were market-risk commentary</w:t>
            </w:r>
          </w:p>
        </w:tc>
        <w:tc>
          <w:tcPr>
            <w:tcW w:type="dxa" w:w="6480"/>
          </w:tcPr>
          <w:p>
            <w:r/>
            <w:r>
              <w:rPr>
                <w:b w:val="0"/>
                <w:i w:val="0"/>
                <w:sz w:val="20"/>
              </w:rPr>
              <w:t>No analysis presented; “people from those areas”; § 7.2.1; 2017 counseling specifically on geographic terms; Fuentes’s perception; HR found perception “not unreasonable.”</w:t>
            </w:r>
          </w:p>
        </w:tc>
      </w:tr>
      <w:tr>
        <w:tc>
          <w:tcPr>
            <w:tcW w:type="dxa" w:w="2880"/>
          </w:tcPr>
          <w:p>
            <w:r/>
            <w:r>
              <w:rPr>
                <w:b w:val="0"/>
                <w:i w:val="0"/>
                <w:sz w:val="20"/>
              </w:rPr>
              <w:t>Complaint unsubstantiated, so no retaliation</w:t>
            </w:r>
          </w:p>
        </w:tc>
        <w:tc>
          <w:tcPr>
            <w:tcW w:type="dxa" w:w="6480"/>
          </w:tcPr>
          <w:p>
            <w:r/>
            <w:r>
              <w:rPr>
                <w:b w:val="0"/>
                <w:i w:val="0"/>
                <w:sz w:val="20"/>
              </w:rPr>
              <w:t>§ 7.2.3 and § 7.5.3: good-faith complaint protected regardless of outcome; unsubstantiated ≠ did not occur. Title VII opposition clause protects reasonable, good-faith belief.</w:t>
            </w:r>
          </w:p>
        </w:tc>
      </w:tr>
      <w:tr>
        <w:tc>
          <w:tcPr>
            <w:tcW w:type="dxa" w:w="2880"/>
          </w:tcPr>
          <w:p>
            <w:r/>
            <w:r>
              <w:rPr>
                <w:b w:val="0"/>
                <w:i w:val="0"/>
                <w:sz w:val="20"/>
              </w:rPr>
              <w:t>PIP was performance-based; the numbers are the numbers</w:t>
            </w:r>
          </w:p>
        </w:tc>
        <w:tc>
          <w:tcPr>
            <w:tcW w:type="dxa" w:w="6480"/>
          </w:tcPr>
          <w:p>
            <w:r/>
            <w:r>
              <w:rPr>
                <w:b w:val="0"/>
                <w:i w:val="0"/>
                <w:sz w:val="20"/>
              </w:rPr>
              <w:t>She beat the division average; worse performers untouched; Q4 lateness false; Q3 ignores extension; “metrics I want to cite.”</w:t>
            </w:r>
          </w:p>
        </w:tc>
      </w:tr>
      <w:tr>
        <w:tc>
          <w:tcPr>
            <w:tcW w:type="dxa" w:w="2880"/>
          </w:tcPr>
          <w:p>
            <w:r/>
            <w:r>
              <w:rPr>
                <w:b w:val="0"/>
                <w:i w:val="0"/>
                <w:sz w:val="20"/>
              </w:rPr>
              <w:t>“The complaint” reference was about managing HR process, not motive</w:t>
            </w:r>
          </w:p>
        </w:tc>
        <w:tc>
          <w:tcPr>
            <w:tcW w:type="dxa" w:w="6480"/>
          </w:tcPr>
          <w:p>
            <w:r/>
            <w:r>
              <w:rPr>
                <w:b w:val="0"/>
                <w:i w:val="0"/>
                <w:sz w:val="20"/>
              </w:rPr>
              <w:t>Why “move quickly”? Why “bigger problem”? Why “it’s time”? Cho’s “careful” and “protected on our end” show both understood the risk.</w:t>
            </w:r>
          </w:p>
        </w:tc>
      </w:tr>
      <w:tr>
        <w:tc>
          <w:tcPr>
            <w:tcW w:type="dxa" w:w="2880"/>
          </w:tcPr>
          <w:p>
            <w:r/>
            <w:r>
              <w:rPr>
                <w:b w:val="0"/>
                <w:i w:val="0"/>
                <w:sz w:val="20"/>
              </w:rPr>
              <w:t>HR (Embree) signed off</w:t>
            </w:r>
          </w:p>
        </w:tc>
        <w:tc>
          <w:tcPr>
            <w:tcW w:type="dxa" w:w="6480"/>
          </w:tcPr>
          <w:p>
            <w:r/>
            <w:r>
              <w:rPr>
                <w:b w:val="0"/>
                <w:i w:val="0"/>
                <w:sz w:val="20"/>
              </w:rPr>
              <w:t>No § 7.7(d) independent review; no CHRO/GC approval; Embree investigated her own division’s Regional President contrary to § 7.5.1; she signed same day PIP issued.</w:t>
            </w:r>
          </w:p>
        </w:tc>
      </w:tr>
      <w:tr>
        <w:tc>
          <w:tcPr>
            <w:tcW w:type="dxa" w:w="2880"/>
          </w:tcPr>
          <w:p>
            <w:r/>
            <w:r>
              <w:rPr>
                <w:b w:val="0"/>
                <w:i w:val="0"/>
                <w:sz w:val="20"/>
              </w:rPr>
              <w:t>Trujillo (Hispanic) was not PIP’d — no national-origin animus</w:t>
            </w:r>
          </w:p>
        </w:tc>
        <w:tc>
          <w:tcPr>
            <w:tcW w:type="dxa" w:w="6480"/>
          </w:tcPr>
          <w:p>
            <w:r/>
            <w:r>
              <w:rPr>
                <w:b w:val="0"/>
                <w:i w:val="0"/>
                <w:sz w:val="20"/>
              </w:rPr>
              <w:t>Supports retaliation (only complainant PIP’d); animus is shown by remarks targeted at Plaintiff; employer need not discriminate against every member of a class.</w:t>
            </w:r>
          </w:p>
        </w:tc>
      </w:tr>
      <w:tr>
        <w:tc>
          <w:tcPr>
            <w:tcW w:type="dxa" w:w="2880"/>
          </w:tcPr>
          <w:p>
            <w:r/>
            <w:r>
              <w:rPr>
                <w:b w:val="0"/>
                <w:i w:val="0"/>
                <w:sz w:val="20"/>
              </w:rPr>
              <w:t>At-will; PIP reserved right to terminate early</w:t>
            </w:r>
          </w:p>
        </w:tc>
        <w:tc>
          <w:tcPr>
            <w:tcW w:type="dxa" w:w="6480"/>
          </w:tcPr>
          <w:p>
            <w:r/>
            <w:r>
              <w:rPr>
                <w:b w:val="0"/>
                <w:i w:val="0"/>
                <w:sz w:val="20"/>
              </w:rPr>
              <w:t>Policy § 7.7(e) overrides for complainants; “performance-related concerns alone … do not justify early termination.”</w:t>
            </w:r>
          </w:p>
        </w:tc>
      </w:tr>
      <w:tr>
        <w:tc>
          <w:tcPr>
            <w:tcW w:type="dxa" w:w="2880"/>
          </w:tcPr>
          <w:p>
            <w:r/>
            <w:r>
              <w:rPr>
                <w:b w:val="0"/>
                <w:i w:val="0"/>
                <w:sz w:val="20"/>
              </w:rPr>
              <w:t>Same-actor inference (he rated her EE before)</w:t>
            </w:r>
          </w:p>
        </w:tc>
        <w:tc>
          <w:tcPr>
            <w:tcW w:type="dxa" w:w="6480"/>
          </w:tcPr>
          <w:p>
            <w:r/>
            <w:r>
              <w:rPr>
                <w:b w:val="0"/>
                <w:i w:val="0"/>
                <w:sz w:val="20"/>
              </w:rPr>
              <w:t>Ratings changed only after the complaint; the inference is weak where intervening protected activity exists.</w:t>
            </w:r>
          </w:p>
        </w:tc>
      </w:tr>
    </w:tbl>
    <w:p/>
    <w:p>
      <w:pPr>
        <w:pStyle w:val="Heading1"/>
      </w:pPr>
      <w:r>
        <w:t>IX. Pre-Deposition To-Do and Follow-Up Discovery</w:t>
      </w:r>
    </w:p>
    <w:p>
      <w:pPr>
        <w:pStyle w:val="ListBullet"/>
      </w:pPr>
      <w:r>
        <w:rPr>
          <w:b w:val="0"/>
          <w:i w:val="0"/>
        </w:rPr>
        <w:t>Obtain native Q4 email (PX-6) with full headers and server logs to resolve the 04:47 UTC / 4:47 PM issue; obtain LoanStar submission logs for all five SVPs for Q3 and Q4 2023.</w:t>
      </w:r>
    </w:p>
    <w:p>
      <w:pPr>
        <w:pStyle w:val="ListBullet"/>
      </w:pPr>
      <w:r>
        <w:rPr>
          <w:b w:val="0"/>
          <w:i w:val="0"/>
        </w:rPr>
        <w:t>Obtain the October 3, 2023 extension notification (EMAIL-SW-20231003-RPT) and the identity of the approving “regional management.”</w:t>
      </w:r>
    </w:p>
    <w:p>
      <w:pPr>
        <w:pStyle w:val="ListBullet"/>
      </w:pPr>
      <w:r>
        <w:rPr>
          <w:b w:val="0"/>
          <w:i w:val="0"/>
        </w:rPr>
        <w:t>Obtain native files and HR-system audit trail for the 2023 review (all drafts, creation/modification dates, e-signature timestamps) and for the PIP and termination letter.</w:t>
      </w:r>
    </w:p>
    <w:p>
      <w:pPr>
        <w:pStyle w:val="ListBullet"/>
      </w:pPr>
      <w:r>
        <w:rPr>
          <w:b w:val="0"/>
          <w:i w:val="0"/>
        </w:rPr>
        <w:t>Obtain full Feb. 18 thread in native format, and all Whitford–Cho, Whitford–Embree communications Jan. 8 – Mar. 31, 2024, including texts and Teams/chat.</w:t>
      </w:r>
    </w:p>
    <w:p>
      <w:pPr>
        <w:pStyle w:val="ListBullet"/>
      </w:pPr>
      <w:r>
        <w:rPr>
          <w:b w:val="0"/>
          <w:i w:val="0"/>
        </w:rPr>
        <w:t>Obtain any § 7.4.2 memoranda, § 7.7(c) certifications, § 7.7(d) independent review, and CHRO/GC approvals — or a stipulation/RFA admission that none exist.</w:t>
      </w:r>
    </w:p>
    <w:p>
      <w:pPr>
        <w:pStyle w:val="ListBullet"/>
      </w:pPr>
      <w:r>
        <w:rPr>
          <w:b w:val="0"/>
          <w:i w:val="0"/>
        </w:rPr>
        <w:t>Obtain Whitford’s annual training records and signed policy acknowledgments (2019–2024); signed 2017 Form HR-042.</w:t>
      </w:r>
    </w:p>
    <w:p>
      <w:pPr>
        <w:pStyle w:val="ListBullet"/>
      </w:pPr>
      <w:r>
        <w:rPr>
          <w:b w:val="0"/>
          <w:i w:val="0"/>
        </w:rPr>
        <w:t>Obtain category-level 2023 reviews for Langley, Kowalski, Marsh, Trujillo; Trujillo’s October 2023 coaching documentation.</w:t>
      </w:r>
    </w:p>
    <w:p>
      <w:pPr>
        <w:pStyle w:val="ListBullet"/>
      </w:pPr>
      <w:r>
        <w:rPr>
          <w:b w:val="0"/>
          <w:i w:val="0"/>
        </w:rPr>
        <w:t>Obtain the credit analytics Whitford claims supported the “border communities” remarks; Nov. 15, 2023 roster and agenda; identity of Witnesses A–C and the Denver executive.</w:t>
      </w:r>
    </w:p>
    <w:p>
      <w:pPr>
        <w:pStyle w:val="ListBullet"/>
      </w:pPr>
      <w:r>
        <w:rPr>
          <w:b w:val="0"/>
          <w:i w:val="0"/>
        </w:rPr>
        <w:t>Obtain Plaintiff’s PIP-period pipeline reports, BD meeting summaries, remediation plan, and weekly meeting notes.</w:t>
      </w:r>
    </w:p>
    <w:p>
      <w:pPr>
        <w:pStyle w:val="ListBullet"/>
      </w:pPr>
      <w:r>
        <w:rPr>
          <w:b w:val="0"/>
          <w:i w:val="0"/>
        </w:rPr>
        <w:t>Obtain Southwest Division complaint log (§ 7.8) for 2020–2024.</w:t>
      </w:r>
    </w:p>
    <w:p>
      <w:pPr>
        <w:pStyle w:val="ListBullet"/>
      </w:pPr>
      <w:r>
        <w:rPr>
          <w:b w:val="0"/>
          <w:i w:val="0"/>
        </w:rPr>
        <w:t>Serve RFAs on authenticity of PX-6 and PX-9; consider amending FAC to correct ¶36 (2021 rating), ¶60 (timestamp), ¶113 (sequence), day count (66), and email domains.</w:t>
      </w:r>
    </w:p>
    <w:p>
      <w:pPr>
        <w:pStyle w:val="ListBullet"/>
      </w:pPr>
      <w:r>
        <w:rPr>
          <w:b w:val="0"/>
          <w:i w:val="0"/>
        </w:rPr>
        <w:t>Sequence: consider deposing Embree and Cho after Whitford so his account is locked first; alternatively depose Cho first if cat’s-paw facts need development.</w:t>
      </w:r>
    </w:p>
    <w:p/>
    <w:p>
      <w:r>
        <w:rPr>
          <w:b w:val="0"/>
          <w:i/>
          <w:sz w:val="18"/>
        </w:rPr>
        <w:t>Prepared by: [Attorney] — Kendrick &amp; Pryor LLP. Attorney work product; contains mental impressions and litigation strategy.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