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8"/>
        </w:rPr>
        <w:t>DRAFT COMPLAINT</w:t>
      </w:r>
    </w:p>
    <w:p>
      <w:pPr>
        <w:spacing w:after="160" w:line="240" w:lineRule="auto"/>
        <w:jc w:val="center"/>
      </w:pPr>
      <w:r>
        <w:rPr>
          <w:rFonts w:ascii="Times New Roman" w:hAnsi="Times New Roman"/>
          <w:b w:val="0"/>
          <w:i/>
          <w:sz w:val="20"/>
        </w:rPr>
        <w:t>(Diversity jurisdiction; proposed claims under Texas law)</w:t>
      </w:r>
    </w:p>
    <w:p>
      <w:pPr>
        <w:jc w:val="center"/>
      </w:pPr>
      <w:r>
        <w:rPr>
          <w:rFonts w:ascii="Times New Roman" w:hAnsi="Times New Roman"/>
          <w:b/>
          <w:i w:val="0"/>
        </w:rPr>
        <w:t>UNITED STATES DISTRICT COURT</w:t>
      </w:r>
    </w:p>
    <w:p>
      <w:pPr>
        <w:jc w:val="center"/>
      </w:pPr>
      <w:r>
        <w:rPr>
          <w:rFonts w:ascii="Times New Roman" w:hAnsi="Times New Roman"/>
          <w:b/>
          <w:i w:val="0"/>
        </w:rPr>
        <w:t>NORTHERN DISTRICT OF TEXAS</w:t>
      </w:r>
    </w:p>
    <w:p>
      <w:pPr>
        <w:spacing w:after="160"/>
        <w:jc w:val="center"/>
      </w:pPr>
      <w:r>
        <w:rPr>
          <w:rFonts w:ascii="Times New Roman" w:hAnsi="Times New Roman"/>
          <w:b/>
          <w:i w:val="0"/>
        </w:rPr>
        <w:t>DALLAS DIVISION</w:t>
      </w:r>
    </w:p>
    <w:tbl>
      <w:tblPr>
        <w:tblW w:type="auto" w:w="0"/>
        <w:jc w:val="center"/>
        <w:tblLayout w:type="fixed"/>
        <w:tblLook w:firstColumn="1" w:firstRow="1" w:lastColumn="0" w:lastRow="0" w:noHBand="0" w:noVBand="1" w:val="04A0"/>
      </w:tblPr>
      <w:tblGrid>
        <w:gridCol w:w="5328"/>
        <w:gridCol w:w="4032"/>
      </w:tblGrid>
      <w:tr>
        <w:trPr>
          <w:cantSplit/>
        </w:trPr>
        <w:tc>
          <w:tcPr>
            <w:tcW w:type="dxa" w:w="4680"/>
            <w:tcBorders>
              <w:top w:val="nil"/>
              <w:left w:val="nil"/>
              <w:bottom w:val="nil"/>
              <w:right w:val="nil"/>
              <w:insideH w:val="nil"/>
              <w:insideV w:val="nil"/>
            </w:tcBorders>
            <w:tcMar>
              <w:top w:w="50" w:type="dxa"/>
              <w:start w:w="100" w:type="dxa"/>
              <w:bottom w:w="50" w:type="dxa"/>
              <w:end w:w="100" w:type="dxa"/>
            </w:tcMar>
            <w:vAlign w:val="top"/>
          </w:tcPr>
          <w:p>
            <w:pPr>
              <w:spacing w:line="240" w:lineRule="auto" w:after="40"/>
            </w:pPr>
            <w:r/>
            <w:r>
              <w:rPr>
                <w:b/>
              </w:rPr>
              <w:t>WESTLAKE CAPITAL PARTNERS LLC,</w:t>
            </w:r>
          </w:p>
          <w:p>
            <w:pPr>
              <w:spacing w:line="240" w:lineRule="auto" w:after="0"/>
            </w:pPr>
          </w:p>
          <w:p>
            <w:pPr>
              <w:spacing w:line="240" w:lineRule="auto" w:after="0"/>
            </w:pPr>
            <w:r>
              <w:t>Plaintiff,</w:t>
            </w:r>
          </w:p>
          <w:p>
            <w:pPr>
              <w:spacing w:line="240" w:lineRule="auto" w:after="0"/>
            </w:pPr>
          </w:p>
          <w:p>
            <w:pPr>
              <w:spacing w:line="240" w:lineRule="auto" w:after="0"/>
            </w:pPr>
            <w:r>
              <w:t>v.</w:t>
            </w:r>
          </w:p>
          <w:p>
            <w:pPr>
              <w:spacing w:line="240" w:lineRule="auto" w:after="0"/>
            </w:pPr>
          </w:p>
          <w:p>
            <w:pPr>
              <w:spacing w:line="240" w:lineRule="auto" w:after="0"/>
            </w:pPr>
            <w:r>
              <w:t>GRAYDON STRATEGIC ADVISORS INC.;</w:t>
            </w:r>
          </w:p>
          <w:p>
            <w:pPr>
              <w:spacing w:line="240" w:lineRule="auto" w:after="0"/>
            </w:pPr>
            <w:r>
              <w:t>GRAYDON CAPITAL SOLUTIONS LLC; and</w:t>
            </w:r>
          </w:p>
          <w:p>
            <w:pPr>
              <w:spacing w:line="240" w:lineRule="auto" w:after="0"/>
            </w:pPr>
            <w:r>
              <w:t>TREVOR GRAYDON,</w:t>
            </w:r>
          </w:p>
          <w:p>
            <w:pPr>
              <w:spacing w:line="240" w:lineRule="auto" w:after="0"/>
            </w:pPr>
          </w:p>
          <w:p>
            <w:pPr>
              <w:spacing w:line="240" w:lineRule="auto" w:after="0"/>
            </w:pPr>
            <w:r>
              <w:t>Defendants.</w:t>
            </w:r>
          </w:p>
        </w:tc>
        <w:tc>
          <w:tcPr>
            <w:tcW w:type="dxa" w:w="4680"/>
            <w:tcBorders>
              <w:top w:val="nil"/>
              <w:left w:val="nil"/>
              <w:bottom w:val="nil"/>
              <w:right w:val="nil"/>
              <w:insideH w:val="nil"/>
              <w:insideV w:val="nil"/>
            </w:tcBorders>
            <w:tcMar>
              <w:top w:w="50" w:type="dxa"/>
              <w:start w:w="100" w:type="dxa"/>
              <w:bottom w:w="50" w:type="dxa"/>
              <w:end w:w="100" w:type="dxa"/>
            </w:tcMar>
            <w:vAlign w:val="top"/>
          </w:tcPr>
          <w:p>
            <w:pPr>
              <w:spacing w:line="240" w:lineRule="auto"/>
            </w:pPr>
            <w:r/>
            <w:r>
              <w:rPr>
                <w:b/>
              </w:rPr>
              <w:t>Civil Action No. 3:24-cv-________</w:t>
            </w:r>
          </w:p>
          <w:p>
            <w:pPr>
              <w:spacing w:line="240" w:lineRule="auto"/>
            </w:pPr>
          </w:p>
          <w:p>
            <w:pPr>
              <w:spacing w:line="240" w:lineRule="auto"/>
            </w:pPr>
          </w:p>
          <w:p>
            <w:pPr>
              <w:spacing w:line="240" w:lineRule="auto"/>
            </w:pPr>
            <w:r>
              <w:t>JURY TRIAL DEMANDED</w:t>
            </w:r>
          </w:p>
          <w:p>
            <w:pPr>
              <w:spacing w:line="240" w:lineRule="auto"/>
            </w:pPr>
          </w:p>
          <w:p>
            <w:pPr>
              <w:spacing w:line="240" w:lineRule="auto"/>
            </w:pPr>
            <w:r>
              <w:rPr>
                <w:b/>
              </w:rPr>
              <w:t>COMPLAINT FOR DAMAGES AND EQUITABLE RELIEF</w:t>
            </w:r>
          </w:p>
        </w:tc>
      </w:tr>
    </w:tbl>
    <w:p>
      <w:pPr>
        <w:spacing w:after="20"/>
      </w:pPr>
      <w:r>
        <w:rPr>
          <w:rFonts w:ascii="Times New Roman" w:hAnsi="Times New Roman"/>
          <w:b w:val="0"/>
          <w:i w:val="0"/>
        </w:rPr>
      </w:r>
    </w:p>
    <w:p>
      <w:pPr>
        <w:pStyle w:val="Heading1"/>
        <w:ind w:firstLine="0"/>
        <w:jc w:val="center"/>
      </w:pPr>
      <w:r>
        <w:t>COMPLAINT</w:t>
      </w:r>
    </w:p>
    <w:p>
      <w:pPr>
        <w:ind w:firstLine="648"/>
      </w:pPr>
      <w:r>
        <w:rPr>
          <w:rFonts w:ascii="Times New Roman" w:hAnsi="Times New Roman"/>
          <w:b w:val="0"/>
          <w:i w:val="0"/>
        </w:rPr>
        <w:t>Plaintiff Westlake Capital Partners LLC (“Westlake”) alleges against Defendants Graydon Strategic Advisors Inc. (“Graydon Strategic”), Graydon Capital Solutions LLC (“GCS”), and Trevor Graydon (“Trevor”), as follows:</w:t>
      </w:r>
    </w:p>
    <w:p>
      <w:pPr>
        <w:pStyle w:val="Heading2"/>
        <w:ind w:firstLine="0"/>
      </w:pPr>
      <w:r>
        <w:t>NATURE OF THE ACTION</w:t>
      </w:r>
    </w:p>
    <w:p>
      <w:pPr>
        <w:keepLines/>
        <w:ind w:hanging="576" w:left="576"/>
      </w:pPr>
      <w:r>
        <w:rPr>
          <w:b/>
        </w:rPr>
        <w:t xml:space="preserve">1.  </w:t>
      </w:r>
      <w:r>
        <w:t>This action arises from Graydon Strategic’s engagement as Westlake’s exclusive placement agent for Westlake Capital Partners Fund III LP (“Fund III”). During that engagement, Graydon Strategic personnel allegedly steered three prospective Fund III investors—Great Plains Public Employees’ Retirement System (“GPPERS”), Harborview Endowment Fund (“Harborview”), and Northshore Family Office LLC (“Northshore”)—to a competing fund managed by Ridgecrest Partners LP (“Ridgecrest”). The three investors later committed an aggregate $50 million to Cascadia Industrial Growth Fund IV (“Cascadia Fund IV”).</w:t>
      </w:r>
    </w:p>
    <w:p>
      <w:pPr>
        <w:keepLines/>
        <w:ind w:hanging="576" w:left="576"/>
      </w:pPr>
      <w:r>
        <w:rPr>
          <w:b/>
        </w:rPr>
        <w:t xml:space="preserve">2.  </w:t>
      </w:r>
      <w:r>
        <w:t>At the same time, GCS, an affiliate controlled by Trevor, had a written capital-introduction agreement with Ridgecrest providing for a 1.5% fee on qualifying commitments. That agreement was executed during Graydon Strategic’s placement-agent engagement and was not disclosed to Westlake.</w:t>
      </w:r>
    </w:p>
    <w:p>
      <w:pPr>
        <w:keepLines/>
        <w:ind w:hanging="576" w:left="576"/>
      </w:pPr>
      <w:r>
        <w:rPr>
          <w:b/>
        </w:rPr>
        <w:t xml:space="preserve">3.  </w:t>
      </w:r>
      <w:r>
        <w:t>Graydon Strategic also submitted milestone certifications that treated nonbinding pipeline items—including soft circles, verbal indications, and prospects in discussion—as if they satisfied the PAA’s commitment thresholds. Westlake paid $250,000 after each of three certifications, for a total of $750,000. Westlake seeks damages and appropriate equitable relief for breach of contract, breach of fiduciary duty, fraud, and, in the alternative, unjust enrichment.</w:t>
      </w:r>
    </w:p>
    <w:p>
      <w:pPr>
        <w:pStyle w:val="Heading2"/>
        <w:ind w:firstLine="0"/>
      </w:pPr>
      <w:r>
        <w:t>PARTIES</w:t>
      </w:r>
    </w:p>
    <w:p>
      <w:pPr>
        <w:keepLines/>
        <w:ind w:hanging="576" w:left="576"/>
      </w:pPr>
      <w:r>
        <w:rPr>
          <w:b/>
        </w:rPr>
        <w:t xml:space="preserve">4.  </w:t>
      </w:r>
      <w:r>
        <w:t>Plaintiff Westlake Capital Partners LLC is a Delaware limited liability company with its principal office at 2900 McKinney Avenue, Suite 1400, Dallas, Texas 75204. For diversity purposes, an LLC is a citizen of every state of citizenship of each of its members. Westlake’s complete membership and each member’s citizenship are: [INSERT VERIFIED COMPLETE MEMBER LIST AND CITIZENSHIP, INCLUDING ANY ENTITY MEMBERS AND THEIR OWNERSHIP CHAINS].</w:t>
      </w:r>
    </w:p>
    <w:p>
      <w:pPr>
        <w:keepLines/>
        <w:ind w:hanging="576" w:left="576"/>
      </w:pPr>
      <w:r>
        <w:rPr>
          <w:b/>
        </w:rPr>
        <w:t xml:space="preserve">5.  </w:t>
      </w:r>
      <w:r>
        <w:t>Defendant Graydon Strategic Advisors Inc. is a New York corporation with its principal office at 450 Park Avenue, 22nd Floor, New York, New York 10022. It is registered as a broker-dealer with FINRA (CRD No. 298714).</w:t>
      </w:r>
    </w:p>
    <w:p>
      <w:pPr>
        <w:keepLines/>
        <w:ind w:hanging="576" w:left="576"/>
      </w:pPr>
      <w:r>
        <w:rPr>
          <w:b/>
        </w:rPr>
        <w:t xml:space="preserve">6.  </w:t>
      </w:r>
      <w:r>
        <w:t>Defendant GCS is a Delaware limited liability company with its principal address at 450 Park Avenue, 22nd Floor, New York, New York 10022. On information and belief, Trevor is its sole member and manager. GCS’s citizenship for diversity purposes is therefore the citizenship of its member(s), not its state of formation or office. Its complete membership and citizenship are: [VERIFY AND INSERT].</w:t>
      </w:r>
    </w:p>
    <w:p>
      <w:pPr>
        <w:keepLines/>
        <w:ind w:hanging="576" w:left="576"/>
      </w:pPr>
      <w:r>
        <w:rPr>
          <w:b/>
        </w:rPr>
        <w:t xml:space="preserve">7.  </w:t>
      </w:r>
      <w:r>
        <w:t>Defendant Trevor Graydon is an individual who founded and serves as Chief Executive Officer, President, and majority shareholder of Graydon Strategic, and is GCS’s sole manager and member. Trevor is domiciled in and a citizen of [INSERT VERIFIED STATE OF DOMICILE]. Residence alone is not citizenship; domicile must be confirmed.</w:t>
      </w:r>
    </w:p>
    <w:p>
      <w:pPr>
        <w:pStyle w:val="Heading2"/>
        <w:ind w:firstLine="0"/>
      </w:pPr>
      <w:r>
        <w:t>JURISDICTION AND VENUE</w:t>
      </w:r>
    </w:p>
    <w:p>
      <w:pPr>
        <w:keepLines/>
        <w:ind w:hanging="576" w:left="576"/>
      </w:pPr>
      <w:r>
        <w:rPr>
          <w:b/>
        </w:rPr>
        <w:t xml:space="preserve">8.  </w:t>
      </w:r>
      <w:r>
        <w:t>This Court has subject-matter jurisdiction under 28 U.S.C. § 1332(a)(1) because the amount in controversy exceeds $75,000, exclusive of interest and costs, and complete diversity exists only if the citizenship information identified in paragraphs 4, 6, and 7 is verified and shows no overlap between Westlake and any Defendant. Westlake pleads diversity jurisdiction subject to completion of those required citizenship allegations before filing. No federal cause of action is asserted.</w:t>
      </w:r>
    </w:p>
    <w:p>
      <w:pPr>
        <w:keepLines/>
        <w:ind w:hanging="576" w:left="576"/>
      </w:pPr>
      <w:r>
        <w:rPr>
          <w:b/>
        </w:rPr>
        <w:t xml:space="preserve">9.  </w:t>
      </w:r>
      <w:r>
        <w:t>The amount in controversy exceeds $75,000. Westlake seeks, among other relief, recovery of three $250,000 milestone payments and additional damages and equitable relief according to proof. The monetary demands are made in good faith and are not offered as a limitation on recovery.</w:t>
      </w:r>
    </w:p>
    <w:p>
      <w:pPr>
        <w:keepLines/>
        <w:ind w:hanging="576" w:left="576"/>
      </w:pPr>
      <w:r>
        <w:rPr>
          <w:b/>
        </w:rPr>
        <w:t xml:space="preserve">10.  </w:t>
      </w:r>
      <w:r>
        <w:t>This Court may exercise personal jurisdiction over Graydon Strategic because it agreed in Section 12.2 of the Placement Agent Agreement (“PAA”) to the exclusive jurisdiction of state or federal courts located in Dallas County, Texas, for disputes arising under or in connection with the PAA. The Northern District of Texas, Dallas Division, is a federal court serving Dallas County.</w:t>
      </w:r>
    </w:p>
    <w:p>
      <w:pPr>
        <w:keepLines/>
        <w:ind w:hanging="576" w:left="576"/>
      </w:pPr>
      <w:r>
        <w:rPr>
          <w:b/>
        </w:rPr>
        <w:t xml:space="preserve">11.  </w:t>
      </w:r>
      <w:r>
        <w:t>Upon information and belief, Trevor and GCS purposefully directed relevant conduct toward Texas. Trevor, acting as Graydon Strategic’s Chief Executive Officer and GCS’s sole manager, approved the milestone certifications knowing they were directed to Westlake in Dallas and would be used to obtain payments from Westlake there. GCS’s Ridgecrest agreement contemplated use of Graydon affiliates and their institutional relationships; GCS and Trevor allegedly used relationships developed through Graydon Strategic’s engagement with the Texas-based Westlake to direct the same prospects to Ridgecrest for a fee. Westlake asserts specific jurisdiction over Trevor and GCS based on their own purposeful contacts and the claims arising from those contacts, not solely on Graydon Strategic’s forum-selection clause.</w:t>
      </w:r>
    </w:p>
    <w:p>
      <w:pPr>
        <w:keepLines/>
        <w:ind w:hanging="576" w:left="576"/>
      </w:pPr>
      <w:r>
        <w:rPr>
          <w:b/>
        </w:rPr>
        <w:t xml:space="preserve">12.  </w:t>
      </w:r>
      <w:r>
        <w:t>Venue is proper in this District under 28 U.S.C. § 1391(b)(2) because a substantial part of the events or omissions giving rise to the claims occurred in Dallas County: Westlake received and relied on the reports at its Dallas principal office, made the challenged payments from Dallas, and performed the PAA in part from Dallas. Venue as to Graydon Strategic is also consistent with Section 12.2 of the PAA. The forum-selection clause does not itself establish venue or personal jurisdiction over non-signatories.</w:t>
      </w:r>
    </w:p>
    <w:p>
      <w:pPr>
        <w:pStyle w:val="Heading2"/>
        <w:ind w:firstLine="0"/>
      </w:pPr>
      <w:r>
        <w:t>FACTUAL ALLEGATIONS</w:t>
      </w:r>
    </w:p>
    <w:p>
      <w:pPr>
        <w:pStyle w:val="Heading3"/>
        <w:ind w:firstLine="0"/>
      </w:pPr>
      <w:r>
        <w:t>A. The PAA and the milestone requirements</w:t>
      </w:r>
    </w:p>
    <w:p>
      <w:pPr>
        <w:keepLines/>
        <w:ind w:hanging="576" w:left="576"/>
      </w:pPr>
      <w:r>
        <w:rPr>
          <w:b/>
        </w:rPr>
        <w:t xml:space="preserve">13.  </w:t>
      </w:r>
      <w:r>
        <w:t>Westlake manages private investment funds focused on lower middle-market industrial services and specialty manufacturing acquisitions. Fund III, a Delaware limited partnership formed in November 2022, targeted $200 million in commitments, with a $225 million hard cap.</w:t>
      </w:r>
    </w:p>
    <w:p>
      <w:pPr>
        <w:keepLines/>
        <w:ind w:hanging="576" w:left="576"/>
      </w:pPr>
      <w:r>
        <w:rPr>
          <w:b/>
        </w:rPr>
        <w:t xml:space="preserve">14.  </w:t>
      </w:r>
      <w:r>
        <w:t>On January 18, 2023, Westlake and Graydon Strategic executed the PAA. Graydon Strategic was appointed as Westlake’s sole and exclusive placement agent for Fund III for an eighteen-month term ending July 18, 2024, absent earlier termination or written extension.</w:t>
      </w:r>
    </w:p>
    <w:p>
      <w:pPr>
        <w:keepLines/>
        <w:ind w:hanging="576" w:left="576"/>
      </w:pPr>
      <w:r>
        <w:rPr>
          <w:b/>
        </w:rPr>
        <w:t xml:space="preserve">15.  </w:t>
      </w:r>
      <w:r>
        <w:t>The PAA defines “Capital Commitment” as an investor’s binding written commitment to contribute capital to Fund III, evidenced by a fully executed subscription agreement accepted by Westlake in connection with a Fund closing. Sections 4.2 and 5.3 make milestone payments contingent on the Fund’s achievement of specified aggregate Capital Commitment thresholds and require a certification identifying investors and amounts. Section 5.3 warrants that each certification is true, accurate, and complete in all material respects.</w:t>
      </w:r>
    </w:p>
    <w:p>
      <w:pPr>
        <w:keepLines/>
        <w:ind w:hanging="576" w:left="576"/>
      </w:pPr>
      <w:r>
        <w:rPr>
          <w:b/>
        </w:rPr>
        <w:t xml:space="preserve">16.  </w:t>
      </w:r>
      <w:r>
        <w:t>Section 5.2 separately requires a monthly activity report identifying contacted investors, meetings, investor feedback, each investor’s anticipated amount and engagement stage, status changes, and material developments, including competitive activity. Section 5.1 requires Graydon Strategic to use commercially reasonable efforts to identify, contact, and solicit investors for Fund III.</w:t>
      </w:r>
    </w:p>
    <w:p>
      <w:pPr>
        <w:keepLines/>
        <w:ind w:hanging="576" w:left="576"/>
      </w:pPr>
      <w:r>
        <w:rPr>
          <w:b/>
        </w:rPr>
        <w:t xml:space="preserve">17.  </w:t>
      </w:r>
      <w:r>
        <w:t>Under Section 7.2, Graydon Strategic had to promptly disclose in writing a conflict arising during the term, including an arrangement under which it or an affiliate received compensation for placing, introducing, or referring investors to a competing fund. Section 7.4 prohibits Graydon Strategic, directly or indirectly, from soliciting, diverting, redirecting, or encouraging a Fund III investor or active prospect to invest in a competing fund without Westlake’s written consent. Section 7.4 expressly applies to actions of Graydon Strategic’s officers, employees, and agents, whether taken on behalf of Graydon Strategic or an affiliate.</w:t>
      </w:r>
    </w:p>
    <w:p>
      <w:pPr>
        <w:keepLines/>
        <w:ind w:hanging="576" w:left="576"/>
      </w:pPr>
      <w:r>
        <w:rPr>
          <w:b/>
        </w:rPr>
        <w:t xml:space="preserve">18.  </w:t>
      </w:r>
      <w:r>
        <w:t>Section 8.1 acknowledges Graydon Strategic’s fiduciary capacity and duties of loyalty, candor, and good faith, including full disclosure of material facts and conflicts and a prohibition on undisclosed self-dealing. Section 12.1 selects Texas law. Section 12.2 selects state or federal courts located in Dallas County, Texas. Section 12.3 provides for prevailing-party attorneys’ fees in an action to enforce the PAA.</w:t>
      </w:r>
    </w:p>
    <w:p>
      <w:pPr>
        <w:keepLines/>
        <w:ind w:hanging="576" w:left="576"/>
      </w:pPr>
      <w:r>
        <w:rPr>
          <w:b/>
        </w:rPr>
        <w:t xml:space="preserve">19.  </w:t>
      </w:r>
      <w:r>
        <w:t>Fund III closed on $35 million in April 2023 and an additional $52.5 million in October 2023, bringing reported closed commitments to $87.5 million. The identified diverted investors’ proposed commitments were prospects, not executed Fund III commitments accepted by Westlake.</w:t>
      </w:r>
    </w:p>
    <w:p>
      <w:pPr>
        <w:pStyle w:val="Heading3"/>
        <w:ind w:firstLine="0"/>
      </w:pPr>
      <w:r>
        <w:t>B. The undisclosed Ridgecrest arrangement</w:t>
      </w:r>
    </w:p>
    <w:p>
      <w:pPr>
        <w:keepLines/>
        <w:ind w:hanging="576" w:left="576"/>
      </w:pPr>
      <w:r>
        <w:rPr>
          <w:b/>
        </w:rPr>
        <w:t xml:space="preserve">20.  </w:t>
      </w:r>
      <w:r>
        <w:t>On August 1, 2023—during the PAA term—GCS entered a Capital Introduction Agreement with Ridgecrest. The agreement identifies GCS as an affiliate of Graydon Strategic and states that GCS could use affiliate personnel and relationships to perform capital-introduction services. Trevor signed for GCS as its sole manager and was to direct and oversee its performance.</w:t>
      </w:r>
    </w:p>
    <w:p>
      <w:pPr>
        <w:keepLines/>
        <w:ind w:hanging="576" w:left="576"/>
      </w:pPr>
      <w:r>
        <w:rPr>
          <w:b/>
        </w:rPr>
        <w:t xml:space="preserve">21.  </w:t>
      </w:r>
      <w:r>
        <w:t>The Ridgecrest agreement provides for a fee equal to 1.5% of capital commitments from investors introduced by GCS or whose investment was facilitated by its efforts. Based on the $50 million in commitments by GPPERS, Harborview, and Northshore to Cascadia Fund IV, Westlake estimates that GCS became entitled to approximately $750,000. The amount actually paid, retained, or still receivable is not yet known and is within Defendants’ possession or control.</w:t>
      </w:r>
    </w:p>
    <w:p>
      <w:pPr>
        <w:keepLines/>
        <w:ind w:hanging="576" w:left="576"/>
      </w:pPr>
      <w:r>
        <w:rPr>
          <w:b/>
        </w:rPr>
        <w:t xml:space="preserve">22.  </w:t>
      </w:r>
      <w:r>
        <w:t>Neither Graydon Strategic nor Trevor disclosed the Ridgecrest arrangement to Westlake during the PAA term. Graydon Strategic’s activity reports instead stated that no conflicts or other matters required disclosure. Westlake did not consent to the arrangement or to diversion of its Fund III prospects.</w:t>
      </w:r>
    </w:p>
    <w:p>
      <w:pPr>
        <w:pStyle w:val="Heading3"/>
        <w:ind w:firstLine="0"/>
      </w:pPr>
      <w:r>
        <w:t>C. The three investor diversions</w:t>
      </w:r>
    </w:p>
    <w:p>
      <w:pPr>
        <w:keepLines/>
        <w:ind w:hanging="576" w:left="576"/>
      </w:pPr>
      <w:r>
        <w:rPr>
          <w:b/>
        </w:rPr>
        <w:t xml:space="preserve">23.  </w:t>
      </w:r>
      <w:r>
        <w:t>GPPERS is a public pension system based in Nebraska. Graydon Strategic introduced GPPERS to Fund III and arranged multiple discussions. By August and November 2023, Graydon’s reports described GPPERS as a $25 million target or advanced opportunity. In January 2024, GPPERS committed $25 million to Cascadia Fund IV. Pruitt arranged meetings between GPPERS and Ridgecrest; Trevor personally attended at least one meeting at which Cascadia Fund IV was presented. The March 2024 report nevertheless described GPPERS as awaiting board approval for a Fund III commitment.</w:t>
      </w:r>
    </w:p>
    <w:p>
      <w:pPr>
        <w:keepLines/>
        <w:ind w:hanging="576" w:left="576"/>
      </w:pPr>
      <w:r>
        <w:rPr>
          <w:b/>
        </w:rPr>
        <w:t xml:space="preserve">24.  </w:t>
      </w:r>
      <w:r>
        <w:t>Harborview is the endowment of Harborview University in Oregon. Graydon Strategic arranged Fund III meetings with Harborview in June and August 2023, after which Harborview expressed interest in a potential $15 million commitment. In December 2023, Harborview committed $15 million to Cascadia Fund IV. Graydon’s January 2024 report described Harborview as a $15 million prospect for “re-engagement,” and the March report continued to carry it as a Fund III opportunity. Pruitt introduced the Cascadia opportunity to Harborview and described it as a potentially better fit for Harborview’s allocation needs.</w:t>
      </w:r>
    </w:p>
    <w:p>
      <w:pPr>
        <w:keepLines/>
        <w:ind w:hanging="576" w:left="576"/>
      </w:pPr>
      <w:r>
        <w:rPr>
          <w:b/>
        </w:rPr>
        <w:t xml:space="preserve">25.  </w:t>
      </w:r>
      <w:r>
        <w:t>Northshore is a Chicago-based family office. Graydon Strategic arranged Fund III meetings in July and September 2023, and its reports tracked a potential $10 million allocation. Beginning in November 2023, Graydon’s reports omitted Northshore without explaining its status. In February 2024, Northshore committed $10 million to Cascadia Fund IV. Northshore’s Chief Investment Officer told Westlake’s Director of Investor Relations that Graydon had arranged Northshore’s meetings with Ridgecrest. Trevor personally called Northshore’s principal to recommend Cascadia Fund IV.</w:t>
      </w:r>
    </w:p>
    <w:p>
      <w:pPr>
        <w:keepLines/>
        <w:ind w:hanging="576" w:left="576"/>
      </w:pPr>
      <w:r>
        <w:rPr>
          <w:b/>
        </w:rPr>
        <w:t xml:space="preserve">26.  </w:t>
      </w:r>
      <w:r>
        <w:t>The three Cascadia commitments total $50 million. The investor decisions were made by the investors, but Graydon Strategic and its personnel allegedly used a confidential, active Fund III pipeline and a conflicted Ridgecrest fee arrangement to direct the prospects to a competing fund, while failing to disclose the competing activity to Westlake.</w:t>
      </w:r>
    </w:p>
    <w:p>
      <w:pPr>
        <w:pStyle w:val="Heading3"/>
        <w:ind w:firstLine="0"/>
      </w:pPr>
      <w:r>
        <w:t>D. The milestone certifications and payments</w:t>
      </w:r>
    </w:p>
    <w:p>
      <w:pPr>
        <w:keepLines/>
        <w:ind w:hanging="576" w:left="576"/>
      </w:pPr>
      <w:r>
        <w:rPr>
          <w:b/>
        </w:rPr>
        <w:t xml:space="preserve">27.  </w:t>
      </w:r>
      <w:r>
        <w:t>May 2023 certification. A report dated May 8, 2023, prepared and signed by Nathaniel Pruitt, Senior Vice President and Head of Institutional Sales, and approved by Trevor, reported a $50.5 million milestone-qualifying pipeline as of April 30, 2023. It included $35 million in closed commitments, $7.5 million in soft circles or verbal commitments, and an $8 million GPPERS “indicative allocation.” The certification expressly combined commitments, soft circles, and late-stage indications even though the PAA defined a Capital Commitment as a binding, fully executed subscription accepted by Westlake. Westlake’s records showed $35 million closed as of that date; the other reported amounts had not been accepted as Fund III subscriptions. Westlake paid $250,000 on May 15, 2023.</w:t>
      </w:r>
    </w:p>
    <w:p>
      <w:pPr>
        <w:keepLines/>
        <w:ind w:hanging="576" w:left="576"/>
      </w:pPr>
      <w:r>
        <w:rPr>
          <w:b/>
        </w:rPr>
        <w:t xml:space="preserve">28.  </w:t>
      </w:r>
      <w:r>
        <w:t>September 2023 certification. A report dated September 9, 2023, prepared and signed by Pruitt and approved by Trevor, certified $101.5 million as of August 31, 2023. The report’s own breakdown included $35 million closed, $22.5 million in final documentation, and $44 million in soft circles or verbal indications. It identified GPPERS at $25 million, Harborview at $15 million, and Northshore at a verbal indication (with only partial credit used in the report’s tier calculation). Those items were not executed and accepted Fund III subscriptions. The report nevertheless treated them and other pipeline categories as sufficient to meet the $100 million contractual threshold. Westlake paid $250,000 on September 20, 2023.</w:t>
      </w:r>
    </w:p>
    <w:p>
      <w:pPr>
        <w:keepLines/>
        <w:ind w:hanging="576" w:left="576"/>
      </w:pPr>
      <w:r>
        <w:rPr>
          <w:b/>
        </w:rPr>
        <w:t xml:space="preserve">29.  </w:t>
      </w:r>
      <w:r>
        <w:t>March 2024 certification. A report dated March 8, 2024, prepared and signed by Pruitt and approved by Trevor, certified $152 million as of February 28, 2024, and requested the $150 million milestone payment. The report itself listed $87.5 million closed, $14.5 million in documentation, $40 million in soft circles or advanced discussions, and $10 million in active prospects. It continued to include GPPERS as a $25 million Fund III opportunity and Harborview as a $15 million opportunity even though each had already committed to Cascadia Fund IV. Northshore, which had committed to Cascadia in February, was no longer listed. The remaining reported pipeline was not accepted Fund III Capital Commitments under the PAA. Westlake paid $250,000 on March 12, 2024.</w:t>
      </w:r>
    </w:p>
    <w:p>
      <w:pPr>
        <w:keepLines/>
        <w:ind w:hanging="576" w:left="576"/>
      </w:pPr>
      <w:r>
        <w:rPr>
          <w:b/>
        </w:rPr>
        <w:t xml:space="preserve">30.  </w:t>
      </w:r>
      <w:r>
        <w:t>The PAA allowed Westlake to rely on each certification. Westlake did so and paid a total of $750,000 in milestone payments. The reports’ own labels and calculations show that Graydon Strategic counted pipeline, preliminary indications, soft circles, verbal commitments, and prospects—not only binding written Fund III commitments accepted at a closing. The certifications therefore misstated that the contractual thresholds had been achieved.</w:t>
      </w:r>
    </w:p>
    <w:p>
      <w:pPr>
        <w:keepLines/>
        <w:ind w:hanging="576" w:left="576"/>
      </w:pPr>
      <w:r>
        <w:rPr>
          <w:b/>
        </w:rPr>
        <w:t xml:space="preserve">31.  </w:t>
      </w:r>
      <w:r>
        <w:t>Each report identified Pruitt as preparer and signatory and Trevor as approver. Graydon Strategic and Trevor knew, or acted with reckless disregard of whether, pipeline prospects without accepted subscription agreements were not Capital Commitments under the PAA. For the September 2023 and March 2024 certifications, their knowledge is further supported by the Ridgecrest agreement, their direct involvement in presenting Cascadia to the same prospects, and the reports’ failure to disclose those investors’ competing commitments or the conflict.</w:t>
      </w:r>
    </w:p>
    <w:p>
      <w:pPr>
        <w:pStyle w:val="Heading3"/>
        <w:ind w:firstLine="0"/>
      </w:pPr>
      <w:r>
        <w:t>E. Discovery, demand, and refusal</w:t>
      </w:r>
    </w:p>
    <w:p>
      <w:pPr>
        <w:keepLines/>
        <w:ind w:hanging="576" w:left="576"/>
      </w:pPr>
      <w:r>
        <w:rPr>
          <w:b/>
        </w:rPr>
        <w:t xml:space="preserve">32.  </w:t>
      </w:r>
      <w:r>
        <w:t>Westlake did not know of the Ridgecrest arrangement or the diversion until April 17, 2024, when its Director of Investor Relations spoke with Northshore’s Chief Investment Officer at an industry conference in Chicago. The CIO disclosed Northshore’s Cascadia commitment and Graydon’s role in arranging Ridgecrest meetings. Before that disclosure, Graydon’s reports did not reveal the arrangement or the diversions and, in material respects, suggested those prospects remained in the Fund III pipeline.</w:t>
      </w:r>
    </w:p>
    <w:p>
      <w:pPr>
        <w:keepLines/>
        <w:ind w:hanging="576" w:left="576"/>
      </w:pPr>
      <w:r>
        <w:rPr>
          <w:b/>
        </w:rPr>
        <w:t xml:space="preserve">33.  </w:t>
      </w:r>
      <w:r>
        <w:t>After the disclosure, Westlake promptly preserved relevant business records and investigated the reported conduct.</w:t>
      </w:r>
    </w:p>
    <w:p>
      <w:pPr>
        <w:keepLines/>
        <w:ind w:hanging="576" w:left="576"/>
      </w:pPr>
      <w:r>
        <w:rPr>
          <w:b/>
        </w:rPr>
        <w:t xml:space="preserve">34.  </w:t>
      </w:r>
      <w:r>
        <w:t>On June 3, 2024, Westlake, through counsel, sent Graydon Strategic a written demand identifying the alleged breaches and requesting an accounting, return of milestone payments, disgorgement of conflicted fees, cessation of competing solicitations, and preservation of records. On June 18, 2024, Graydon Strategic’s counsel denied liability and rejected the demands. Graydon has not provided the requested accounting or payment.</w:t>
      </w:r>
    </w:p>
    <w:p>
      <w:pPr>
        <w:pStyle w:val="Heading3"/>
        <w:ind w:firstLine="0"/>
      </w:pPr>
      <w:r>
        <w:t>F. Damages</w:t>
      </w:r>
    </w:p>
    <w:p>
      <w:pPr>
        <w:keepLines/>
        <w:ind w:hanging="576" w:left="576"/>
      </w:pPr>
      <w:r>
        <w:rPr>
          <w:b/>
        </w:rPr>
        <w:t xml:space="preserve">35.  </w:t>
      </w:r>
      <w:r>
        <w:t>As a direct and proximate result of Defendants’ conduct, Westlake has sustained damages in an amount to be proven at trial. Its current preliminary estimate is approximately $14.73 million, subject to proof, ownership of the underlying economic rights, expert analysis, offsets, and the prohibition against double recovery. That estimate includes the $750,000 in challenged milestone payments; estimated management-fee revenue associated with the $50 million diverted commitments; an estimated lost carried-interest component; $280,000 in retainers paid during November 2023 through June 2024; and consequential fundraising, replacement-agent, and remediation costs.</w:t>
      </w:r>
    </w:p>
    <w:p>
      <w:pPr>
        <w:keepLines/>
        <w:ind w:hanging="576" w:left="576"/>
      </w:pPr>
      <w:r>
        <w:rPr>
          <w:b/>
        </w:rPr>
        <w:t xml:space="preserve">36.  </w:t>
      </w:r>
      <w:r>
        <w:t>The management-fee estimate applies a 2.0% annual fee to $50 million over a five-year investment period. The carry estimate is a conservative $7.5 million projection based on Fund I and Fund II historical returns and Fund III’s 20% carry above an 8% preferred return. The carry estimate is inherently uncertain, depends on future fund performance, and will require expert support. Westlake seeks only damages that it is legally entitled to recover and can establish with reasonable certainty.</w:t>
      </w:r>
    </w:p>
    <w:p>
      <w:pPr>
        <w:keepLines/>
        <w:ind w:hanging="576" w:left="576"/>
      </w:pPr>
      <w:r>
        <w:rPr>
          <w:b/>
        </w:rPr>
        <w:t xml:space="preserve">37.  </w:t>
      </w:r>
      <w:r>
        <w:t>Westlake separately seeks restitution/disgorgement from GCS, estimated at approximately $750,000 based on the contractual 1.5% fee and the three Cascadia commitments, to the extent GCS received, retained, or became entitled to that benefit. This equitable amount is not included in the $14.73 million compensatory estimate; any judgment must avoid duplicative recovery.</w:t>
      </w:r>
    </w:p>
    <w:p>
      <w:pPr>
        <w:pStyle w:val="Heading2"/>
        <w:ind w:firstLine="0"/>
      </w:pPr>
      <w:r>
        <w:t>COUNT I — BREACH OF CONTRACT</w:t>
      </w:r>
    </w:p>
    <w:p>
      <w:r>
        <w:rPr>
          <w:rFonts w:ascii="Times New Roman" w:hAnsi="Times New Roman"/>
          <w:b w:val="0"/>
          <w:i/>
        </w:rPr>
        <w:t>(Against Graydon Strategic Advisors Inc.)</w:t>
      </w:r>
    </w:p>
    <w:p>
      <w:pPr>
        <w:keepLines/>
        <w:ind w:hanging="576" w:left="576"/>
      </w:pPr>
      <w:r>
        <w:rPr>
          <w:b/>
        </w:rPr>
        <w:t xml:space="preserve">38.  </w:t>
      </w:r>
      <w:r>
        <w:t>Westlake incorporates paragraphs 1–37.</w:t>
      </w:r>
    </w:p>
    <w:p>
      <w:pPr>
        <w:keepLines/>
        <w:ind w:hanging="576" w:left="576"/>
      </w:pPr>
      <w:r>
        <w:rPr>
          <w:b/>
        </w:rPr>
        <w:t xml:space="preserve">39.  </w:t>
      </w:r>
      <w:r>
        <w:t>The PAA is a valid and enforceable contract between Westlake and Graydon Strategic. Westlake performed its material obligations, including payment of amounts Graydon represented were due, or its performance was excused by Graydon Strategic’s prior material breach.</w:t>
      </w:r>
    </w:p>
    <w:p>
      <w:pPr>
        <w:keepLines/>
        <w:ind w:hanging="576" w:left="576"/>
      </w:pPr>
      <w:r>
        <w:rPr>
          <w:b/>
        </w:rPr>
        <w:t xml:space="preserve">40.  </w:t>
      </w:r>
      <w:r>
        <w:t>Graydon Strategic materially breached the PAA, including Sections 5.1, 5.2, 5.3, 7.2, 7.4, and 8.1, by failing to use its exclusive engagement for Fund III’s benefit; failing to disclose the Ridgecrest arrangement and resulting conflict; directing or permitting its personnel to divert Fund III prospects to Cascadia Fund IV; failing to report material competitive developments and investor status changes; submitting inaccurate milestone certifications; and obtaining undisclosed compensation through an affiliate.</w:t>
      </w:r>
    </w:p>
    <w:p>
      <w:pPr>
        <w:keepLines/>
        <w:ind w:hanging="576" w:left="576"/>
      </w:pPr>
      <w:r>
        <w:rPr>
          <w:b/>
        </w:rPr>
        <w:t xml:space="preserve">41.  </w:t>
      </w:r>
      <w:r>
        <w:t>The PAA’s non-solicitation restriction continued for twelve months after expiration, through July 18, 2025, absent a written extension or other change in the term. Graydon Strategic’s covered conduct during the term breached Section 7.4. To the extent Graydon Strategic or its personnel continue prohibited activity, Westlake seeks relief only within the contractual scope and duration of that provision.</w:t>
      </w:r>
    </w:p>
    <w:p>
      <w:pPr>
        <w:keepLines/>
        <w:ind w:hanging="576" w:left="576"/>
      </w:pPr>
      <w:r>
        <w:rPr>
          <w:b/>
        </w:rPr>
        <w:t xml:space="preserve">42.  </w:t>
      </w:r>
      <w:r>
        <w:t>The breaches proximately caused Westlake’s damages, including the milestone payments, other economic losses according to proof, and recoverable attorneys’ fees under Section 12.3. The PAA’s Section 10.3 consequential-damages limitation does not apply to claims involving fraud, willful misconduct, or breach of Sections 7.2, 7.3, 7.4, or 8, as pleaded here. Westlake seeks no double recovery.</w:t>
      </w:r>
    </w:p>
    <w:p>
      <w:pPr>
        <w:pStyle w:val="Heading2"/>
        <w:ind w:firstLine="0"/>
      </w:pPr>
      <w:r>
        <w:t>COUNT II — BREACH OF FIDUCIARY DUTY</w:t>
      </w:r>
    </w:p>
    <w:p>
      <w:r>
        <w:rPr>
          <w:rFonts w:ascii="Times New Roman" w:hAnsi="Times New Roman"/>
          <w:b w:val="0"/>
          <w:i/>
        </w:rPr>
        <w:t>(Against Graydon Strategic Advisors Inc.; Trevor Graydon to the extent permitted by law for his own participation)</w:t>
      </w:r>
    </w:p>
    <w:p>
      <w:pPr>
        <w:keepLines/>
        <w:ind w:hanging="576" w:left="576"/>
      </w:pPr>
      <w:r>
        <w:rPr>
          <w:b/>
        </w:rPr>
        <w:t xml:space="preserve">43.  </w:t>
      </w:r>
      <w:r>
        <w:t>Westlake incorporates paragraphs 1–37.</w:t>
      </w:r>
    </w:p>
    <w:p>
      <w:pPr>
        <w:keepLines/>
        <w:ind w:hanging="576" w:left="576"/>
      </w:pPr>
      <w:r>
        <w:rPr>
          <w:b/>
        </w:rPr>
        <w:t xml:space="preserve">44.  </w:t>
      </w:r>
      <w:r>
        <w:t>Graydon Strategic acted as Westlake’s placement agent and acknowledged in Section 8.1 of the PAA that it owed fiduciary duties of loyalty, candor, and good faith, including full disclosure of conflicts and refraining from undisclosed self-dealing. The agency relationship also supports duties under applicable law.</w:t>
      </w:r>
    </w:p>
    <w:p>
      <w:pPr>
        <w:keepLines/>
        <w:ind w:hanging="576" w:left="576"/>
      </w:pPr>
      <w:r>
        <w:rPr>
          <w:b/>
        </w:rPr>
        <w:t xml:space="preserve">45.  </w:t>
      </w:r>
      <w:r>
        <w:t>Graydon Strategic breached those duties by secretly entering and performing the Ridgecrest arrangement through GCS; using its position and access to Westlake’s investor pipeline to direct prospects to a competing fund for an affiliate’s fee; concealing the conflict and investor diversions; and making or approving materially misleading reports while continuing to collect compensation from Westlake.</w:t>
      </w:r>
    </w:p>
    <w:p>
      <w:pPr>
        <w:keepLines/>
        <w:ind w:hanging="576" w:left="576"/>
      </w:pPr>
      <w:r>
        <w:rPr>
          <w:b/>
        </w:rPr>
        <w:t xml:space="preserve">46.  </w:t>
      </w:r>
      <w:r>
        <w:t>Trevor personally executed the GCS-Ridgecrest agreement, attended at least one GPPERS meeting at which Cascadia was presented, personally recommended Cascadia to Northshore’s principal, and approved each of the three milestone reports. Westlake seeks to hold Trevor liable for his own actionable conduct and participation, not merely because he held corporate office. To the extent a direct fiduciary duty or knowing-participation theory is not available on the facts, Westlake pleads its claims against Trevor in the alternative under applicable Texas law.</w:t>
      </w:r>
    </w:p>
    <w:p>
      <w:pPr>
        <w:keepLines/>
        <w:ind w:hanging="576" w:left="576"/>
      </w:pPr>
      <w:r>
        <w:rPr>
          <w:b/>
        </w:rPr>
        <w:t xml:space="preserve">47.  </w:t>
      </w:r>
      <w:r>
        <w:t>The breaches caused actual damages and unjust benefits according to proof. Westlake seeks appropriate equitable disgorgement and other relief, without duplication.</w:t>
      </w:r>
    </w:p>
    <w:p>
      <w:pPr>
        <w:pStyle w:val="Heading2"/>
        <w:ind w:firstLine="0"/>
      </w:pPr>
      <w:r>
        <w:t>COUNT III — FRAUD / FRAUDULENT MISREPRESENTATION</w:t>
      </w:r>
    </w:p>
    <w:p>
      <w:r>
        <w:rPr>
          <w:rFonts w:ascii="Times New Roman" w:hAnsi="Times New Roman"/>
          <w:b w:val="0"/>
          <w:i/>
        </w:rPr>
        <w:t>(Against Graydon Strategic Advisors Inc. and Trevor Graydon)</w:t>
      </w:r>
    </w:p>
    <w:p>
      <w:pPr>
        <w:keepLines/>
        <w:ind w:hanging="576" w:left="576"/>
      </w:pPr>
      <w:r>
        <w:rPr>
          <w:b/>
        </w:rPr>
        <w:t xml:space="preserve">48.  </w:t>
      </w:r>
      <w:r>
        <w:t>Westlake incorporates paragraphs 1–37.</w:t>
      </w:r>
    </w:p>
    <w:p>
      <w:pPr>
        <w:keepLines/>
        <w:ind w:hanging="576" w:left="576"/>
      </w:pPr>
      <w:r>
        <w:rPr>
          <w:b/>
        </w:rPr>
        <w:t xml:space="preserve">49.  </w:t>
      </w:r>
      <w:r>
        <w:t>The May 8, 2023 report and certification, prepared and signed by Pruitt and approved by Trevor, represented that $50.5 million in commitments, soft circles, and late-stage indications satisfied the $50 million milestone. The September 9, 2023 report and certification, prepared and signed by Pruitt and approved by Trevor, represented that $101.5 million in closed commitments and pipeline satisfied the $100 million milestone. The March 8, 2024 report and certification, prepared and signed by Pruitt and approved by Trevor, represented that $152 million in closed commitments and pipeline satisfied the $150 million milestone. Each report was delivered to Westlake’s identified principals for the PAA engagement and was received and relied on in Dallas, Texas.</w:t>
      </w:r>
    </w:p>
    <w:p>
      <w:pPr>
        <w:keepLines/>
        <w:ind w:hanging="576" w:left="576"/>
      </w:pPr>
      <w:r>
        <w:rPr>
          <w:b/>
        </w:rPr>
        <w:t xml:space="preserve">50.  </w:t>
      </w:r>
      <w:r>
        <w:t>The material falsity was that the PAA’s defined milestone metric was aggregate binding written Capital Commitments evidenced by fully executed subscription agreements accepted by Westlake—not unaccepted prospects, soft circles, verbal indications, active discussions, or commitments to Cascadia Fund IV. The reports’ own schedules disclosed that substantial components were only in documentation or pipeline. By March 2024, GPPERS and Harborview had already committed to Cascadia, and Northshore had also committed there, yet Graydon continued to report a threshold-satisfying Fund III pipeline.</w:t>
      </w:r>
    </w:p>
    <w:p>
      <w:pPr>
        <w:keepLines/>
        <w:ind w:hanging="576" w:left="576"/>
      </w:pPr>
      <w:r>
        <w:rPr>
          <w:b/>
        </w:rPr>
        <w:t xml:space="preserve">51.  </w:t>
      </w:r>
      <w:r>
        <w:t>Graydon Strategic, acting through Pruitt, made and transmitted the reports; Trevor approved each certification. Graydon Strategic and Trevor knew the certifications would be used to trigger milestone payments, intended Westlake to act on them, and knew or recklessly disregarded that the reported pipeline was not comprised of accepted Fund III Capital Commitments. Their knowledge and intent may be inferred from the PAA’s express definition and reporting requirements, their control of the underlying pipeline, their approval of the reports, and the undisclosed Ridgecrest agreement and investor contacts.</w:t>
      </w:r>
    </w:p>
    <w:p>
      <w:pPr>
        <w:keepLines/>
        <w:ind w:hanging="576" w:left="576"/>
      </w:pPr>
      <w:r>
        <w:rPr>
          <w:b/>
        </w:rPr>
        <w:t xml:space="preserve">52.  </w:t>
      </w:r>
      <w:r>
        <w:t>Westlake actually and justifiably relied on the certifications, as Section 4.2 expressly permitted, and paid $250,000 on May 15, 2023; $250,000 on September 20, 2023; and $250,000 on March 12, 2024. The false statements proximately caused the loss of $750,000 and other damages according to proof. Westlake discovered the concealed conflict and diversions in April 2024 despite reasonable reliance on Graydon’s reports.</w:t>
      </w:r>
    </w:p>
    <w:p>
      <w:pPr>
        <w:keepLines/>
        <w:ind w:hanging="576" w:left="576"/>
      </w:pPr>
      <w:r>
        <w:rPr>
          <w:b/>
        </w:rPr>
        <w:t xml:space="preserve">53.  </w:t>
      </w:r>
      <w:r>
        <w:t>The fraud allegations identify the content and dates of each statement, the report preparer and signatory, Trevor’s approval, the recipients and Dallas receipt, the contractual meaning that made the statements misleading, the payments induced, and the facts supporting knowledge and intent. To the extent further particulars concerning transmission or approval reside exclusively with Defendants, Westlake will seek them in discovery.</w:t>
      </w:r>
    </w:p>
    <w:p>
      <w:pPr>
        <w:pStyle w:val="Heading2"/>
        <w:ind w:firstLine="0"/>
      </w:pPr>
      <w:r>
        <w:t>COUNT IV — UNJUST ENRICHMENT (IN THE ALTERNATIVE)</w:t>
      </w:r>
    </w:p>
    <w:p>
      <w:r>
        <w:rPr>
          <w:rFonts w:ascii="Times New Roman" w:hAnsi="Times New Roman"/>
          <w:b w:val="0"/>
          <w:i/>
        </w:rPr>
        <w:t>(Against Graydon Capital Solutions LLC and, to the extent he received or retained the benefit, Trevor Graydon)</w:t>
      </w:r>
    </w:p>
    <w:p>
      <w:pPr>
        <w:keepLines/>
        <w:ind w:hanging="576" w:left="576"/>
      </w:pPr>
      <w:r>
        <w:rPr>
          <w:b/>
        </w:rPr>
        <w:t xml:space="preserve">54.  </w:t>
      </w:r>
      <w:r>
        <w:t>Westlake incorporates paragraphs 1–37.</w:t>
      </w:r>
    </w:p>
    <w:p>
      <w:pPr>
        <w:keepLines/>
        <w:ind w:hanging="576" w:left="576"/>
      </w:pPr>
      <w:r>
        <w:rPr>
          <w:b/>
        </w:rPr>
        <w:t xml:space="preserve">55.  </w:t>
      </w:r>
      <w:r>
        <w:t>This count is pleaded in the alternative to the extent no express contract governs Westlake’s claim to the benefit obtained by GCS and/or Trevor. Neither GCS nor Trevor is a party to the PAA. GCS entered the Ridgecrest agreement through Trevor and allegedly used the Graydon affiliate network and Fund III investor relationships to obtain or become entitled to compensation for introductions to Cascadia Fund IV.</w:t>
      </w:r>
    </w:p>
    <w:p>
      <w:pPr>
        <w:keepLines/>
        <w:ind w:hanging="576" w:left="576"/>
      </w:pPr>
      <w:r>
        <w:rPr>
          <w:b/>
        </w:rPr>
        <w:t xml:space="preserve">56.  </w:t>
      </w:r>
      <w:r>
        <w:t>GCS allegedly received or became entitled to approximately $750,000 in fees on the $50 million in Cascadia commitments by the three Fund III prospects. Trevor, as GCS’s sole member and manager, allegedly controlled the fee arrangement and may have received or retained distributions. The actual fee payments, distributions, and remaining receivable are within Defendants’ control.</w:t>
      </w:r>
    </w:p>
    <w:p>
      <w:pPr>
        <w:keepLines/>
        <w:ind w:hanging="576" w:left="576"/>
      </w:pPr>
      <w:r>
        <w:rPr>
          <w:b/>
        </w:rPr>
        <w:t xml:space="preserve">57.  </w:t>
      </w:r>
      <w:r>
        <w:t>In equity and good conscience, a Defendant should not retain any identifiable benefit obtained through the alleged concealed conflict, use of the Fund III pipeline, and diversion of prospects. Westlake seeks restitution of the amount actually received or retained, an accounting limited to those proceeds, and a constructive trust or other appropriate equitable remedy over traceable proceeds, to the extent permitted by law. If the evidence shows no benefit was paid to Trevor, no personal restitution is sought from him on that basis.</w:t>
      </w:r>
    </w:p>
    <w:p>
      <w:pPr>
        <w:pStyle w:val="Heading2"/>
        <w:ind w:firstLine="0"/>
      </w:pPr>
      <w:r>
        <w:t>PRAYER FOR RELIEF</w:t>
      </w:r>
    </w:p>
    <w:p>
      <w:r>
        <w:rPr>
          <w:rFonts w:ascii="Times New Roman" w:hAnsi="Times New Roman"/>
          <w:b w:val="0"/>
          <w:i w:val="0"/>
        </w:rPr>
        <w:t>WHEREFORE, Plaintiff respectfully requests that the Court:</w:t>
      </w:r>
    </w:p>
    <w:p>
      <w:pPr>
        <w:keepLines/>
        <w:ind w:left="504" w:hanging="360"/>
      </w:pPr>
      <w:r>
        <w:t>A. enter judgment for Westlake and against the responsible Defendant(s) on the claims proven at trial;</w:t>
      </w:r>
    </w:p>
    <w:p>
      <w:pPr>
        <w:keepLines/>
        <w:ind w:left="504" w:hanging="360"/>
      </w:pPr>
      <w:r>
        <w:t>B. award compensatory and actual damages according to proof, presently estimated at approximately $14,730,000, subject to evidentiary support, legal recoverability, offsets, and no double recovery;</w:t>
      </w:r>
    </w:p>
    <w:p>
      <w:pPr>
        <w:keepLines/>
        <w:ind w:left="504" w:hanging="360"/>
      </w:pPr>
      <w:r>
        <w:t>C. order restitution or disgorgement of GCS’s and/or Trevor’s proven, traceable Ridgecrest-related fees or benefits, presently estimated at approximately $750,000, to the extent received or retained and not duplicative of compensatory relief;</w:t>
      </w:r>
    </w:p>
    <w:p>
      <w:pPr>
        <w:keepLines/>
        <w:ind w:left="504" w:hanging="360"/>
      </w:pPr>
      <w:r>
        <w:t>D. award exemplary damages against the responsible Defendant(s) only to the extent authorized by Texas law and supported by the required proof;</w:t>
      </w:r>
    </w:p>
    <w:p>
      <w:pPr>
        <w:keepLines/>
        <w:ind w:left="504" w:hanging="360"/>
      </w:pPr>
      <w:r>
        <w:t>E. grant appropriate declaratory and permanent injunctive relief to enforce the PAA’s surviving non-solicitation obligations through their lawful expiration, but only upon proof of an ongoing or imminent violation and only within the scope of the PAA;</w:t>
      </w:r>
    </w:p>
    <w:p>
      <w:pPr>
        <w:keepLines/>
        <w:ind w:left="504" w:hanging="360"/>
      </w:pPr>
      <w:r>
        <w:t>F. award pre- and post-judgment interest as allowed by law;</w:t>
      </w:r>
    </w:p>
    <w:p>
      <w:pPr>
        <w:keepLines/>
        <w:ind w:left="504" w:hanging="360"/>
      </w:pPr>
      <w:r>
        <w:t>G. award reasonable attorneys’ fees and costs under the PAA and applicable law; and</w:t>
      </w:r>
    </w:p>
    <w:p>
      <w:pPr>
        <w:keepLines/>
        <w:ind w:left="504" w:hanging="360"/>
      </w:pPr>
      <w:r>
        <w:t>H. grant such other and further relief, at law or in equity, as the Court deems just and proper.</w:t>
      </w:r>
    </w:p>
    <w:p>
      <w:pPr>
        <w:pStyle w:val="Heading2"/>
        <w:ind w:firstLine="0"/>
      </w:pPr>
      <w:r>
        <w:t>JURY DEMAND</w:t>
      </w:r>
    </w:p>
    <w:p>
      <w:pPr>
        <w:ind w:firstLine="648"/>
      </w:pPr>
      <w:r>
        <w:rPr>
          <w:rFonts w:ascii="Times New Roman" w:hAnsi="Times New Roman"/>
          <w:b w:val="0"/>
          <w:i w:val="0"/>
        </w:rPr>
        <w:t>Pursuant to Federal Rule of Civil Procedure 38, Plaintiff demands a trial by jury on all issues so triable.</w:t>
      </w:r>
    </w:p>
    <w:p>
      <w:pPr>
        <w:spacing w:before="240"/>
      </w:pPr>
      <w:r>
        <w:rPr>
          <w:rFonts w:ascii="Times New Roman" w:hAnsi="Times New Roman"/>
          <w:b w:val="0"/>
          <w:i w:val="0"/>
        </w:rPr>
        <w:t>Respectfully submitted,</w:t>
      </w:r>
    </w:p>
    <w:p>
      <w:r>
        <w:rPr>
          <w:rFonts w:ascii="Times New Roman" w:hAnsi="Times New Roman"/>
          <w:b/>
          <w:i w:val="0"/>
        </w:rPr>
        <w:t>KENDRICK, LYLE &amp; STRAUSS LLP</w:t>
      </w:r>
    </w:p>
    <w:p>
      <w:pPr>
        <w:spacing w:line="240" w:lineRule="auto"/>
      </w:pPr>
      <w:r>
        <w:rPr>
          <w:rFonts w:ascii="Times New Roman" w:hAnsi="Times New Roman"/>
          <w:b w:val="0"/>
          <w:i w:val="0"/>
        </w:rPr>
        <w:t>1700 Pacific Avenue, Suite 3200</w:t>
      </w:r>
    </w:p>
    <w:p>
      <w:pPr>
        <w:spacing w:line="240" w:lineRule="auto"/>
      </w:pPr>
      <w:r>
        <w:rPr>
          <w:rFonts w:ascii="Times New Roman" w:hAnsi="Times New Roman"/>
          <w:b w:val="0"/>
          <w:i w:val="0"/>
        </w:rPr>
        <w:t>Dallas, Texas 75201</w:t>
      </w:r>
    </w:p>
    <w:p>
      <w:pPr>
        <w:spacing w:line="240" w:lineRule="auto"/>
      </w:pPr>
      <w:r>
        <w:rPr>
          <w:rFonts w:ascii="Times New Roman" w:hAnsi="Times New Roman"/>
          <w:b w:val="0"/>
          <w:i w:val="0"/>
        </w:rPr>
        <w:t>Telephone: (214) 553-8140</w:t>
      </w:r>
    </w:p>
    <w:p>
      <w:pPr>
        <w:spacing w:line="240" w:lineRule="auto"/>
      </w:pPr>
      <w:r>
        <w:rPr>
          <w:rFonts w:ascii="Times New Roman" w:hAnsi="Times New Roman"/>
          <w:b w:val="0"/>
          <w:i w:val="0"/>
        </w:rPr>
        <w:t>Email: caldridge@kendricklyle.com</w:t>
      </w:r>
    </w:p>
    <w:p>
      <w:pPr>
        <w:spacing w:after="20"/>
      </w:pPr>
      <w:r>
        <w:rPr>
          <w:rFonts w:ascii="Times New Roman" w:hAnsi="Times New Roman"/>
          <w:b w:val="0"/>
          <w:i w:val="0"/>
        </w:rPr>
      </w:r>
    </w:p>
    <w:p>
      <w:pPr>
        <w:spacing w:line="240" w:lineRule="auto"/>
      </w:pPr>
      <w:r>
        <w:rPr>
          <w:rFonts w:ascii="Times New Roman" w:hAnsi="Times New Roman"/>
          <w:b w:val="0"/>
          <w:i w:val="0"/>
        </w:rPr>
        <w:t>By: /s/ Catherine M. Aldridge</w:t>
      </w:r>
    </w:p>
    <w:p>
      <w:pPr>
        <w:spacing w:line="240" w:lineRule="auto"/>
      </w:pPr>
      <w:r>
        <w:rPr>
          <w:rFonts w:ascii="Times New Roman" w:hAnsi="Times New Roman"/>
          <w:b w:val="0"/>
          <w:i w:val="0"/>
        </w:rPr>
        <w:t>Catherine M. Aldridge</w:t>
      </w:r>
    </w:p>
    <w:p>
      <w:pPr>
        <w:spacing w:line="240" w:lineRule="auto"/>
      </w:pPr>
      <w:r>
        <w:rPr>
          <w:rFonts w:ascii="Times New Roman" w:hAnsi="Times New Roman"/>
          <w:b w:val="0"/>
          <w:i w:val="0"/>
        </w:rPr>
        <w:t>Texas Bar No. [INSERT]</w:t>
      </w:r>
    </w:p>
    <w:p>
      <w:pPr>
        <w:spacing w:line="240" w:lineRule="auto"/>
      </w:pPr>
      <w:r>
        <w:rPr>
          <w:rFonts w:ascii="Times New Roman" w:hAnsi="Times New Roman"/>
          <w:b/>
          <w:i w:val="0"/>
        </w:rPr>
        <w:t>ATTORNEYS FOR PLAINTIFF WESTLAKE CAPITAL PARTNERS LLC</w:t>
      </w:r>
    </w:p>
    <w:p>
      <w:r>
        <w:rPr>
          <w:rFonts w:ascii="Times New Roman" w:hAnsi="Times New Roman"/>
          <w:b w:val="0"/>
          <w:i w:val="0"/>
        </w:rPr>
      </w:r>
    </w:p>
    <w:p>
      <w:pPr>
        <w:spacing w:line="240" w:lineRule="auto"/>
      </w:pPr>
      <w:r>
        <w:rPr>
          <w:rFonts w:ascii="Times New Roman" w:hAnsi="Times New Roman"/>
          <w:b w:val="0"/>
          <w:i/>
          <w:color w:val="780000"/>
          <w:sz w:val="18"/>
        </w:rPr>
        <w:t>DRAFTING NOTE: Complete the bracketed citizenship allegations and attorney bar number, and resolve the jurisdiction, standing, damages, and injunction issues identified in the companion memorandum before filing.</w:t>
      </w:r>
    </w:p>
    <w:sectPr w:rsidR="00FC693F" w:rsidRPr="0006063C" w:rsidSect="00034616">
      <w:headerReference w:type="default" r:id="rId9"/>
      <w:footerReference w:type="default" r:id="rId10"/>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Westlake Capital Partners LLC v. Graydon Strategic Advisors Inc.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5A5A5A"/>
        <w:sz w:val="16"/>
      </w:rPr>
      <w:t>DRAFT — FOR COUNSEL REVIEW — NOT FILE-READY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40"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