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rPr>
        <w:t>IN THE UNITED STATES DISTRICT COURT</w:t>
        <w:br/>
        <w:t>FOR THE NORTHERN DISTRICT OF TEXAS</w:t>
        <w:br/>
        <w:t>DALLAS DIVISION</w:t>
      </w:r>
    </w:p>
    <w:tbl>
      <w:tblPr>
        <w:tblW w:type="auto" w:w="0"/>
        <w:tblLook w:firstColumn="1" w:firstRow="1" w:lastColumn="0" w:lastRow="0" w:noHBand="0" w:noVBand="1" w:val="04A0"/>
      </w:tblPr>
      <w:tblGrid>
        <w:gridCol w:w="4680"/>
        <w:gridCol w:w="4680"/>
      </w:tblGrid>
      <w:tr>
        <w:tc>
          <w:tcPr>
            <w:tcW w:type="dxa" w:w="5184"/>
          </w:tcPr>
          <w:p>
            <w:r/>
            <w:r>
              <w:t>WESTLAKE CAPITAL PARTNERS LLC,</w:t>
              <w:br/>
              <w:br/>
              <w:tab/>
              <w:tab/>
              <w:t>Plaintiff,</w:t>
              <w:br/>
              <w:br/>
              <w:t>v.</w:t>
              <w:br/>
              <w:br/>
              <w:t>GRAYDON STRATEGIC ADVISORS INC.; TREVOR GRAYDON; and GRAYDON CAPITAL SOLUTIONS LLC,</w:t>
              <w:br/>
              <w:br/>
              <w:tab/>
              <w:tab/>
              <w:t>Defendants.</w:t>
            </w:r>
          </w:p>
        </w:tc>
        <w:tc>
          <w:tcPr>
            <w:tcW w:type="dxa" w:w="4176"/>
          </w:tcPr>
          <w:p>
            <w:r/>
            <w:r>
              <w:t>§</w:t>
              <w:br/>
              <w:t>§</w:t>
              <w:br/>
              <w:t>§</w:t>
              <w:br/>
              <w:t>§</w:t>
              <w:tab/>
              <w:tab/>
              <w:t>Civil Action No. ____________</w:t>
              <w:br/>
              <w:t>§</w:t>
              <w:br/>
              <w:t>§</w:t>
              <w:br/>
              <w:t>§</w:t>
              <w:tab/>
              <w:tab/>
            </w:r>
            <w:r>
              <w:rPr>
                <w:b/>
              </w:rPr>
              <w:t>JURY TRIAL DEMANDED</w:t>
            </w:r>
            <w:r>
              <w:br/>
              <w:t>§</w:t>
              <w:br/>
              <w:t>§</w:t>
              <w:br/>
              <w:t>§</w:t>
            </w:r>
          </w:p>
        </w:tc>
      </w:tr>
    </w:tbl>
    <w:p>
      <w:pPr>
        <w:spacing w:after="120"/>
      </w:pPr>
    </w:p>
    <w:p>
      <w:pPr>
        <w:spacing w:after="240"/>
        <w:jc w:val="center"/>
      </w:pPr>
      <w:r>
        <w:rPr>
          <w:b/>
        </w:rPr>
        <w:t>PLAINTIFF'S ORIGINAL COMPLAINT</w:t>
      </w:r>
    </w:p>
    <w:p>
      <w:pPr>
        <w:spacing w:after="0" w:line="480" w:lineRule="auto"/>
        <w:ind w:firstLine="720"/>
        <w:jc w:val="both"/>
      </w:pPr>
      <w:r>
        <w:t>Plaintiff Westlake Capital Partners LLC ("Westlake") files this Original Complaint against Defendants Graydon Strategic Advisors Inc. ("Graydon"), Trevor Graydon, and Graydon Capital Solutions LLC ("GCS") (collectively, "Defendants"), and respectfully alleges as follows:</w:t>
      </w:r>
    </w:p>
    <w:p>
      <w:pPr>
        <w:keepNext/>
        <w:spacing w:after="120"/>
        <w:jc w:val="center"/>
      </w:pPr>
      <w:r>
        <w:rPr>
          <w:b/>
        </w:rPr>
        <w:t>I.  NATURE OF THE ACTION</w:t>
      </w:r>
    </w:p>
    <w:p>
      <w:pPr>
        <w:spacing w:after="0" w:line="480" w:lineRule="auto"/>
        <w:ind w:firstLine="720"/>
        <w:jc w:val="both"/>
      </w:pPr>
      <w:r>
        <w:t>1.</w:t>
        <w:tab/>
        <w:t>This is an action by a private equity fund manager against the placement agent it hired, on an exclusive basis and as its acknowledged fiduciary, to raise capital for Westlake Capital Partners Fund III LP ("Fund III"). While Graydon was collecting a monthly retainer, placement fees, and milestone payments from Westlake, its Chief Executive Officer, Trevor Graydon, caused a separate entity that he alone owns and manages, GCS, to sign a secret, fee-paying capital introduction agreement with Ridgecrest Partners LP ("Ridgecrest"), the manager of a competing industrial private equity fund, Cascadia Industrial Growth Fund IV ("Cascadia Fund IV").</w:t>
      </w:r>
    </w:p>
    <w:p>
      <w:pPr>
        <w:spacing w:after="0" w:line="480" w:lineRule="auto"/>
        <w:ind w:firstLine="720"/>
        <w:jc w:val="both"/>
      </w:pPr>
      <w:r>
        <w:t>2.</w:t>
        <w:tab/>
        <w:t>Graydon personnel, including Trevor Graydon personally, then steered three institutional investors that Graydon had cultivated for Fund III, at Westlake's expense, into Cascadia Fund IV: the Great Plains Public Employees' Retirement System ("GPPERS") ($25 million), Harborview Endowment Fund ("Harborview") ($15 million), and Northshore Family Office LLC ("Northshore") ($10 million). Upon information and belief, GCS earned an introduction fee of 1.5% on those $50 million in commitments.</w:t>
      </w:r>
    </w:p>
    <w:p>
      <w:pPr>
        <w:spacing w:after="0" w:line="480" w:lineRule="auto"/>
        <w:ind w:firstLine="720"/>
        <w:jc w:val="both"/>
      </w:pPr>
      <w:r>
        <w:t>3.</w:t>
        <w:tab/>
        <w:t>Graydon concealed all of this. Its monthly activity reports, each prepared by its Senior Vice President Nathaniel Pruitt and approved by Trevor Graydon, affirmatively represented that there were "no material developments, conflicts, or other matters requiring disclosure," continued to carry GPPERS and Harborview as live Fund III prospects after both had already committed to Cascadia Fund IV, and silently dropped Northshore from the pipeline. On the strength of those reports and accompanying milestone certifications, Graydon demanded and collected three $250,000 milestone payments to which it was never entitled.</w:t>
      </w:r>
    </w:p>
    <w:p>
      <w:pPr>
        <w:spacing w:after="0" w:line="480" w:lineRule="auto"/>
        <w:ind w:firstLine="720"/>
        <w:jc w:val="both"/>
      </w:pPr>
      <w:r>
        <w:t>4.</w:t>
        <w:tab/>
        <w:t>Westlake seeks compensatory damages, forfeiture and disgorgement of compensation paid to a faithless fiduciary, disgorgement of the fees GCS obtained through the scheme, exemplary damages, injunctive relief enforcing Graydon's continuing non-solicitation covenant, and its attorneys' fees and costs.</w:t>
      </w:r>
    </w:p>
    <w:p>
      <w:pPr>
        <w:keepNext/>
        <w:spacing w:after="120"/>
        <w:jc w:val="center"/>
      </w:pPr>
      <w:r>
        <w:rPr>
          <w:b/>
        </w:rPr>
        <w:t>II.  PARTIES</w:t>
      </w:r>
    </w:p>
    <w:p>
      <w:pPr>
        <w:spacing w:after="0" w:line="480" w:lineRule="auto"/>
        <w:ind w:firstLine="720"/>
        <w:jc w:val="both"/>
      </w:pPr>
      <w:r>
        <w:t>5.</w:t>
        <w:tab/>
        <w:t>Plaintiff Westlake Capital Partners LLC is a Delaware limited liability company with its principal place of business at 2900 McKinney Avenue, Suite 1400, Dallas, Texas 75204. For purposes of diversity jurisdiction, a limited liability company is a citizen of every state of which each of its members is a citizen. Westlake's members are Marcus J. Harwell and Elena Rosario-Vega [CONFIRM COMPLETE MEMBER LIST, INCLUDING ANY ENTITY MEMBERS TRACED THROUGH EVERY LAYER]. Mr. Harwell is a natural person domiciled in, and a citizen of, the State of [Texas — CONFIRM]. Ms. Rosario-Vega is a natural person domiciled in, and a citizen of, the State of [Texas — CONFIRM]. Westlake is therefore a citizen of [Texas — CONFIRM] only. No member of Westlake is a citizen of New York [or of any state of which Trevor Graydon is a citizen — CONFIRM].</w:t>
      </w:r>
    </w:p>
    <w:p>
      <w:pPr>
        <w:spacing w:after="0" w:line="480" w:lineRule="auto"/>
        <w:ind w:firstLine="720"/>
        <w:jc w:val="both"/>
      </w:pPr>
      <w:r>
        <w:t>6.</w:t>
        <w:tab/>
        <w:t>Defendant Graydon Strategic Advisors Inc. is a New York corporation with its principal place of business at 450 Park Avenue, 22nd Floor, New York, New York 10022. Graydon is a citizen of New York. Graydon is a broker-dealer registered with the Financial Industry Regulatory Authority ("FINRA") (CRD No. 298714). Graydon may be served through its Chief Executive Officer, Trevor Graydon, at its principal office, or by any other means authorized by Federal Rule of Civil Procedure 4(h).</w:t>
      </w:r>
    </w:p>
    <w:p>
      <w:pPr>
        <w:spacing w:after="0" w:line="480" w:lineRule="auto"/>
        <w:ind w:firstLine="720"/>
        <w:jc w:val="both"/>
      </w:pPr>
      <w:r>
        <w:t>7.</w:t>
        <w:tab/>
        <w:t>Defendant Trevor Graydon is a natural person who is the founder, Chief Executive Officer, President, and majority shareholder of Graydon, and the sole manager and sole member of GCS. Upon information and belief, Trevor Graydon is domiciled in, and a citizen of, the State of [New York — CONFIRM]. He may be served at 450 Park Avenue, 22nd Floor, New York, New York 10022, or wherever he may be found.</w:t>
      </w:r>
    </w:p>
    <w:p>
      <w:pPr>
        <w:spacing w:after="0" w:line="480" w:lineRule="auto"/>
        <w:ind w:firstLine="720"/>
        <w:jc w:val="both"/>
      </w:pPr>
      <w:r>
        <w:t>8.</w:t>
        <w:tab/>
        <w:t>Defendant Graydon Capital Solutions LLC is a Delaware limited liability company whose principal address of record is 450 Park Avenue, 22nd Floor, New York, New York 10022 — the same address as Graydon. Trevor Graydon is GCS's sole member. GCS is therefore a citizen of the state of which Trevor Graydon is a citizen, [New York — CONFIRM]. GCS may be served through its registered agent in Delaware or through its sole manager, Trevor Graydon.</w:t>
      </w:r>
    </w:p>
    <w:p>
      <w:pPr>
        <w:keepNext/>
        <w:spacing w:after="120"/>
        <w:jc w:val="center"/>
      </w:pPr>
      <w:r>
        <w:rPr>
          <w:b/>
        </w:rPr>
        <w:t>III.  JURISDICTION AND VENUE</w:t>
      </w:r>
    </w:p>
    <w:p>
      <w:pPr>
        <w:spacing w:after="0" w:line="480" w:lineRule="auto"/>
        <w:ind w:firstLine="720"/>
        <w:jc w:val="both"/>
      </w:pPr>
      <w:r>
        <w:t>9.</w:t>
        <w:tab/>
        <w:t>This Court has subject-matter jurisdiction under 28 U.S.C. § 1332(a)(1). Complete diversity exists because Plaintiff is a citizen of [Texas — CONFIRM] and each Defendant is a citizen of [New York — CONFIRM], and no Defendant shares the citizenship of any member of Plaintiff. The amount in controversy exceeds $75,000, exclusive of interest and costs; the milestone payments alone that Westlake seeks to recover total $750,000.</w:t>
      </w:r>
    </w:p>
    <w:p>
      <w:pPr>
        <w:spacing w:after="0" w:line="480" w:lineRule="auto"/>
        <w:ind w:firstLine="720"/>
        <w:jc w:val="both"/>
      </w:pPr>
      <w:r>
        <w:t>10.</w:t>
        <w:tab/>
        <w:t>This Court has personal jurisdiction over Graydon. In Section 12.2 of the Placement Agent Agreement dated January 18, 2023 (the "PAA"), Graydon "irrevocably submit[ted] to the exclusive jurisdiction" of "the state or federal courts located in Dallas County, Texas" for "[a]ny dispute, controversy, or claim arising under, out of, or in connection with" the PAA. Independently, Graydon purposefully directed its activities at Texas by contracting with a Dallas-based principal, sending personnel to Dallas for meetings on multiple occasions, delivering monthly activity reports and milestone certifications to Westlake in Dallas, and accepting approximately $3,130,000 in payments from Westlake's Dallas accounts. Westlake's claims arise from those contacts.</w:t>
      </w:r>
    </w:p>
    <w:p>
      <w:pPr>
        <w:spacing w:after="0" w:line="480" w:lineRule="auto"/>
        <w:ind w:firstLine="720"/>
        <w:jc w:val="both"/>
      </w:pPr>
      <w:r>
        <w:t>11.</w:t>
        <w:tab/>
        <w:t>This Court has personal jurisdiction over Trevor Graydon. He personally approved, by signature, each of the milestone certifications and monthly activity reports at issue, knowing that they would be delivered to and relied upon by Westlake in Dallas, Texas, and that the resulting payments would be made from Texas. A nonresident who directs fraudulent communications into Texas that give rise to the claims asserted is subject to specific jurisdiction here. Trevor Graydon also executed the PAA on Graydon's behalf and is closely related to the dispute such that he was bound to foresee being subject to the PAA's forum-selection clause.</w:t>
      </w:r>
    </w:p>
    <w:p>
      <w:pPr>
        <w:spacing w:after="0" w:line="480" w:lineRule="auto"/>
        <w:ind w:firstLine="720"/>
        <w:jc w:val="both"/>
      </w:pPr>
      <w:r>
        <w:t>12.</w:t>
        <w:tab/>
        <w:t>This Court has personal jurisdiction over GCS. GCS is wholly owned and controlled by Trevor Graydon, acted through the same personnel and from the same premises as Graydon, and knowingly received the benefits of a scheme purposefully directed at a Texas principal. GCS is an "Affiliate" of Graydon as defined in PAA Section 1.1, is closely related to the PAA dispute, and was bound to foresee being subject to the PAA's forum-selection clause. [NOTE TO DRAFT: see Filing-Issues Memo § 4.2 regarding the jurisdictional risk as to GCS.]</w:t>
      </w:r>
    </w:p>
    <w:p>
      <w:pPr>
        <w:spacing w:after="0" w:line="480" w:lineRule="auto"/>
        <w:ind w:firstLine="720"/>
        <w:jc w:val="both"/>
      </w:pPr>
      <w:r>
        <w:t>13.</w:t>
        <w:tab/>
        <w:t>Venue is proper in this District and Division under 28 U.S.C. § 1391(b)(2) because a substantial part of the events or omissions giving rise to the claims occurred in Dallas County, Texas: the PAA was negotiated in part and performed from Dallas; the false reports and certifications were received and relied upon in Dallas; and the payments at issue were remitted from Dallas. Venue is also proper by agreement under PAA Section 12.2, in which Graydon waived any objection to venue in Dallas County, including on grounds of forum non conveniens.</w:t>
      </w:r>
    </w:p>
    <w:p>
      <w:pPr>
        <w:keepNext/>
        <w:spacing w:after="120"/>
        <w:jc w:val="center"/>
      </w:pPr>
      <w:r>
        <w:rPr>
          <w:b/>
        </w:rPr>
        <w:t>IV.  FACTUAL ALLEGATIONS</w:t>
      </w:r>
    </w:p>
    <w:p>
      <w:pPr>
        <w:keepNext/>
        <w:spacing w:after="120"/>
      </w:pPr>
      <w:r>
        <w:rPr>
          <w:b/>
        </w:rPr>
        <w:t>A.  Westlake and Fund III</w:t>
      </w:r>
    </w:p>
    <w:p>
      <w:pPr>
        <w:spacing w:after="0" w:line="480" w:lineRule="auto"/>
        <w:ind w:firstLine="720"/>
        <w:jc w:val="both"/>
      </w:pPr>
      <w:r>
        <w:t>14.</w:t>
        <w:tab/>
        <w:t>Westlake is a Dallas-based private equity firm founded in 2016 by Marcus J. Harwell (Co-Founder and Managing Partner) and Elena Rosario-Vega (Co-Founder and Chief Investment Officer). Westlake focuses on lower middle-market industrial services and specialty manufacturing acquisitions and previously sponsored Westlake Capital Partners Fund I LP (approximately $85 million in commitments) and Westlake Capital Partners Fund II LP (approximately $140 million in commitments).</w:t>
      </w:r>
    </w:p>
    <w:p>
      <w:pPr>
        <w:spacing w:after="0" w:line="480" w:lineRule="auto"/>
        <w:ind w:firstLine="720"/>
        <w:jc w:val="both"/>
      </w:pPr>
      <w:r>
        <w:t>15.</w:t>
        <w:tab/>
        <w:t>Fund III is a Delaware limited partnership formed on November 15, 2022, with a target of $200 million in capital commitments and a hard cap of $225 million. Fund III's terms provide for an annual management fee of 2.0% of committed capital during a five-year investment period and a carried interest of 20% above an 8% preferred return.</w:t>
      </w:r>
    </w:p>
    <w:p>
      <w:pPr>
        <w:keepNext/>
        <w:spacing w:after="120"/>
      </w:pPr>
      <w:r>
        <w:rPr>
          <w:b/>
        </w:rPr>
        <w:t>B.  The Placement Agent Agreement</w:t>
      </w:r>
    </w:p>
    <w:p>
      <w:pPr>
        <w:spacing w:after="0" w:line="480" w:lineRule="auto"/>
        <w:ind w:firstLine="720"/>
        <w:jc w:val="both"/>
      </w:pPr>
      <w:r>
        <w:t>16.</w:t>
        <w:tab/>
        <w:t>On January 18, 2023, Westlake and Graydon executed the PAA, under which Westlake appointed Graydon as its "sole and exclusive placement agent" for Fund III (PAA §§ 2.1–2.2). The PAA was signed for Graydon by Trevor Graydon as Chief Executive Officer. The PAA's Term ran eighteen months, through July 18, 2024 (§ 3.1).</w:t>
      </w:r>
    </w:p>
    <w:p>
      <w:pPr>
        <w:spacing w:after="0" w:line="480" w:lineRule="auto"/>
        <w:ind w:firstLine="720"/>
        <w:jc w:val="both"/>
      </w:pPr>
      <w:r>
        <w:t>17.</w:t>
        <w:tab/>
        <w:t>Compensation. Graydon was entitled to (a) a Placement Fee of 2.0% of Capital Commitments it obtained and the Fund accepted (§ 4.1); (b) a non-refundable Monthly Retainer of $35,000 (§ 4.3); and (c) a $250,000 Milestone Payment upon "the Fund's achievement" of each Milestone Threshold "in aggregate Capital Commitments" of $50 million, $100 million, $150 million, and $200 million (§§ 1.9, 4.2).</w:t>
      </w:r>
    </w:p>
    <w:p>
      <w:pPr>
        <w:spacing w:after="0" w:line="480" w:lineRule="auto"/>
        <w:ind w:firstLine="720"/>
        <w:jc w:val="both"/>
      </w:pPr>
      <w:r>
        <w:t>18.</w:t>
        <w:tab/>
        <w:t>"Capital Commitment" is a defined term. It means "an investor's binding written commitment to contribute capital to the Fund, as evidenced by a fully executed subscription agreement accepted by Westlake" (§ 1.2). Soft circles, verbal indications, and pipeline projections are not Capital Commitments.</w:t>
      </w:r>
    </w:p>
    <w:p>
      <w:pPr>
        <w:spacing w:after="0" w:line="480" w:lineRule="auto"/>
        <w:ind w:firstLine="720"/>
        <w:jc w:val="both"/>
      </w:pPr>
      <w:r>
        <w:t>19.</w:t>
        <w:tab/>
        <w:t>Milestone Certifications. A Milestone Payment became due only upon Graydon's delivery of a written Milestone Certification "identifying each Investor and Capital Commitment amount comprising such threshold," together with "reasonable supporting documentation (including copies of executed subscription agreements or written confirmations from Investors)" (§§ 4.2, 5.3). Graydon "represent[ed] and warrant[ed] that each Milestone Certification shall be true, accurate, and complete in all material respects," acknowledged that Westlake "will rely on the accuracy of each Milestone Certification," and agreed that "any material misstatement or omission in a Milestone Certification shall constitute a material breach" (§ 5.3; see also § 4.2).</w:t>
      </w:r>
    </w:p>
    <w:p>
      <w:pPr>
        <w:spacing w:after="0" w:line="480" w:lineRule="auto"/>
        <w:ind w:firstLine="720"/>
        <w:jc w:val="both"/>
      </w:pPr>
      <w:r>
        <w:t>20.</w:t>
        <w:tab/>
        <w:t>Monthly Activity Reports. Graydon was required to deliver by the tenth day of each month a report including a pipeline status for each Investor and "a description of any material developments, including changes in Investor interest levels . . . or competitive activity that may affect fundraising progress," and to maintain accurate and complete supporting records (§ 5.2).</w:t>
      </w:r>
    </w:p>
    <w:p>
      <w:pPr>
        <w:spacing w:after="0" w:line="480" w:lineRule="auto"/>
        <w:ind w:firstLine="720"/>
        <w:jc w:val="both"/>
      </w:pPr>
      <w:r>
        <w:t>21.</w:t>
        <w:tab/>
        <w:t>Conflicts and side arrangements. Graydon represented that neither it nor any of its officers or Affiliates had any relationship with any manager of a Competing Fund that would create a material conflict of interest, and covenanted to "promptly disclose in writing to Westlake any such conflict of interest that arises during the Term" (§ 7.2). The PAA expressly defines a "material conflict of interest" to include "any arrangement under which Graydon or any of its Affiliates receives compensation, directly or indirectly, in connection with the placement, introduction, or referral of investors into a Competing Fund" (id.). Graydon further agreed not to enter into any undisclosed referral or fee-sharing arrangement with any third party relating to the Fund (§ 7.3).</w:t>
      </w:r>
    </w:p>
    <w:p>
      <w:pPr>
        <w:spacing w:after="0" w:line="480" w:lineRule="auto"/>
        <w:ind w:firstLine="720"/>
        <w:jc w:val="both"/>
      </w:pPr>
      <w:r>
        <w:t>22.</w:t>
        <w:tab/>
        <w:t>"Affiliate" includes any entity controlled by or under common control with Graydon, and "any entity in which a Party's officers, directors, principals, or equity holders hold a direct or indirect ownership interest of twenty-five percent (25%) or more" (§ 1.1). "Competing Fund" includes any private fund focused primarily or substantially on industrial services, specialty manufacturing, or related sectors (§ 1.3).</w:t>
      </w:r>
    </w:p>
    <w:p>
      <w:pPr>
        <w:spacing w:after="0" w:line="480" w:lineRule="auto"/>
        <w:ind w:firstLine="720"/>
        <w:jc w:val="both"/>
      </w:pPr>
      <w:r>
        <w:t>23.</w:t>
        <w:tab/>
        <w:t>Non-solicitation. During the Term and for twelve months thereafter (the "Restricted Period"), Graydon agreed not to, "directly or indirectly, solicit, divert, redirect, or encourage" any Investor introduced to the Fund by Graydon, or in active discussions with Westlake during the Term, to invest in any Competing Fund without Westlake's prior written consent. Section 7.4 expressly applies "to actions taken by Graydon, its officers, directors, employees, and agents, regardless of whether such actions are taken on behalf of Graydon or any Affiliate of Graydon." Because the Term expired on July 18, 2024, the Restricted Period runs through July 18, 2025.</w:t>
      </w:r>
    </w:p>
    <w:p>
      <w:pPr>
        <w:spacing w:after="0" w:line="480" w:lineRule="auto"/>
        <w:ind w:firstLine="720"/>
        <w:jc w:val="both"/>
      </w:pPr>
      <w:r>
        <w:t>24.</w:t>
        <w:tab/>
        <w:t>Fiduciary duties. Graydon "acknowledge[d] that it acts in a fiduciary capacity with respect to Westlake," owing duties of loyalty, candor, and good faith, including duties to "act solely in the best interests of Westlake," to "make full and fair disclosure . . . of all material facts . . . including any actual or potential conflicts of interest," and to "refrain from self-dealing or obtaining any undisclosed benefit from the engagement, whether directly or through any Affiliate, agent, or intermediary" (§ 8.1). These duties are "in addition to" those arising under the common law of agency (§§ 8.1, 8.3, 13.7), and the PAA confirms that Graydon "acts as Westlake's agent for purposes of soliciting Capital Commitments" (§ 13.7).</w:t>
      </w:r>
    </w:p>
    <w:p>
      <w:pPr>
        <w:spacing w:after="0" w:line="480" w:lineRule="auto"/>
        <w:ind w:firstLine="720"/>
        <w:jc w:val="both"/>
      </w:pPr>
      <w:r>
        <w:t>25.</w:t>
        <w:tab/>
        <w:t>Remedies. The PAA excludes from its limitation on consequential and punitive damages any claim for fraud, willful misconduct, or breach of Sections 7.2, 7.3, 7.4, or 8 (§ 10.3); obligates Graydon to indemnify Westlake for losses, including reasonable attorneys' fees, arising from Graydon's material breach or fraud (§ 10.1); awards the prevailing party its reasonable attorneys' fees (§ 12.3); and provides that a breach of Sections 7.4 or 8 "would cause irreparable harm" entitling Westlake to seek injunctive relief without posting bond (§ 12.4). Texas law governs (§ 12.1). No amendment or waiver of any PAA provision is effective unless in a writing signed by both parties (§§ 13.2, 13.5).</w:t>
      </w:r>
    </w:p>
    <w:p>
      <w:pPr>
        <w:keepNext/>
        <w:spacing w:after="120"/>
      </w:pPr>
      <w:r>
        <w:rPr>
          <w:b/>
        </w:rPr>
        <w:t>C.  Trevor Graydon Secretly Aligns With a Competing Fund Manager</w:t>
      </w:r>
    </w:p>
    <w:p>
      <w:pPr>
        <w:spacing w:after="0" w:line="480" w:lineRule="auto"/>
        <w:ind w:firstLine="720"/>
        <w:jc w:val="both"/>
      </w:pPr>
      <w:r>
        <w:t>26.</w:t>
        <w:tab/>
        <w:t>On August 1, 2023 — six and a half months into the exclusive engagement — Trevor Graydon executed, as "Sole Manager," a Capital Introduction Agreement between GCS and Ridgecrest (the "Ridgecrest Agreement"). Ridgecrest manages Cascadia Fund IV, which the Ridgecrest Agreement itself describes as "a private equity fund focused on industrial growth equity and buyout investments." Cascadia Fund IV is a Competing Fund under PAA Section 1.3.</w:t>
      </w:r>
    </w:p>
    <w:p>
      <w:pPr>
        <w:spacing w:after="0" w:line="480" w:lineRule="auto"/>
        <w:ind w:firstLine="720"/>
        <w:jc w:val="both"/>
      </w:pPr>
      <w:r>
        <w:t>27.</w:t>
        <w:tab/>
        <w:t>Under the Ridgecrest Agreement, GCS is paid 1.5% of every capital commitment that an investor it introduces makes to Cascadia Fund IV, with an eighteen-month post-termination fee tail. The agreement runs through July 31, 2025.</w:t>
      </w:r>
    </w:p>
    <w:p>
      <w:pPr>
        <w:spacing w:after="0" w:line="480" w:lineRule="auto"/>
        <w:ind w:firstLine="720"/>
        <w:jc w:val="both"/>
      </w:pPr>
      <w:r>
        <w:t>28.</w:t>
        <w:tab/>
        <w:t>The Ridgecrest Agreement recites that GCS "is an affiliate of Graydon Strategic Advisors Inc.," that GCS "may leverage its relationships and institutional network" in performing services, and that "Trevor Graydon is the sole manager and sole member" of GCS and "will personally direct and oversee" its performance. It authorizes GCS to use "the personnel, relationships, and institutional network of its Affiliates, including Graydon Strategic Advisors Inc." GCS lists the same street address as Graydon. Upon information and belief, GCS has no employees, offices, or infrastructure separate from Graydon and acts through Graydon's personnel.</w:t>
      </w:r>
    </w:p>
    <w:p>
      <w:pPr>
        <w:spacing w:after="0" w:line="480" w:lineRule="auto"/>
        <w:ind w:firstLine="720"/>
        <w:jc w:val="both"/>
      </w:pPr>
      <w:r>
        <w:t>29.</w:t>
        <w:tab/>
        <w:t>GCS is an "Affiliate" of Graydon under PAA Section 1.1 because it is under common control with Graydon and is wholly owned by Graydon's principal, officer, and majority equity holder. The Ridgecrest Agreement was therefore, by the PAA's own definition, a "material conflict of interest" (§ 7.2) and an undisclosed referral arrangement (§ 7.3).</w:t>
      </w:r>
    </w:p>
    <w:p>
      <w:pPr>
        <w:spacing w:after="0" w:line="480" w:lineRule="auto"/>
        <w:ind w:firstLine="720"/>
        <w:jc w:val="both"/>
      </w:pPr>
      <w:r>
        <w:t>30.</w:t>
        <w:tab/>
        <w:t>Neither Graydon nor Trevor Graydon ever disclosed the Ridgecrest Agreement to Westlake. To the contrary, every monthly activity report Graydon delivered after August 1, 2023 — including the reports dated September 9, 2023, January 9, 2024, and March 8, 2024 — represented: "There are no material developments, conflicts, or other matters requiring disclosure at this time."</w:t>
      </w:r>
    </w:p>
    <w:p>
      <w:pPr>
        <w:keepNext/>
        <w:spacing w:after="120"/>
      </w:pPr>
      <w:r>
        <w:rPr>
          <w:b/>
        </w:rPr>
        <w:t>D.  Graydon Diverts $50 Million in Fund III Prospects to Cascadia Fund IV</w:t>
      </w:r>
    </w:p>
    <w:p>
      <w:pPr>
        <w:spacing w:after="0" w:line="480" w:lineRule="auto"/>
        <w:ind w:firstLine="720"/>
        <w:jc w:val="both"/>
      </w:pPr>
      <w:r>
        <w:t>31.</w:t>
        <w:tab/>
        <w:t>GPPERS. GPPERS is a public pension system based in Lincoln, Nebraska, with approximately $8.2 billion in assets. Graydon introduced GPPERS to Fund III in April 2023. On August 14, 2023, Graydon presented Fund III to GPPERS's Deputy CIO and a senior analyst in Lincoln, and Graydon reported to Westlake that GPPERS had indicated a $25 million target allocation to Fund III. By November 2023, GPPERS was in advanced discussions regarding a $25 million Fund III commitment.</w:t>
      </w:r>
    </w:p>
    <w:p>
      <w:pPr>
        <w:spacing w:after="0" w:line="480" w:lineRule="auto"/>
        <w:ind w:firstLine="720"/>
        <w:jc w:val="both"/>
      </w:pPr>
      <w:r>
        <w:t>32.</w:t>
        <w:tab/>
        <w:t>Upon information and belief, in late 2023 Mr. Pruitt arranged introductory meetings between GPPERS investment staff and Ridgecrest personnel, and Trevor Graydon personally attended at least one meeting with GPPERS investment committee members at which Cascadia Fund IV was presented as an investment opportunity. In or about January 2024, GPPERS committed $25 million to Cascadia Fund IV.</w:t>
      </w:r>
    </w:p>
    <w:p>
      <w:pPr>
        <w:spacing w:after="0" w:line="480" w:lineRule="auto"/>
        <w:ind w:firstLine="720"/>
        <w:jc w:val="both"/>
      </w:pPr>
      <w:r>
        <w:t>33.</w:t>
        <w:tab/>
        <w:t>Harborview. Harborview is the approximately $3.1 billion endowment of Harborview University in Portland, Oregon. Graydon arranged meetings between Harborview and Westlake in June and August 2023 and reported that Harborview had soft-circled $15 million for Fund III. Upon information and belief, in late 2023 Mr. Pruitt contacted Harborview's investment office to introduce Cascadia Fund IV, describing it as "a complementary strategy that might be a better fit for Harborview's current allocation needs." In or about December 2023, Harborview committed $15 million to Cascadia Fund IV.</w:t>
      </w:r>
    </w:p>
    <w:p>
      <w:pPr>
        <w:spacing w:after="0" w:line="480" w:lineRule="auto"/>
        <w:ind w:firstLine="720"/>
        <w:jc w:val="both"/>
      </w:pPr>
      <w:r>
        <w:t>34.</w:t>
        <w:tab/>
        <w:t>Northshore. Northshore is a Chicago-based single-family office with approximately $750 million in assets. Graydon arranged meetings between Northshore and Westlake in the summer of 2023, including an in-person meeting in Chicago on August 22, 2023, after which Graydon reported that Northshore had given a $10 million verbal indication for Fund III. [CONFIRM MEETING DATES — see Filing-Issues Memo § 3.] Upon information and belief, Mr. Pruitt, Northshore's primary contact at Graydon, directed Northshore to Ridgecrest, and Trevor Graydon personally telephoned Northshore's principal to recommend Cascadia Fund IV. In or about February 2024, Northshore committed $10 million to Cascadia Fund IV.</w:t>
      </w:r>
    </w:p>
    <w:p>
      <w:pPr>
        <w:spacing w:after="0" w:line="480" w:lineRule="auto"/>
        <w:ind w:firstLine="720"/>
        <w:jc w:val="both"/>
      </w:pPr>
      <w:r>
        <w:t>35.</w:t>
        <w:tab/>
        <w:t>Each of GPPERS, Harborview, and Northshore was an Investor introduced to Fund III by Graydon and in active discussions with Westlake regarding a Fund III commitment during the Term, and each was solicited, diverted, redirected, or encouraged by Graydon personnel to invest in a Competing Fund without Westlake's consent, in violation of PAA Section 7.4.</w:t>
      </w:r>
    </w:p>
    <w:p>
      <w:pPr>
        <w:spacing w:after="0" w:line="480" w:lineRule="auto"/>
        <w:ind w:firstLine="720"/>
        <w:jc w:val="both"/>
      </w:pPr>
      <w:r>
        <w:t>36.</w:t>
        <w:tab/>
        <w:t>Upon information and belief, GCS has received or is entitled to receive introduction fees from Ridgecrest of approximately $750,000 (1.5% of $50 million) on account of the three diverted commitments, all of which inure to the benefit of Trevor Graydon as GCS's sole member.</w:t>
      </w:r>
    </w:p>
    <w:p>
      <w:pPr>
        <w:keepNext/>
        <w:spacing w:after="120"/>
      </w:pPr>
      <w:r>
        <w:rPr>
          <w:b/>
        </w:rPr>
        <w:t>E.  Graydon's False Reports and Milestone Certifications</w:t>
      </w:r>
    </w:p>
    <w:p>
      <w:pPr>
        <w:spacing w:after="0" w:line="480" w:lineRule="auto"/>
        <w:ind w:firstLine="720"/>
        <w:jc w:val="both"/>
      </w:pPr>
      <w:r>
        <w:t>37.</w:t>
        <w:tab/>
        <w:t>Each monthly activity report and milestone certification described below was prepared and signed by Nathaniel Pruitt, Graydon's Senior Vice President and Head of Institutional Sales; bears Trevor Graydon's signature under the legend "APPROVED" as Chief Executive Officer; and was delivered from Graydon in New York to Mr. Harwell and Ms. Rosario-Vega at Westlake in Dallas.</w:t>
      </w:r>
    </w:p>
    <w:p>
      <w:pPr>
        <w:spacing w:after="0" w:line="480" w:lineRule="auto"/>
        <w:ind w:firstLine="720"/>
        <w:jc w:val="both"/>
      </w:pPr>
      <w:r>
        <w:t>38.</w:t>
        <w:tab/>
        <w:t>The May 8, 2023 Certification. In its report dated May 8, 2023 (covering April 2023), Graydon certified that "aggregate capital commitments, soft circles, and active late-stage indications" had reached $50,500,000, "thereby satisfying the First Milestone Threshold of $50,000,000," and requested a $250,000 payment. In truth, aggregate Capital Commitments to Fund III were $35,000,000 (the April 15, 2023 First Close). To reach its figure, Graydon counted as an "Active Late-Stage" investor GPPERS at an "$8.0 million indicative allocation," representing that GPPERS "has received the full data room package" and "has indicated a target allocation in the $8.0 million range." Graydon's own contact log showed only an April 10, 2023 introductory call and materials sent April 17, 2023. Upon information and belief, GPPERS had at that time expressed only general interest and had discussed no dollar amount. Even under Graydon's own self-selected methodology, the figure should have been no more than approximately $42.5 million. Westlake paid $250,000 on May 15, 2023.</w:t>
      </w:r>
    </w:p>
    <w:p>
      <w:pPr>
        <w:spacing w:after="0" w:line="480" w:lineRule="auto"/>
        <w:ind w:firstLine="720"/>
        <w:jc w:val="both"/>
      </w:pPr>
      <w:r>
        <w:t>39.</w:t>
        <w:tab/>
        <w:t>The September 9, 2023 Certification. In its report dated September 9, 2023 (covering August 2023), Graydon certified that "aggregate capital commitments, investors in final documentation, soft circles, and verbal commitments" had reached $101,500,000, satisfying the Second Milestone Threshold, and requested $250,000. In truth, aggregate Capital Commitments were still $35,000,000. Graydon's figure depended on counting GPPERS ($25 million), Harborview ($15 million), and part of Northshore's indication as "Tier 3" soft circles and verbal commitments, supported by an internally inconsistent reconciliation that applied unexplained "partial credit" and "netting" adjustments. Upon information and belief, Harborview's and Northshore's interest was materially overstated. The same report stated that there were "no material developments, conflicts, or other matters requiring disclosure" — although Trevor Graydon had signed the Ridgecrest Agreement five weeks earlier. Westlake paid $250,000 on September 20, 2023.</w:t>
      </w:r>
    </w:p>
    <w:p>
      <w:pPr>
        <w:spacing w:after="0" w:line="480" w:lineRule="auto"/>
        <w:ind w:firstLine="720"/>
        <w:jc w:val="both"/>
      </w:pPr>
      <w:r>
        <w:t>40.</w:t>
        <w:tab/>
        <w:t>The January 9, 2024 Report. In its report dated January 9, 2024 (covering December 2023), Graydon represented that Harborview's "investment committee postponed its review of the Fund III commitment to Q1 2024 due to year-end scheduling constraints" and that Graydon "plans to re-engage" with Harborview, carrying Harborview as a $15 million prospect. Upon information and belief, Harborview had already committed $15 million to Cascadia Fund IV in December 2023, at Graydon's instigation. The report also represented that a GPPERS board meeting on a Fund III allocation was "scheduled for Q1 2024," omitted Northshore entirely without explanation, and again disclaimed any conflicts.</w:t>
      </w:r>
    </w:p>
    <w:p>
      <w:pPr>
        <w:spacing w:after="0" w:line="480" w:lineRule="auto"/>
        <w:ind w:firstLine="720"/>
        <w:jc w:val="both"/>
      </w:pPr>
      <w:r>
        <w:t>41.</w:t>
        <w:tab/>
        <w:t>The March 8, 2024 Certification. In its report dated March 8, 2024 (covering February 2024), Graydon certified that the "milestone-qualifying pipeline" had reached $152,000,000, satisfying the Third Milestone Threshold, and requested $250,000. In truth, aggregate Capital Commitments were $87,500,000. Graydon's figure included GPPERS at $25 million, described as "[t]iming uncertain — pending board approval for Fund III," and Harborview at $15 million, described as in "[r]e-engagement discussions" with an investment committee "expected to revisit the Fund III commitment during Q2 2024." Those representations were false: GPPERS had committed $25 million to Cascadia Fund IV approximately two months earlier, and Harborview had committed $15 million to Cascadia Fund IV approximately three months earlier — in each case after being steered there by Graydon personnel, including, as to GPPERS, Trevor Graydon himself. Without those $40 million in phantom prospects, Graydon's own figure falls to approximately $112 million. The report again represented that there were no conflicts requiring disclosure. Westlake paid $250,000 on March 12, 2024.</w:t>
      </w:r>
    </w:p>
    <w:p>
      <w:pPr>
        <w:spacing w:after="0" w:line="480" w:lineRule="auto"/>
        <w:ind w:firstLine="720"/>
        <w:jc w:val="both"/>
      </w:pPr>
      <w:r>
        <w:t>42.</w:t>
        <w:tab/>
        <w:t>None of the three certifications identified Investors and Capital Commitment amounts totaling the applicable Milestone Threshold, or attached executed subscription agreements or written investor confirmations, as Sections 4.2 and 5.3 require. No Milestone Threshold was ever achieved, and no Milestone Payment was ever due.</w:t>
      </w:r>
    </w:p>
    <w:p>
      <w:pPr>
        <w:spacing w:after="0" w:line="480" w:lineRule="auto"/>
        <w:ind w:firstLine="720"/>
        <w:jc w:val="both"/>
      </w:pPr>
      <w:r>
        <w:t>43.</w:t>
        <w:tab/>
        <w:t>Defendants knew the representations were false when made. Trevor Graydon had signed the Ridgecrest Agreement and personally promoted Cascadia Fund IV to GPPERS and Northshore; Mr. Pruitt arranged the Ridgecrest introductions for all three investors. Defendants made the representations and omissions intending that Westlake rely on them to make the Milestone Payments, to continue paying the Monthly Retainer and Placement Fees, to refrain from contacting the diverted investors directly, and to refrain from engaging additional placement resources.</w:t>
      </w:r>
    </w:p>
    <w:p>
      <w:pPr>
        <w:spacing w:after="0" w:line="480" w:lineRule="auto"/>
        <w:ind w:firstLine="720"/>
        <w:jc w:val="both"/>
      </w:pPr>
      <w:r>
        <w:t>44.</w:t>
        <w:tab/>
        <w:t>Westlake actually and justifiably relied on Defendants' representations. Graydon was Westlake's exclusive agent and acknowledged fiduciary; the PAA entitled Westlake to rely on the accuracy of each Milestone Certification (§§ 4.2, 5.3); Graydon controlled the investor relationships at issue; and the specific facts concealed — Graydon's secret compensation arrangement with Ridgecrest and the diverted investors' commitments to Cascadia Fund IV — were peculiarly within Defendants' knowledge and could not have been discovered through reasonable diligence.</w:t>
      </w:r>
    </w:p>
    <w:p>
      <w:pPr>
        <w:keepNext/>
        <w:spacing w:after="120"/>
      </w:pPr>
      <w:r>
        <w:rPr>
          <w:b/>
        </w:rPr>
        <w:t>F.  Westlake Discovers the Scheme</w:t>
      </w:r>
    </w:p>
    <w:p>
      <w:pPr>
        <w:spacing w:after="0" w:line="480" w:lineRule="auto"/>
        <w:ind w:firstLine="720"/>
        <w:jc w:val="both"/>
      </w:pPr>
      <w:r>
        <w:t>45.</w:t>
        <w:tab/>
        <w:t>On the evening of April 17, 2024, Ms. Rosario-Vega attended a networking reception at an institutional investor conference in Chicago, Illinois, where she spoke with Northshore's Chief Investment Officer. When she asked whether Northshore remained interested in Fund III, the CIO responded that Northshore had already committed its private equity allocation, including $10 million to Cascadia Fund IV, and stated: "We went through Trevor's group — his team at Graydon set up all the meetings with Ridgecrest." Ms. Rosario-Vega memorialized the conversation in writing that night.</w:t>
      </w:r>
    </w:p>
    <w:p>
      <w:pPr>
        <w:spacing w:after="0" w:line="480" w:lineRule="auto"/>
        <w:ind w:firstLine="720"/>
        <w:jc w:val="both"/>
      </w:pPr>
      <w:r>
        <w:t>46.</w:t>
        <w:tab/>
        <w:t>Before April 17, 2024, Westlake did not know, and had no reason to know, of the Ridgecrest Agreement or of any Graydon involvement with Cascadia Fund IV. Defendants' reports affirmatively concealed both.</w:t>
      </w:r>
    </w:p>
    <w:p>
      <w:pPr>
        <w:spacing w:after="0" w:line="480" w:lineRule="auto"/>
        <w:ind w:firstLine="720"/>
        <w:jc w:val="both"/>
      </w:pPr>
      <w:r>
        <w:t>47.</w:t>
        <w:tab/>
        <w:t>Westlake promptly retained counsel and a forensic accounting firm. On June 3, 2024, Westlake, through counsel, delivered a written demand to Graydon identifying the breaches, demanding an accounting, repayment, and disgorgement, and demanding that Graydon cease competing activity and preserve evidence. On June 18, 2024, Graydon, through counsel, rejected every demand. Graydon did not deny that GCS had entered into the Ridgecrest Agreement or that the three investors committed to Cascadia Fund IV; it asserted instead that GCS is a "separate" entity and that Section 7.4 does not reach affiliates — a position foreclosed by Section 7.4's express text.</w:t>
      </w:r>
    </w:p>
    <w:p>
      <w:pPr>
        <w:keepNext/>
        <w:spacing w:after="120"/>
      </w:pPr>
      <w:r>
        <w:rPr>
          <w:b/>
        </w:rPr>
        <w:t>G.  Westlake's Damages</w:t>
      </w:r>
    </w:p>
    <w:p>
      <w:pPr>
        <w:spacing w:after="0" w:line="480" w:lineRule="auto"/>
        <w:ind w:firstLine="720"/>
        <w:jc w:val="both"/>
      </w:pPr>
      <w:r>
        <w:t>48.</w:t>
        <w:tab/>
        <w:t>As a direct and proximate result of Defendants' conduct, Westlake has suffered damages including: (a) $750,000 in Milestone Payments that were never owed; (b) compensation paid to Graydon during the period of its disloyalty, including Monthly Retainers of not less than $280,000 paid from November 2023 through June 2024, and such additional retainer and Placement Fee amounts paid after August 1, 2023 as the Court may order forfeited; (c) lost management fees on $50 million in diverted commitments, which at Fund III's 2.0% annual rate over the five-year investment period represent up to $5,000,000 in gross fee revenue, net of avoidable costs; (d) lost carried interest on the diverted commitments, in an amount to be established by expert testimony; and (e) consequential costs, presently estimated at approximately $1,200,000, of extending the Fund III fundraising period, engaging a replacement placement agent, and repairing investor relationships.</w:t>
      </w:r>
    </w:p>
    <w:p>
      <w:pPr>
        <w:spacing w:after="0" w:line="480" w:lineRule="auto"/>
        <w:ind w:firstLine="720"/>
        <w:jc w:val="both"/>
      </w:pPr>
      <w:r>
        <w:t>49.</w:t>
        <w:tab/>
        <w:t>Graydon Capital Solutions and Trevor Graydon have been unjustly enriched by the introduction fees paid or payable by Ridgecrest on the diverted commitments, presently estimated at $750,000.</w:t>
      </w:r>
    </w:p>
    <w:p>
      <w:pPr>
        <w:spacing w:after="0" w:line="480" w:lineRule="auto"/>
        <w:ind w:firstLine="720"/>
        <w:jc w:val="both"/>
      </w:pPr>
      <w:r>
        <w:t>50.</w:t>
        <w:tab/>
        <w:t>All conditions precedent to Westlake's claims have been performed, have occurred, or have been waived or excused.</w:t>
      </w:r>
    </w:p>
    <w:p>
      <w:pPr>
        <w:keepNext/>
        <w:spacing w:after="120"/>
        <w:jc w:val="center"/>
      </w:pPr>
      <w:r>
        <w:rPr>
          <w:b/>
        </w:rPr>
        <w:t>V.  CAUSES OF ACTION</w:t>
      </w:r>
    </w:p>
    <w:p>
      <w:pPr>
        <w:keepNext/>
        <w:spacing w:after="120"/>
      </w:pPr>
      <w:r>
        <w:rPr>
          <w:b/>
        </w:rPr>
        <w:t>COUNT I — BREACH OF CONTRACT (Against Graydon)</w:t>
      </w:r>
    </w:p>
    <w:p>
      <w:pPr>
        <w:spacing w:after="0" w:line="480" w:lineRule="auto"/>
        <w:ind w:firstLine="720"/>
        <w:jc w:val="both"/>
      </w:pPr>
      <w:r>
        <w:t>51.</w:t>
        <w:tab/>
        <w:t>Westlake incorporates paragraphs 1 through 50 as if fully set forth herein.</w:t>
      </w:r>
    </w:p>
    <w:p>
      <w:pPr>
        <w:spacing w:after="0" w:line="480" w:lineRule="auto"/>
        <w:ind w:firstLine="720"/>
        <w:jc w:val="both"/>
      </w:pPr>
      <w:r>
        <w:t>52.</w:t>
        <w:tab/>
        <w:t>The PAA is a valid and enforceable contract between Westlake and Graydon. Westlake performed its obligations under the PAA, including by paying Graydon approximately $3,130,000 in retainers, milestone payments, and placement fees.</w:t>
      </w:r>
    </w:p>
    <w:p>
      <w:pPr>
        <w:spacing w:after="0" w:line="480" w:lineRule="auto"/>
        <w:ind w:firstLine="720"/>
        <w:jc w:val="both"/>
      </w:pPr>
      <w:r>
        <w:t>53.</w:t>
        <w:tab/>
        <w:t>Graydon materially breached the PAA by, among other things: (a) failing to disclose the Ridgecrest Agreement and its Affiliate's compensation arrangement with the manager of a Competing Fund (§ 7.2); (b) entering into an undisclosed referral arrangement relating to Fund III prospects (§ 7.3); (c) directly and indirectly, including through its officers and its Affiliate GCS, soliciting, diverting, redirecting, and encouraging GPPERS, Harborview, and Northshore to invest in Cascadia Fund IV (§ 7.4); (d) delivering Milestone Certifications that were materially false, did not identify Capital Commitments reaching the applicable threshold, and lacked the required supporting documentation, and demanding and accepting Milestone Payments that were not due (§§ 4.2, 5.3); (e) delivering monthly activity reports that misstated investor status and omitted material developments and competitive activity (§ 5.2); (f) breaching its contractual fiduciary duties of loyalty, candor, and good faith (§ 8.1); and (g) failing to perform with the required standard of care (§§ 5.1, 8.2). Upon information and belief, Graydon has also failed to return Fund III investor lists, pipeline materials, and other materials within fifteen business days after the expiration of the Term (§§ 3.4, 9.3).</w:t>
      </w:r>
    </w:p>
    <w:p>
      <w:pPr>
        <w:spacing w:after="0" w:line="480" w:lineRule="auto"/>
        <w:ind w:firstLine="720"/>
        <w:jc w:val="both"/>
      </w:pPr>
      <w:r>
        <w:t>54.</w:t>
        <w:tab/>
        <w:t>Graydon's breaches caused Westlake the damages described above. Because the breaches involve fraud, willful misconduct, and violations of Sections 7.2, 7.3, 7.4, and 8, the PAA's limitation on consequential damages does not apply (§ 10.3).</w:t>
      </w:r>
    </w:p>
    <w:p>
      <w:pPr>
        <w:spacing w:after="0" w:line="480" w:lineRule="auto"/>
        <w:ind w:firstLine="720"/>
        <w:jc w:val="both"/>
      </w:pPr>
      <w:r>
        <w:t>55.</w:t>
        <w:tab/>
        <w:t>Westlake is entitled to recover its reasonable attorneys' fees and costs under PAA Sections 10.1 and 12.3 and Texas Civil Practice and Remedies Code § 38.001. Westlake presented its claim to Graydon by letter dated June 3, 2024, and Graydon failed to tender the amount owed.</w:t>
      </w:r>
    </w:p>
    <w:p>
      <w:pPr>
        <w:keepNext/>
        <w:spacing w:after="120"/>
      </w:pPr>
      <w:r>
        <w:rPr>
          <w:b/>
        </w:rPr>
        <w:t>COUNT II — BREACH OF FIDUCIARY DUTY (Against Graydon)</w:t>
      </w:r>
    </w:p>
    <w:p>
      <w:pPr>
        <w:spacing w:after="0" w:line="480" w:lineRule="auto"/>
        <w:ind w:firstLine="720"/>
        <w:jc w:val="both"/>
      </w:pPr>
      <w:r>
        <w:t>56.</w:t>
        <w:tab/>
        <w:t>Westlake incorporates paragraphs 1 through 50 as if fully set forth herein.</w:t>
      </w:r>
    </w:p>
    <w:p>
      <w:pPr>
        <w:spacing w:after="0" w:line="480" w:lineRule="auto"/>
        <w:ind w:firstLine="720"/>
        <w:jc w:val="both"/>
      </w:pPr>
      <w:r>
        <w:t>57.</w:t>
        <w:tab/>
        <w:t>Graydon owed Westlake fiduciary duties both because Graydon expressly acknowledged that it acted in a fiduciary capacity (PAA § 8.1) and because, as Westlake's agent for the solicitation of Capital Commitments (PAA § 13.7), Graydon owed Westlake the formal fiduciary duties that the common law imposes on an agent toward its principal, including duties of loyalty, candor, full disclosure, and to refrain from self-dealing and from competing with the principal.</w:t>
      </w:r>
    </w:p>
    <w:p>
      <w:pPr>
        <w:spacing w:after="0" w:line="480" w:lineRule="auto"/>
        <w:ind w:firstLine="720"/>
        <w:jc w:val="both"/>
      </w:pPr>
      <w:r>
        <w:t>58.</w:t>
        <w:tab/>
        <w:t>Graydon breached those duties by, among other things, allowing its CEO and his wholly owned affiliate to take compensation from a competing fund manager; steering Fund III prospects to that competitor; concealing the conflict and the diversions from its principal; and procuring payments from its principal through false reports.</w:t>
      </w:r>
    </w:p>
    <w:p>
      <w:pPr>
        <w:spacing w:after="0" w:line="480" w:lineRule="auto"/>
        <w:ind w:firstLine="720"/>
        <w:jc w:val="both"/>
      </w:pPr>
      <w:r>
        <w:t>59.</w:t>
        <w:tab/>
        <w:t>Graydon's breaches proximately caused injury to Westlake and resulted in benefits to Graydon and its affiliates. Westlake is entitled to actual damages and, independent of proof of actual damages, to equitable forfeiture of compensation paid to Graydon during the period of its disloyalty and disgorgement of all benefits Graydon and its affiliates obtained through the breaches, including through imposition of a constructive trust.</w:t>
      </w:r>
    </w:p>
    <w:p>
      <w:pPr>
        <w:keepNext/>
        <w:spacing w:after="120"/>
      </w:pPr>
      <w:r>
        <w:rPr>
          <w:b/>
        </w:rPr>
        <w:t>COUNT III — KNOWING PARTICIPATION IN BREACH OF FIDUCIARY DUTY (Against Trevor Graydon and GCS)</w:t>
      </w:r>
    </w:p>
    <w:p>
      <w:pPr>
        <w:spacing w:after="0" w:line="480" w:lineRule="auto"/>
        <w:ind w:firstLine="720"/>
        <w:jc w:val="both"/>
      </w:pPr>
      <w:r>
        <w:t>60.</w:t>
        <w:tab/>
        <w:t>Westlake incorporates paragraphs 1 through 50 as if fully set forth herein.</w:t>
      </w:r>
    </w:p>
    <w:p>
      <w:pPr>
        <w:spacing w:after="0" w:line="480" w:lineRule="auto"/>
        <w:ind w:firstLine="720"/>
        <w:jc w:val="both"/>
      </w:pPr>
      <w:r>
        <w:t>61.</w:t>
        <w:tab/>
        <w:t>Graydon owed fiduciary duties to Westlake. Trevor Graydon, who signed the PAA containing Graydon's fiduciary acknowledgment, and GCS, which acts solely through Trevor Graydon, knew of the fiduciary relationship and knew that Graydon was Westlake's exclusive placement agent for Fund III.</w:t>
      </w:r>
    </w:p>
    <w:p>
      <w:pPr>
        <w:spacing w:after="0" w:line="480" w:lineRule="auto"/>
        <w:ind w:firstLine="720"/>
        <w:jc w:val="both"/>
      </w:pPr>
      <w:r>
        <w:t>62.</w:t>
        <w:tab/>
        <w:t>Trevor Graydon and GCS knowingly participated in Graydon's breaches by executing and performing the Ridgecrest Agreement, personally promoting Cascadia Fund IV to Fund III prospects, directing and supervising Mr. Pruitt's diversion of those prospects, approving false reports that concealed the scheme, and accepting the resulting introduction fees. Under Texas law, a third party who knowingly participates in a fiduciary's breach becomes a joint tortfeasor with the fiduciary and is liable as such.</w:t>
      </w:r>
    </w:p>
    <w:p>
      <w:pPr>
        <w:spacing w:after="0" w:line="480" w:lineRule="auto"/>
        <w:ind w:firstLine="720"/>
        <w:jc w:val="both"/>
      </w:pPr>
      <w:r>
        <w:t>63.</w:t>
        <w:tab/>
        <w:t>Trevor Graydon and GCS are jointly and severally liable with Graydon for Westlake's damages and are subject to disgorgement of the benefits they obtained, including through a constructive trust over the Ridgecrest introduction fees.</w:t>
      </w:r>
    </w:p>
    <w:p>
      <w:pPr>
        <w:keepNext/>
        <w:spacing w:after="120"/>
      </w:pPr>
      <w:r>
        <w:rPr>
          <w:b/>
        </w:rPr>
        <w:t>COUNT IV — COMMON-LAW FRAUD AND FRAUD BY NONDISCLOSURE (Against Graydon and Trevor Graydon)</w:t>
      </w:r>
    </w:p>
    <w:p>
      <w:pPr>
        <w:spacing w:after="0" w:line="480" w:lineRule="auto"/>
        <w:ind w:firstLine="720"/>
        <w:jc w:val="both"/>
      </w:pPr>
      <w:r>
        <w:t>64.</w:t>
        <w:tab/>
        <w:t>Westlake incorporates paragraphs 1 through 50 as if fully set forth herein.</w:t>
      </w:r>
    </w:p>
    <w:p>
      <w:pPr>
        <w:spacing w:after="0" w:line="480" w:lineRule="auto"/>
        <w:ind w:firstLine="720"/>
        <w:jc w:val="both"/>
      </w:pPr>
      <w:r>
        <w:t>65.</w:t>
        <w:tab/>
        <w:t>As set out with particularity in paragraphs 38 through 41 above, Graydon, acting through Mr. Pruitt and Trevor Graydon, made material misrepresentations of existing fact to Westlake, including: (a) that GPPERS had received the full data room and indicated an $8 million allocation (May 8, 2023); (b) that the Fund had met each Milestone Threshold (May 8, 2023; September 9, 2023; March 8, 2024); (c) that Harborview's committee had postponed its Fund III review and that Graydon planned to re-engage (January 9, 2024); (d) that GPPERS's Fund III allocation was pending board approval and that Harborview was in re-engagement discussions (March 8, 2024); and (e) that there were no conflicts or material developments requiring disclosure (September 9, 2023; January 9, 2024; March 8, 2024).</w:t>
      </w:r>
    </w:p>
    <w:p>
      <w:pPr>
        <w:spacing w:after="0" w:line="480" w:lineRule="auto"/>
        <w:ind w:firstLine="720"/>
        <w:jc w:val="both"/>
      </w:pPr>
      <w:r>
        <w:t>66.</w:t>
        <w:tab/>
        <w:t>Trevor Graydon is personally liable for these misrepresentations because he personally reviewed, approved, and signed each certification and report and personally participated in the underlying diversion. A corporate agent is personally liable for fraudulent or tortious acts that he commits or in which he knowingly participates, even when acting on the corporation's behalf.</w:t>
      </w:r>
    </w:p>
    <w:p>
      <w:pPr>
        <w:spacing w:after="0" w:line="480" w:lineRule="auto"/>
        <w:ind w:firstLine="720"/>
        <w:jc w:val="both"/>
      </w:pPr>
      <w:r>
        <w:t>67.</w:t>
        <w:tab/>
        <w:t>Graydon and Trevor Graydon also committed fraud by nondisclosure. As Westlake's fiduciary and agent, and by reason of their partial and misleading disclosures, they had a duty to disclose the Ridgecrest Agreement and the diversion of Fund III prospects, and they deliberately remained silent.</w:t>
      </w:r>
    </w:p>
    <w:p>
      <w:pPr>
        <w:spacing w:after="0" w:line="480" w:lineRule="auto"/>
        <w:ind w:firstLine="720"/>
        <w:jc w:val="both"/>
      </w:pPr>
      <w:r>
        <w:t>68.</w:t>
        <w:tab/>
        <w:t>The representations were false when made; Defendants knew they were false or made them recklessly without knowledge of their truth; Defendants intended that Westlake act on them; and Westlake justifiably relied on them by paying $750,000 in Milestone Payments, continuing to pay retainers and Placement Fees, and forgoing measures to protect the diverted relationships. Westlake suffered injury as a result.</w:t>
      </w:r>
    </w:p>
    <w:p>
      <w:pPr>
        <w:spacing w:after="0" w:line="480" w:lineRule="auto"/>
        <w:ind w:firstLine="720"/>
        <w:jc w:val="both"/>
      </w:pPr>
      <w:r>
        <w:t>69.</w:t>
        <w:tab/>
        <w:t>Because Defendants' fraud is independent of Graydon's contractual promises and arose from its fiduciary relationship with Westlake, and because Westlake seeks recovery of benefits fraudulently obtained, Westlake's fraud claim is not barred by the economic-loss rule.</w:t>
      </w:r>
    </w:p>
    <w:p>
      <w:pPr>
        <w:keepNext/>
        <w:spacing w:after="120"/>
      </w:pPr>
      <w:r>
        <w:rPr>
          <w:b/>
        </w:rPr>
        <w:t>COUNT V — UNJUST ENRICHMENT AND MONEY HAD AND RECEIVED (Against GCS and Trevor Graydon; and, in the Alternative, Against Graydon)</w:t>
      </w:r>
    </w:p>
    <w:p>
      <w:pPr>
        <w:spacing w:after="0" w:line="480" w:lineRule="auto"/>
        <w:ind w:firstLine="720"/>
        <w:jc w:val="both"/>
      </w:pPr>
      <w:r>
        <w:t>70.</w:t>
        <w:tab/>
        <w:t>Westlake incorporates paragraphs 1 through 50 as if fully set forth herein.</w:t>
      </w:r>
    </w:p>
    <w:p>
      <w:pPr>
        <w:spacing w:after="0" w:line="480" w:lineRule="auto"/>
        <w:ind w:firstLine="720"/>
        <w:jc w:val="both"/>
      </w:pPr>
      <w:r>
        <w:t>71.</w:t>
        <w:tab/>
        <w:t>GCS and Trevor Graydon are not parties to the PAA, and no express contract between them and Westlake governs the fees Ridgecrest paid for the diverted investors. GCS and Trevor Graydon obtained those fees by fraud, by taking undue advantage, and through participation in Graydon's breach of fiduciary duty. They hold money that in equity and good conscience belongs to Westlake.</w:t>
      </w:r>
    </w:p>
    <w:p>
      <w:pPr>
        <w:spacing w:after="0" w:line="480" w:lineRule="auto"/>
        <w:ind w:firstLine="720"/>
        <w:jc w:val="both"/>
      </w:pPr>
      <w:r>
        <w:t>72.</w:t>
        <w:tab/>
        <w:t>In the alternative, and only to the extent the Court determines that any Milestone Payment or other compensation paid to Graydon falls outside the PAA or that the PAA is unenforceable in any relevant respect, Graydon has been unjustly enriched by, and holds money that in equity and good conscience belongs to Westlake in the form of, the $750,000 in Milestone Payments procured through fraud.</w:t>
      </w:r>
    </w:p>
    <w:p>
      <w:pPr>
        <w:spacing w:after="0" w:line="480" w:lineRule="auto"/>
        <w:ind w:firstLine="720"/>
        <w:jc w:val="both"/>
      </w:pPr>
      <w:r>
        <w:t>73.</w:t>
        <w:tab/>
        <w:t>Westlake is entitled to restitution and disgorgement of these amounts, with prejudgment interest, and to the imposition of a constructive trust over the Ridgecrest introduction fees and their traceable proceeds.</w:t>
      </w:r>
    </w:p>
    <w:p>
      <w:pPr>
        <w:keepNext/>
        <w:spacing w:after="120"/>
      </w:pPr>
      <w:r>
        <w:rPr>
          <w:b/>
        </w:rPr>
        <w:t>COUNT VI — PERMANENT INJUNCTION TO ENFORCE PAA SECTION 7.4 (Against Graydon, and Against Trevor Graydon and GCS as Persons in Active Concert)</w:t>
      </w:r>
    </w:p>
    <w:p>
      <w:pPr>
        <w:spacing w:after="0" w:line="480" w:lineRule="auto"/>
        <w:ind w:firstLine="720"/>
        <w:jc w:val="both"/>
      </w:pPr>
      <w:r>
        <w:t>74.</w:t>
        <w:tab/>
        <w:t>Westlake incorporates paragraphs 1 through 50 as if fully set forth herein.</w:t>
      </w:r>
    </w:p>
    <w:p>
      <w:pPr>
        <w:spacing w:after="0" w:line="480" w:lineRule="auto"/>
        <w:ind w:firstLine="720"/>
        <w:jc w:val="both"/>
      </w:pPr>
      <w:r>
        <w:t>75.</w:t>
        <w:tab/>
        <w:t>Section 7.4 prohibits Graydon, directly or indirectly, and whether acting for itself or any Affiliate, from soliciting or diverting Fund III Investors to any Competing Fund through July 18, 2025. The Ridgecrest Agreement remains in effect through July 31, 2025, giving Defendants a continuing incentive to divert remaining Fund III prospects, including other investors Graydon introduced to Fund III during the Term.</w:t>
      </w:r>
    </w:p>
    <w:p>
      <w:pPr>
        <w:spacing w:after="0" w:line="480" w:lineRule="auto"/>
        <w:ind w:firstLine="720"/>
        <w:jc w:val="both"/>
      </w:pPr>
      <w:r>
        <w:t>76.</w:t>
        <w:tab/>
        <w:t>Westlake has succeeded, or is likely to succeed, on its claim for breach of Section 7.4; the loss of institutional investor relationships and fundraising momentum is irreparable and not readily compensable in damages, as Graydon agreed in PAA Section 12.4; the balance of hardships favors Westlake because the injunction would only hold Graydon to its bargain; and the public interest favors enforcement of reasonable, bargained-for covenants. Westlake requests a permanent injunction, and reserves the right to move for preliminary relief, enjoining Defendants and all persons in active concert with them from soliciting, diverting, redirecting, or encouraging any Investor introduced to Fund III by Graydon or in active discussions with Westlake during the Term to invest in any Competing Fund, through July 18, 2025, together with an equitable extension of the Restricted Period for any period of proven violation, and ordering the return of all Fund III materials under Sections 3.4 and 9.3.</w:t>
      </w:r>
    </w:p>
    <w:p>
      <w:pPr>
        <w:keepNext/>
        <w:spacing w:after="120"/>
        <w:jc w:val="center"/>
      </w:pPr>
      <w:r>
        <w:rPr>
          <w:b/>
        </w:rPr>
        <w:t>VI.  EXEMPLARY DAMAGES</w:t>
      </w:r>
    </w:p>
    <w:p>
      <w:pPr>
        <w:spacing w:after="0" w:line="480" w:lineRule="auto"/>
        <w:ind w:firstLine="720"/>
        <w:jc w:val="both"/>
      </w:pPr>
      <w:r>
        <w:t>77.</w:t>
        <w:tab/>
        <w:t>Defendants' conduct constitutes fraud and malice within the meaning of Texas Civil Practice and Remedies Code § 41.003(a). Westlake seeks exemplary damages against each Defendant in an amount to be determined by the jury. Westlake reserves the right to contend that the limitations of § 41.008(b) do not apply under § 41.008(c).</w:t>
      </w:r>
    </w:p>
    <w:p>
      <w:pPr>
        <w:keepNext/>
        <w:spacing w:after="120"/>
        <w:jc w:val="center"/>
      </w:pPr>
      <w:r>
        <w:rPr>
          <w:b/>
        </w:rPr>
        <w:t>VII.  DISCOVERY RULE, FRAUDULENT CONCEALMENT, AND LIMITATIONS</w:t>
      </w:r>
    </w:p>
    <w:p>
      <w:pPr>
        <w:spacing w:after="0" w:line="480" w:lineRule="auto"/>
        <w:ind w:firstLine="720"/>
        <w:jc w:val="both"/>
      </w:pPr>
      <w:r>
        <w:t>78.</w:t>
        <w:tab/>
        <w:t>Westlake's claims are timely. The earliest wrongful conduct alleged occurred no earlier than May 2023, well within the applicable limitations periods. In any event, Westlake's injuries were inherently undiscoverable and objectively verifiable, and Defendants fraudulently concealed their wrongdoing through affirmative misrepresentations and silence in the face of a duty to disclose. Accrual of all claims was deferred until at least April 17, 2024, when Westlake first learned facts suggesting Graydon's involvement with Ridgecrest.</w:t>
      </w:r>
    </w:p>
    <w:p>
      <w:pPr>
        <w:keepNext/>
        <w:spacing w:after="120"/>
        <w:jc w:val="center"/>
      </w:pPr>
      <w:r>
        <w:rPr>
          <w:b/>
        </w:rPr>
        <w:t>VIII.  JURY DEMAND</w:t>
      </w:r>
    </w:p>
    <w:p>
      <w:pPr>
        <w:spacing w:after="0" w:line="480" w:lineRule="auto"/>
        <w:ind w:firstLine="720"/>
        <w:jc w:val="both"/>
      </w:pPr>
      <w:r>
        <w:t>79.</w:t>
        <w:tab/>
        <w:t>Pursuant to Federal Rule of Civil Procedure 38, Westlake demands a trial by jury on all issues so triable.</w:t>
      </w:r>
    </w:p>
    <w:p>
      <w:pPr>
        <w:keepNext/>
        <w:spacing w:after="120"/>
        <w:jc w:val="center"/>
      </w:pPr>
      <w:r>
        <w:rPr>
          <w:b/>
        </w:rPr>
        <w:t>IX.  PRAYER FOR RELIEF</w:t>
      </w:r>
    </w:p>
    <w:p>
      <w:pPr>
        <w:spacing w:after="0" w:line="480" w:lineRule="auto"/>
        <w:ind w:firstLine="720"/>
        <w:jc w:val="both"/>
      </w:pPr>
      <w:r>
        <w:t>WHEREFORE, Westlake respectfully requests that the Court enter judgment in its favor and against Defendants, jointly and severally where permitted by law, awarding:</w:t>
      </w:r>
    </w:p>
    <w:p>
      <w:pPr>
        <w:spacing w:after="0" w:line="480" w:lineRule="auto"/>
        <w:ind w:left="720"/>
        <w:jc w:val="both"/>
      </w:pPr>
      <w:r>
        <w:t>(a)</w:t>
        <w:tab/>
        <w:t>Actual damages, including direct and consequential damages, in an amount to be proven at trial;</w:t>
      </w:r>
    </w:p>
    <w:p>
      <w:pPr>
        <w:spacing w:after="0" w:line="480" w:lineRule="auto"/>
        <w:ind w:left="720"/>
        <w:jc w:val="both"/>
      </w:pPr>
      <w:r>
        <w:t>(b)</w:t>
        <w:tab/>
        <w:t>Recovery of the $750,000 in Milestone Payments;</w:t>
      </w:r>
    </w:p>
    <w:p>
      <w:pPr>
        <w:spacing w:after="0" w:line="480" w:lineRule="auto"/>
        <w:ind w:left="720"/>
        <w:jc w:val="both"/>
      </w:pPr>
      <w:r>
        <w:t>(c)</w:t>
        <w:tab/>
        <w:t>Forfeiture of compensation paid to Graydon during the period of its disloyalty, in an amount to be determined by the Court, but not less than $280,000;</w:t>
      </w:r>
    </w:p>
    <w:p>
      <w:pPr>
        <w:spacing w:after="0" w:line="480" w:lineRule="auto"/>
        <w:ind w:left="720"/>
        <w:jc w:val="both"/>
      </w:pPr>
      <w:r>
        <w:t>(d)</w:t>
        <w:tab/>
        <w:t>Disgorgement of all introduction fees and other benefits obtained by GCS and Trevor Graydon from Ridgecrest on account of Fund III Investors, presently estimated at $750,000, and imposition of a constructive trust over such fees and their proceeds;</w:t>
      </w:r>
    </w:p>
    <w:p>
      <w:pPr>
        <w:spacing w:after="0" w:line="480" w:lineRule="auto"/>
        <w:ind w:left="720"/>
        <w:jc w:val="both"/>
      </w:pPr>
      <w:r>
        <w:t>(e)</w:t>
        <w:tab/>
        <w:t>An accounting of all compensation paid or payable to any Defendant by Ridgecrest or any other manager of a Competing Fund on account of any Fund III Investor;</w:t>
      </w:r>
    </w:p>
    <w:p>
      <w:pPr>
        <w:spacing w:after="0" w:line="480" w:lineRule="auto"/>
        <w:ind w:left="720"/>
        <w:jc w:val="both"/>
      </w:pPr>
      <w:r>
        <w:t>(f)</w:t>
        <w:tab/>
        <w:t>Exemplary damages;</w:t>
      </w:r>
    </w:p>
    <w:p>
      <w:pPr>
        <w:spacing w:after="0" w:line="480" w:lineRule="auto"/>
        <w:ind w:left="720"/>
        <w:jc w:val="both"/>
      </w:pPr>
      <w:r>
        <w:t>(g)</w:t>
        <w:tab/>
        <w:t>A permanent injunction as described in Count VI;</w:t>
      </w:r>
    </w:p>
    <w:p>
      <w:pPr>
        <w:spacing w:after="0" w:line="480" w:lineRule="auto"/>
        <w:ind w:left="720"/>
        <w:jc w:val="both"/>
      </w:pPr>
      <w:r>
        <w:t>(h)</w:t>
        <w:tab/>
        <w:t>Reasonable attorneys' fees, expert fees, and costs under PAA Sections 10.1 and 12.3, Texas Civil Practice and Remedies Code § 38.001, and other applicable law;</w:t>
      </w:r>
    </w:p>
    <w:p>
      <w:pPr>
        <w:spacing w:after="0" w:line="480" w:lineRule="auto"/>
        <w:ind w:left="720"/>
        <w:jc w:val="both"/>
      </w:pPr>
      <w:r>
        <w:t>(i)</w:t>
        <w:tab/>
        <w:t>Pre-judgment and post-judgment interest at the maximum rate permitted by law; and</w:t>
      </w:r>
    </w:p>
    <w:p>
      <w:pPr>
        <w:spacing w:after="0" w:line="480" w:lineRule="auto"/>
        <w:ind w:left="720"/>
        <w:jc w:val="both"/>
      </w:pPr>
      <w:r>
        <w:t>(j)</w:t>
        <w:tab/>
        <w:t>Such other and further relief, at law or in equity, to which Westlake may be justly entitled.</w:t>
      </w:r>
    </w:p>
    <w:p>
      <w:pPr>
        <w:spacing w:after="120"/>
      </w:pPr>
    </w:p>
    <w:p>
      <w:pPr>
        <w:spacing w:after="120"/>
      </w:pPr>
      <w:r>
        <w:t>Dated: August ___, 2024</w:t>
      </w:r>
    </w:p>
    <w:p>
      <w:pPr>
        <w:spacing w:after="120"/>
        <w:ind w:left="4680"/>
      </w:pPr>
      <w:r>
        <w:t>Respectfully submitted,</w:t>
        <w:br/>
        <w:br/>
        <w:t>KENDRICK, LYLE &amp; STRAUSS LLP</w:t>
        <w:br/>
        <w:br/>
        <w:t>By: /s/ [DRAFT — NOT FOR FILING]</w:t>
        <w:br/>
        <w:t>Catherine M. Aldridge</w:t>
        <w:br/>
        <w:t>Texas Bar No. [______</w:t>
      </w:r>
      <w:r>
        <w:rPr>
          <w:i/>
        </w:rPr>
        <w:t>]</w:t>
        <w:br/>
        <w:t>caldridge@kendricklyle.com</w:t>
        <w:br/>
        <w:t>Jordan T. Nakamura</w:t>
        <w:br/>
        <w:t>Texas Bar No. [</w:t>
      </w:r>
      <w:r>
        <w:t>______]</w:t>
        <w:br/>
        <w:t>1700 Pacific Avenue, Suite 3200</w:t>
        <w:br/>
        <w:t>Dallas, Texas 75201</w:t>
        <w:br/>
        <w:t>Telephone: (214) 553-8140</w:t>
        <w:br/>
        <w:br/>
        <w:t>ATTORNEYS FOR PLAINTIFF</w:t>
        <w:br/>
        <w:t>WESTLAKE CAPITAL PARTNERS LLC</w:t>
      </w:r>
    </w:p>
    <w:p>
      <w:r>
        <w:br w:type="page"/>
      </w:r>
    </w:p>
    <w:p>
      <w:pPr>
        <w:spacing w:after="120"/>
        <w:jc w:val="center"/>
      </w:pPr>
      <w:r>
        <w:rPr>
          <w:b/>
        </w:rPr>
        <w:t>DRAFTING NOTE (REMOVE BEFORE FILING)</w:t>
      </w:r>
    </w:p>
    <w:p>
      <w:pPr>
        <w:spacing w:after="120"/>
        <w:jc w:val="both"/>
      </w:pPr>
      <w:r>
        <w:t>This is a working draft. Bracketed items must be resolved before filing — above all the citizenship of every Westlake member and of Trevor Graydon, on which subject-matter jurisdiction depends. File with the Civil Cover Sheet (JS 44), a Rule 7.1 disclosure statement that identifies each member's citizenship, the N.D. Tex. Local Civil Rule 3.1(c) certificate of interested persons, and summonses for each Defendant. The quoted Northshore statement and the investor-level facts pleaded on information and belief come from privileged investigation materials; confirm that pleading them does not require disclosing privileged sources. See the Filing-Issues Memorandum.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