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rPr>
        <w:t>PRIVILEGED AND CONFIDENTIAL — ATTORNEY WORK PRODUCT</w:t>
      </w:r>
    </w:p>
    <w:p>
      <w:pPr>
        <w:spacing w:after="120"/>
        <w:jc w:val="center"/>
      </w:pPr>
      <w:r>
        <w:rPr>
          <w:b/>
          <w:sz w:val="28"/>
        </w:rPr>
        <w:t>MEMORANDUM</w:t>
      </w:r>
    </w:p>
    <w:tbl>
      <w:tblPr>
        <w:tblStyle w:val="TableGrid"/>
        <w:tblW w:type="auto" w:w="0"/>
        <w:tblLook w:firstColumn="1" w:firstRow="1" w:lastColumn="0" w:lastRow="0" w:noHBand="0" w:noVBand="1" w:val="04A0"/>
      </w:tblPr>
      <w:tblGrid>
        <w:gridCol w:w="4680"/>
        <w:gridCol w:w="4680"/>
      </w:tblGrid>
      <w:tr>
        <w:tc>
          <w:tcPr>
            <w:tcW w:type="dxa" w:w="1440"/>
          </w:tcPr>
          <w:p>
            <w:r>
              <w:rPr>
                <w:sz w:val="20"/>
              </w:rPr>
            </w:r>
            <w:r>
              <w:rPr>
                <w:sz w:val="20"/>
              </w:rPr>
              <w:t>TO:</w:t>
            </w:r>
          </w:p>
        </w:tc>
        <w:tc>
          <w:tcPr>
            <w:tcW w:type="dxa" w:w="7920"/>
          </w:tcPr>
          <w:p>
            <w:r>
              <w:rPr>
                <w:sz w:val="20"/>
              </w:rPr>
            </w:r>
            <w:r>
              <w:rPr>
                <w:sz w:val="20"/>
              </w:rPr>
              <w:t>Catherine M. Aldridge, Partner</w:t>
            </w:r>
          </w:p>
        </w:tc>
      </w:tr>
      <w:tr>
        <w:tc>
          <w:tcPr>
            <w:tcW w:type="dxa" w:w="1440"/>
          </w:tcPr>
          <w:p>
            <w:r>
              <w:rPr>
                <w:sz w:val="20"/>
              </w:rPr>
            </w:r>
            <w:r>
              <w:rPr>
                <w:sz w:val="20"/>
              </w:rPr>
              <w:t>FROM:</w:t>
            </w:r>
          </w:p>
        </w:tc>
        <w:tc>
          <w:tcPr>
            <w:tcW w:type="dxa" w:w="7920"/>
          </w:tcPr>
          <w:p>
            <w:r>
              <w:rPr>
                <w:sz w:val="20"/>
              </w:rPr>
            </w:r>
            <w:r>
              <w:rPr>
                <w:sz w:val="20"/>
              </w:rPr>
              <w:t>[Drafting attorney]</w:t>
            </w:r>
          </w:p>
        </w:tc>
      </w:tr>
      <w:tr>
        <w:tc>
          <w:tcPr>
            <w:tcW w:type="dxa" w:w="1440"/>
          </w:tcPr>
          <w:p>
            <w:r>
              <w:rPr>
                <w:sz w:val="20"/>
              </w:rPr>
            </w:r>
            <w:r>
              <w:rPr>
                <w:sz w:val="20"/>
              </w:rPr>
              <w:t>CC:</w:t>
            </w:r>
          </w:p>
        </w:tc>
        <w:tc>
          <w:tcPr>
            <w:tcW w:type="dxa" w:w="7920"/>
          </w:tcPr>
          <w:p>
            <w:r>
              <w:rPr>
                <w:sz w:val="20"/>
              </w:rPr>
            </w:r>
            <w:r>
              <w:rPr>
                <w:sz w:val="20"/>
              </w:rPr>
              <w:t>Jordan T. Nakamura, Associate</w:t>
            </w:r>
          </w:p>
        </w:tc>
      </w:tr>
      <w:tr>
        <w:tc>
          <w:tcPr>
            <w:tcW w:type="dxa" w:w="1440"/>
          </w:tcPr>
          <w:p>
            <w:r>
              <w:rPr>
                <w:sz w:val="20"/>
              </w:rPr>
            </w:r>
            <w:r>
              <w:rPr>
                <w:sz w:val="20"/>
              </w:rPr>
              <w:t>DATE:</w:t>
            </w:r>
          </w:p>
        </w:tc>
        <w:tc>
          <w:tcPr>
            <w:tcW w:type="dxa" w:w="7920"/>
          </w:tcPr>
          <w:p>
            <w:r>
              <w:rPr>
                <w:sz w:val="20"/>
              </w:rPr>
            </w:r>
            <w:r>
              <w:rPr>
                <w:sz w:val="20"/>
              </w:rPr>
              <w:t>August ___, 2024</w:t>
            </w:r>
          </w:p>
        </w:tc>
      </w:tr>
      <w:tr>
        <w:tc>
          <w:tcPr>
            <w:tcW w:type="dxa" w:w="1440"/>
          </w:tcPr>
          <w:p>
            <w:r>
              <w:rPr>
                <w:sz w:val="20"/>
              </w:rPr>
            </w:r>
            <w:r>
              <w:rPr>
                <w:sz w:val="20"/>
              </w:rPr>
              <w:t>RE:</w:t>
            </w:r>
          </w:p>
        </w:tc>
        <w:tc>
          <w:tcPr>
            <w:tcW w:type="dxa" w:w="7920"/>
          </w:tcPr>
          <w:p>
            <w:r>
              <w:rPr>
                <w:sz w:val="20"/>
              </w:rPr>
            </w:r>
            <w:r>
              <w:rPr>
                <w:i/>
                <w:sz w:val="20"/>
              </w:rPr>
              <w:t>Westlake Capital Partners LLC v. Graydon Strategic Advisors Inc., et al.</w:t>
            </w:r>
            <w:r>
              <w:rPr>
                <w:sz w:val="20"/>
              </w:rPr>
              <w:t xml:space="preserve"> (N.D. Tex., Dallas Div.): issues to resolve before filing the draft Original Complaint</w:t>
            </w:r>
          </w:p>
        </w:tc>
      </w:tr>
    </w:tbl>
    <w:p/>
    <w:p>
      <w:pPr>
        <w:pStyle w:val="Heading1"/>
      </w:pPr>
      <w:r>
        <w:t>1. Bottom Line</w:t>
      </w:r>
    </w:p>
    <w:p>
      <w:pPr>
        <w:spacing w:after="120"/>
        <w:jc w:val="both"/>
      </w:pPr>
      <w:r>
        <w:t>The draft complaint is attached as federal-complaint.docx. The core case is strong. Graydon's CEO personally signed a fee-paying capital introduction agreement with a competing industrial fund manager six and a half months into an exclusive, fiduciary placement engagement. Three Fund III prospects worth $50 million then went to that competitor. Graydon's reports, which he approved, kept saying there were "no . . . conflicts" and kept carrying two of those investors as live Fund III prospects after they had already committed elsewhere. Graydon's main pre-suit defense is that PAA § 7.4 does not reach affiliates. The contract's own text defeats that defense (§ 7.4 covers actions taken "on behalf of Graydon or any Affiliate"; § 1.1 defines Affiliate to include entities 25%-owned by Graydon's principals).</w:t>
      </w:r>
    </w:p>
    <w:p>
      <w:pPr>
        <w:spacing w:after="120"/>
        <w:jc w:val="both"/>
      </w:pPr>
      <w:r>
        <w:t>The complaint should not be filed as-is. One issue could defeat subject-matter jurisdiction: our jurisdiction analysis relies on the wrong test for an LLC's citizenship (§ 2). We also need partner decisions on several points, and the intake memo, the Millhaven report, and the demand letter each contain errors that must not carry into a public pleading (§ 3). The main drafting choices in the complaint are:</w:t>
      </w:r>
    </w:p>
    <w:p>
      <w:pPr>
        <w:spacing w:after="120"/>
        <w:ind w:left="720" w:hanging="360"/>
        <w:jc w:val="both"/>
      </w:pPr>
      <w:r>
        <w:t>•</w:t>
        <w:tab/>
      </w:r>
      <w:r>
        <w:rPr>
          <w:b/>
        </w:rPr>
        <w:t>Defendants.</w:t>
      </w:r>
      <w:r>
        <w:t xml:space="preserve"> It names Graydon, Trevor Graydon, and Graydon Capital Solutions LLC (GCS), subject to your approval. It does not name Nathaniel Pruitt (see § 4.3).</w:t>
      </w:r>
    </w:p>
    <w:p>
      <w:pPr>
        <w:spacing w:after="120"/>
        <w:ind w:left="720" w:hanging="360"/>
        <w:jc w:val="both"/>
      </w:pPr>
      <w:r>
        <w:t>•</w:t>
        <w:tab/>
      </w:r>
      <w:r>
        <w:rPr>
          <w:b/>
        </w:rPr>
        <w:t>The milestone claim.</w:t>
      </w:r>
      <w:r>
        <w:t xml:space="preserve"> The primary theory is that no Milestone Threshold was ever met, because thresholds are measured in binding "Capital Commitments" (§ 1.2). "Pipeline" does not count. Fraud is pleaded around specific false statements of fact, not around the pipeline totals (§ 5).</w:t>
      </w:r>
    </w:p>
    <w:p>
      <w:pPr>
        <w:spacing w:after="120"/>
        <w:ind w:left="720" w:hanging="360"/>
        <w:jc w:val="both"/>
      </w:pPr>
      <w:r>
        <w:t>•</w:t>
        <w:tab/>
      </w:r>
      <w:r>
        <w:rPr>
          <w:b/>
        </w:rPr>
        <w:t>Damages.</w:t>
      </w:r>
      <w:r>
        <w:t xml:space="preserve"> It pleads damages by category and does not adopt the $14.73 million total, which contains arithmetic and method errors (§ 6).</w:t>
      </w:r>
    </w:p>
    <w:p>
      <w:pPr>
        <w:spacing w:after="120"/>
        <w:ind w:left="720" w:hanging="360"/>
        <w:jc w:val="both"/>
      </w:pPr>
      <w:r>
        <w:t>•</w:t>
        <w:tab/>
      </w:r>
      <w:r>
        <w:rPr>
          <w:b/>
        </w:rPr>
        <w:t>Additional counts.</w:t>
      </w:r>
      <w:r>
        <w:t xml:space="preserve"> It adds a count for knowing participation in breach of fiduciary duty against Trevor Graydon and GCS. It also includes a request for a permanent injunction enforcing § 7.4 through July 18, 2025.</w:t>
      </w:r>
    </w:p>
    <w:p>
      <w:pPr>
        <w:pStyle w:val="Heading1"/>
      </w:pPr>
      <w:r>
        <w:t>2. Filing Blocker: Diversity Jurisdiction</w:t>
      </w:r>
    </w:p>
    <w:p>
      <w:pPr>
        <w:pStyle w:val="Heading2"/>
      </w:pPr>
      <w:r>
        <w:t>2.1 The intake memo applies the wrong citizenship test to Westlake</w:t>
      </w:r>
    </w:p>
    <w:p>
      <w:pPr>
        <w:spacing w:after="120"/>
        <w:jc w:val="both"/>
      </w:pPr>
      <w:r>
        <w:t xml:space="preserve">The intake memo (§ V.A) treats Westlake as a citizen of Delaware (its state of organization) and Texas (its principal place of business). That is the test for corporations. It does not apply to LLCs. In the Fifth Circuit, an LLC's citizenship is the citizenship of each of its members, traced through every layer of entity members. </w:t>
      </w:r>
      <w:r>
        <w:rPr>
          <w:i/>
        </w:rPr>
        <w:t>Harvey v. Grey Wolf Drilling Co.</w:t>
      </w:r>
      <w:r>
        <w:t>, 542 F.3d 1077, 1080 (5th Cir. 2008). Where Westlake was organized and where it has its principal place of business do not matter. None of the eight source documents states where Mr. Harwell or Ms. Rosario-Vega is domiciled, or whether Westlake has other members (for example, employees with equity, family trusts, or an upstream holding entity). If any member is a New York citizen, or a citizen of whatever state Trevor Graydon is domiciled in, complete diversity fails and the case must be filed in Texas state court (Dallas County, which § 12.2 also permits).</w:t>
      </w:r>
    </w:p>
    <w:p>
      <w:pPr>
        <w:spacing w:after="120"/>
        <w:jc w:val="both"/>
      </w:pPr>
      <w:r>
        <w:rPr>
          <w:b/>
        </w:rPr>
        <w:t>Action items before filing:</w:t>
      </w:r>
      <w:r>
        <w:t xml:space="preserve"> (1) Get Westlake's operating agreement and current member list. (2) Confirm each individual member's domicile (residence plus intent to remain). (3) Trace any entity members to their ultimate owners. (4) Confirm Trevor Graydon's domicile. Because GCS's citizenship is his citizenship, naming GCS does not change the analysis unless he lives somewhere unexpected. (5) If we name Mr. Pruitt, confirm his domicile too. The complaint leaves these allegations bracketed and marked CONFIRM.</w:t>
      </w:r>
    </w:p>
    <w:p>
      <w:pPr>
        <w:pStyle w:val="Heading2"/>
      </w:pPr>
      <w:r>
        <w:t>2.2 Related disclosure requirements</w:t>
      </w:r>
    </w:p>
    <w:p>
      <w:pPr>
        <w:spacing w:after="120"/>
        <w:jc w:val="both"/>
      </w:pPr>
      <w:r>
        <w:t>Since the December 1, 2022 amendment, Fed. R. Civ. P. 7.1(a)(2) requires every party in a diversity case to file, with its first filing, a disclosure statement that names and identifies the citizenship of every individual or entity whose citizenship is attributed to that party. Westlake's statement must list its members and their citizenship. N.D. Tex. Local Civil Rule 3.1(c) separately requires a certificate of interested persons with the complaint. Both must match the complaint's jurisdictional allegations.</w:t>
      </w:r>
    </w:p>
    <w:p>
      <w:pPr>
        <w:pStyle w:val="Heading2"/>
      </w:pPr>
      <w:r>
        <w:t>2.3 Do not add Fund III or its limited partners as plaintiffs</w:t>
      </w:r>
    </w:p>
    <w:p>
      <w:pPr>
        <w:spacing w:after="120"/>
        <w:jc w:val="both"/>
      </w:pPr>
      <w:r>
        <w:t xml:space="preserve">Some damages (carried interest in particular) may belong to Fund III's general partner, not to Westlake, and management fees may be paid to a separate management company. Do not solve that by adding Westlake Capital Partners Fund III LP as a plaintiff. A limited partnership takes the citizenship of all its partners, including all limited partners. Fund III's investors include public pension systems (e.g., Meridian State Teachers' Pension), which may be arms of a state and therefore not citizens of any state, as well as investors whose domiciles we have not checked. Either problem could destroy diversity. If the carry belongs to a separate GP entity, the options are: (a) join the GP entity as a co-plaintiff after confirming its members' citizenship; (b) take an assignment under PAA § 13.3, bearing in mind that 28 U.S.C. § 1359 bars collusive assignments made to create jurisdiction; or (c) have Westlake plead the carry as its own loss only to the extent it owns the carry economics. </w:t>
      </w:r>
      <w:r>
        <w:rPr>
          <w:b/>
        </w:rPr>
        <w:t>Please confirm the Fund III fee and carry structure: which entity receives management fees, and which receives carried interest.</w:t>
      </w:r>
    </w:p>
    <w:p>
      <w:pPr>
        <w:pStyle w:val="Heading2"/>
      </w:pPr>
      <w:r>
        <w:t>2.4 Amount in controversy</w:t>
      </w:r>
    </w:p>
    <w:p>
      <w:pPr>
        <w:spacing w:after="120"/>
        <w:jc w:val="both"/>
      </w:pPr>
      <w:r>
        <w:t>The amount in controversy is not a problem. The $750,000 in milestone payments alone exceeds $75,000. The complaint deliberately rests jurisdiction on that concrete figure, not on the speculative carried-interest estimate.</w:t>
      </w:r>
    </w:p>
    <w:p>
      <w:pPr>
        <w:pStyle w:val="Heading1"/>
      </w:pPr>
      <w:r>
        <w:t>3. Errors and Inconsistencies in the Source Documents</w:t>
      </w:r>
    </w:p>
    <w:p>
      <w:pPr>
        <w:spacing w:after="120"/>
        <w:jc w:val="both"/>
      </w:pPr>
      <w:r>
        <w:t>These are errors we found in the source file. The complaint follows the primary documents (the PAA, the activity reports, the Ridgecrest Agreement, and the April 17, 2024 email) wherever the secondary summaries conflict with them.</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sz w:val="20"/>
              </w:rPr>
            </w:r>
            <w:r>
              <w:rPr>
                <w:b/>
                <w:sz w:val="20"/>
              </w:rPr>
              <w:t>Issue</w:t>
            </w:r>
          </w:p>
        </w:tc>
        <w:tc>
          <w:tcPr>
            <w:tcW w:type="dxa" w:w="1872"/>
          </w:tcPr>
          <w:p>
            <w:r>
              <w:rPr>
                <w:b/>
                <w:sz w:val="20"/>
              </w:rPr>
            </w:r>
            <w:r>
              <w:rPr>
                <w:b/>
                <w:sz w:val="20"/>
              </w:rPr>
              <w:t>Where</w:t>
            </w:r>
          </w:p>
        </w:tc>
        <w:tc>
          <w:tcPr>
            <w:tcW w:type="dxa" w:w="5328"/>
          </w:tcPr>
          <w:p>
            <w:r>
              <w:rPr>
                <w:b/>
                <w:sz w:val="20"/>
              </w:rPr>
            </w:r>
            <w:r>
              <w:rPr>
                <w:b/>
                <w:sz w:val="20"/>
              </w:rPr>
              <w:t>What the primary record shows / how the draft handles it</w:t>
            </w:r>
          </w:p>
        </w:tc>
      </w:tr>
      <w:tr>
        <w:tc>
          <w:tcPr>
            <w:tcW w:type="dxa" w:w="2160"/>
          </w:tcPr>
          <w:p>
            <w:r>
              <w:rPr>
                <w:sz w:val="20"/>
              </w:rPr>
            </w:r>
            <w:r>
              <w:rPr>
                <w:sz w:val="20"/>
              </w:rPr>
              <w:t>Guaranty cited under "PAA § 15.3"</w:t>
            </w:r>
          </w:p>
        </w:tc>
        <w:tc>
          <w:tcPr>
            <w:tcW w:type="dxa" w:w="1872"/>
          </w:tcPr>
          <w:p>
            <w:r>
              <w:rPr>
                <w:sz w:val="20"/>
              </w:rPr>
            </w:r>
            <w:r>
              <w:rPr>
                <w:sz w:val="20"/>
              </w:rPr>
              <w:t>Intake §§ IV, VII.1</w:t>
            </w:r>
          </w:p>
        </w:tc>
        <w:tc>
          <w:tcPr>
            <w:tcW w:type="dxa" w:w="5328"/>
          </w:tcPr>
          <w:p>
            <w:r>
              <w:rPr>
                <w:sz w:val="20"/>
              </w:rPr>
            </w:r>
            <w:r>
              <w:rPr>
                <w:sz w:val="20"/>
              </w:rPr>
              <w:t>The PAA ends at § 13 and contains no personal guaranty. Trevor Graydon signed only as Graydon's CEO. The draft does not rely on a guaranty. His liability rests on his own fraud and his knowing participation in the fiduciary breach.</w:t>
            </w:r>
          </w:p>
        </w:tc>
      </w:tr>
      <w:tr>
        <w:tc>
          <w:tcPr>
            <w:tcW w:type="dxa" w:w="2160"/>
          </w:tcPr>
          <w:p>
            <w:r>
              <w:rPr>
                <w:sz w:val="20"/>
              </w:rPr>
            </w:r>
            <w:r>
              <w:rPr>
                <w:sz w:val="20"/>
              </w:rPr>
              <w:t>Exclusivity cited as "§ 3.1"</w:t>
            </w:r>
          </w:p>
        </w:tc>
        <w:tc>
          <w:tcPr>
            <w:tcW w:type="dxa" w:w="1872"/>
          </w:tcPr>
          <w:p>
            <w:r>
              <w:rPr>
                <w:sz w:val="20"/>
              </w:rPr>
            </w:r>
            <w:r>
              <w:rPr>
                <w:sz w:val="20"/>
              </w:rPr>
              <w:t>Intake § IV</w:t>
            </w:r>
          </w:p>
        </w:tc>
        <w:tc>
          <w:tcPr>
            <w:tcW w:type="dxa" w:w="5328"/>
          </w:tcPr>
          <w:p>
            <w:r>
              <w:rPr>
                <w:sz w:val="20"/>
              </w:rPr>
            </w:r>
            <w:r>
              <w:rPr>
                <w:sz w:val="20"/>
              </w:rPr>
              <w:t>Exclusivity is §§ 2.1–2.2 (§ 3.1 is the Term). Exclusivity also mainly restricts Westlake from hiring other agents. It is a weak basis for the breach claim, so the draft relies on §§ 7.2, 7.3, 7.4, 5.2, 5.3, 4.2, and 8.1.</w:t>
            </w:r>
          </w:p>
        </w:tc>
      </w:tr>
      <w:tr>
        <w:tc>
          <w:tcPr>
            <w:tcW w:type="dxa" w:w="2160"/>
          </w:tcPr>
          <w:p>
            <w:r>
              <w:rPr>
                <w:sz w:val="20"/>
              </w:rPr>
            </w:r>
            <w:r>
              <w:rPr>
                <w:sz w:val="20"/>
              </w:rPr>
              <w:t>§ 8.1 misquoted</w:t>
            </w:r>
          </w:p>
        </w:tc>
        <w:tc>
          <w:tcPr>
            <w:tcW w:type="dxa" w:w="1872"/>
          </w:tcPr>
          <w:p>
            <w:r>
              <w:rPr>
                <w:sz w:val="20"/>
              </w:rPr>
            </w:r>
            <w:r>
              <w:rPr>
                <w:sz w:val="20"/>
              </w:rPr>
              <w:t>Intake § IV</w:t>
            </w:r>
          </w:p>
        </w:tc>
        <w:tc>
          <w:tcPr>
            <w:tcW w:type="dxa" w:w="5328"/>
          </w:tcPr>
          <w:p>
            <w:r>
              <w:rPr>
                <w:sz w:val="20"/>
              </w:rPr>
            </w:r>
            <w:r>
              <w:rPr>
                <w:sz w:val="20"/>
              </w:rPr>
              <w:t>The actual text is "in connection with the services provided under this Agreement," not "in the performance of its obligations hereunder." The draft quotes the PAA directly.</w:t>
            </w:r>
          </w:p>
        </w:tc>
      </w:tr>
      <w:tr>
        <w:tc>
          <w:tcPr>
            <w:tcW w:type="dxa" w:w="2160"/>
          </w:tcPr>
          <w:p>
            <w:r>
              <w:rPr>
                <w:sz w:val="20"/>
              </w:rPr>
            </w:r>
            <w:r>
              <w:rPr>
                <w:sz w:val="20"/>
              </w:rPr>
              <w:t>Section numbers for compensation and reporting</w:t>
            </w:r>
          </w:p>
        </w:tc>
        <w:tc>
          <w:tcPr>
            <w:tcW w:type="dxa" w:w="1872"/>
          </w:tcPr>
          <w:p>
            <w:r>
              <w:rPr>
                <w:sz w:val="20"/>
              </w:rPr>
            </w:r>
            <w:r>
              <w:rPr>
                <w:sz w:val="20"/>
              </w:rPr>
              <w:t>Demand letter; Millhaven; Graydon reports</w:t>
            </w:r>
          </w:p>
        </w:tc>
        <w:tc>
          <w:tcPr>
            <w:tcW w:type="dxa" w:w="5328"/>
          </w:tcPr>
          <w:p>
            <w:r>
              <w:rPr>
                <w:sz w:val="20"/>
              </w:rPr>
            </w:r>
            <w:r>
              <w:rPr>
                <w:sz w:val="20"/>
              </w:rPr>
              <w:t>The demand letter cites compensation as § 3 and reporting as § 5.3. Millhaven cites milestones as § 4.3(a)–(c). Graydon's certifications cite § 4.2(b) for every milestone and an "Exhibit C" that does not exist. Correct cites: milestones § 4.2; retainer § 4.3; reports § 5.2; certifications § 5.3.</w:t>
            </w:r>
          </w:p>
        </w:tc>
      </w:tr>
      <w:tr>
        <w:tc>
          <w:tcPr>
            <w:tcW w:type="dxa" w:w="2160"/>
          </w:tcPr>
          <w:p>
            <w:r>
              <w:rPr>
                <w:sz w:val="20"/>
              </w:rPr>
            </w:r>
            <w:r>
              <w:rPr>
                <w:sz w:val="20"/>
              </w:rPr>
              <w:t>Milestone standard misstated</w:t>
            </w:r>
          </w:p>
        </w:tc>
        <w:tc>
          <w:tcPr>
            <w:tcW w:type="dxa" w:w="1872"/>
          </w:tcPr>
          <w:p>
            <w:r>
              <w:rPr>
                <w:sz w:val="20"/>
              </w:rPr>
            </w:r>
            <w:r>
              <w:rPr>
                <w:sz w:val="20"/>
              </w:rPr>
              <w:t>Demand letter § I; intake; Millhaven</w:t>
            </w:r>
          </w:p>
        </w:tc>
        <w:tc>
          <w:tcPr>
            <w:tcW w:type="dxa" w:w="5328"/>
          </w:tcPr>
          <w:p>
            <w:r>
              <w:rPr>
                <w:sz w:val="20"/>
              </w:rPr>
            </w:r>
            <w:r>
              <w:rPr>
                <w:sz w:val="20"/>
              </w:rPr>
              <w:t>The demand letter says milestones include "credible soft circles reflected in Graydon's pipeline reports." The PAA says the opposite: thresholds are measured in "aggregate Capital Commitments" (§§ 1.9, 4.2), meaning executed and accepted subscription agreements (§ 1.2). Graydon will cite the demand letter as an admission (see § 5). The draft pleads the contract definition.</w:t>
            </w:r>
          </w:p>
        </w:tc>
      </w:tr>
      <w:tr>
        <w:tc>
          <w:tcPr>
            <w:tcW w:type="dxa" w:w="2160"/>
          </w:tcPr>
          <w:p>
            <w:r>
              <w:rPr>
                <w:sz w:val="20"/>
              </w:rPr>
            </w:r>
            <w:r>
              <w:rPr>
                <w:sz w:val="20"/>
              </w:rPr>
              <w:t>GPPERS's name</w:t>
            </w:r>
          </w:p>
        </w:tc>
        <w:tc>
          <w:tcPr>
            <w:tcW w:type="dxa" w:w="1872"/>
          </w:tcPr>
          <w:p>
            <w:r>
              <w:rPr>
                <w:sz w:val="20"/>
              </w:rPr>
            </w:r>
            <w:r>
              <w:rPr>
                <w:sz w:val="20"/>
              </w:rPr>
              <w:t>Intake §§ VI.B</w:t>
            </w:r>
          </w:p>
        </w:tc>
        <w:tc>
          <w:tcPr>
            <w:tcW w:type="dxa" w:w="5328"/>
          </w:tcPr>
          <w:p>
            <w:r>
              <w:rPr>
                <w:sz w:val="20"/>
              </w:rPr>
            </w:r>
            <w:r>
              <w:rPr>
                <w:sz w:val="20"/>
              </w:rPr>
              <w:t>The intake calls it "Greater Pittsburgh Public Employees' Retirement System." Every other document says Great Plains Public Employees' Retirement System (Lincoln, NE). The draft uses Great Plains.</w:t>
            </w:r>
          </w:p>
        </w:tc>
      </w:tr>
      <w:tr>
        <w:tc>
          <w:tcPr>
            <w:tcW w:type="dxa" w:w="2160"/>
          </w:tcPr>
          <w:p>
            <w:r>
              <w:rPr>
                <w:sz w:val="20"/>
              </w:rPr>
            </w:r>
            <w:r>
              <w:rPr>
                <w:sz w:val="20"/>
              </w:rPr>
              <w:t>Conference name</w:t>
            </w:r>
          </w:p>
        </w:tc>
        <w:tc>
          <w:tcPr>
            <w:tcW w:type="dxa" w:w="1872"/>
          </w:tcPr>
          <w:p>
            <w:r>
              <w:rPr>
                <w:sz w:val="20"/>
              </w:rPr>
            </w:r>
            <w:r>
              <w:rPr>
                <w:sz w:val="20"/>
              </w:rPr>
              <w:t>Intake § IV</w:t>
            </w:r>
          </w:p>
        </w:tc>
        <w:tc>
          <w:tcPr>
            <w:tcW w:type="dxa" w:w="5328"/>
          </w:tcPr>
          <w:p>
            <w:r>
              <w:rPr>
                <w:sz w:val="20"/>
              </w:rPr>
            </w:r>
            <w:r>
              <w:rPr>
                <w:sz w:val="20"/>
              </w:rPr>
              <w:t>The intake says "Institutional Allocators Conference." Ms. Rosario-Vega's contemporaneous email says the "Midwest Institutional Investors Forum" reception, April 17, 2024. The draft says only "an institutional investor conference in Chicago." Confirm the name with the client.</w:t>
            </w:r>
          </w:p>
        </w:tc>
      </w:tr>
      <w:tr>
        <w:tc>
          <w:tcPr>
            <w:tcW w:type="dxa" w:w="2160"/>
          </w:tcPr>
          <w:p>
            <w:r>
              <w:rPr>
                <w:sz w:val="20"/>
              </w:rPr>
            </w:r>
            <w:r>
              <w:rPr>
                <w:sz w:val="20"/>
              </w:rPr>
              <w:t>Ms. Rosario-Vega's title</w:t>
            </w:r>
          </w:p>
        </w:tc>
        <w:tc>
          <w:tcPr>
            <w:tcW w:type="dxa" w:w="1872"/>
          </w:tcPr>
          <w:p>
            <w:r>
              <w:rPr>
                <w:sz w:val="20"/>
              </w:rPr>
            </w:r>
            <w:r>
              <w:rPr>
                <w:sz w:val="20"/>
              </w:rPr>
              <w:t>Millhaven §§ II, IV.D</w:t>
            </w:r>
          </w:p>
        </w:tc>
        <w:tc>
          <w:tcPr>
            <w:tcW w:type="dxa" w:w="5328"/>
          </w:tcPr>
          <w:p>
            <w:r>
              <w:rPr>
                <w:sz w:val="20"/>
              </w:rPr>
            </w:r>
            <w:r>
              <w:rPr>
                <w:sz w:val="20"/>
              </w:rPr>
              <w:t>Millhaven calls her "Director of Investor Relations." Every other document says Co-Founder and CIO. Have Millhaven correct this before its report is used for any purpose.</w:t>
            </w:r>
          </w:p>
        </w:tc>
      </w:tr>
      <w:tr>
        <w:tc>
          <w:tcPr>
            <w:tcW w:type="dxa" w:w="2160"/>
          </w:tcPr>
          <w:p>
            <w:r>
              <w:rPr>
                <w:sz w:val="20"/>
              </w:rPr>
            </w:r>
            <w:r>
              <w:rPr>
                <w:sz w:val="20"/>
              </w:rPr>
              <w:t>Who signed the reports</w:t>
            </w:r>
          </w:p>
        </w:tc>
        <w:tc>
          <w:tcPr>
            <w:tcW w:type="dxa" w:w="1872"/>
          </w:tcPr>
          <w:p>
            <w:r>
              <w:rPr>
                <w:sz w:val="20"/>
              </w:rPr>
            </w:r>
            <w:r>
              <w:rPr>
                <w:sz w:val="20"/>
              </w:rPr>
              <w:t>Intake § IV vs. Millhaven</w:t>
            </w:r>
          </w:p>
        </w:tc>
        <w:tc>
          <w:tcPr>
            <w:tcW w:type="dxa" w:w="5328"/>
          </w:tcPr>
          <w:p>
            <w:r>
              <w:rPr>
                <w:sz w:val="20"/>
              </w:rPr>
            </w:r>
            <w:r>
              <w:rPr>
                <w:sz w:val="20"/>
              </w:rPr>
              <w:t>The reports show Pruitt prepared and signed each one and Trevor Graydon signed each certification as "APPROVED." Nothing shows Trevor Graydon "transmitted" them. The draft pleads approval by signature, which is enough for Rule 9(b) as to him.</w:t>
            </w:r>
          </w:p>
        </w:tc>
      </w:tr>
      <w:tr>
        <w:tc>
          <w:tcPr>
            <w:tcW w:type="dxa" w:w="2160"/>
          </w:tcPr>
          <w:p>
            <w:r>
              <w:rPr>
                <w:sz w:val="20"/>
              </w:rPr>
            </w:r>
            <w:r>
              <w:rPr>
                <w:sz w:val="20"/>
              </w:rPr>
              <w:t>Northshore meeting dates</w:t>
            </w:r>
          </w:p>
        </w:tc>
        <w:tc>
          <w:tcPr>
            <w:tcW w:type="dxa" w:w="1872"/>
          </w:tcPr>
          <w:p>
            <w:r>
              <w:rPr>
                <w:sz w:val="20"/>
              </w:rPr>
            </w:r>
            <w:r>
              <w:rPr>
                <w:sz w:val="20"/>
              </w:rPr>
              <w:t>Email; demand letter; Millhaven vs. Sept. 2023 report</w:t>
            </w:r>
          </w:p>
        </w:tc>
        <w:tc>
          <w:tcPr>
            <w:tcW w:type="dxa" w:w="5328"/>
          </w:tcPr>
          <w:p>
            <w:r>
              <w:rPr>
                <w:sz w:val="20"/>
              </w:rPr>
            </w:r>
            <w:r>
              <w:rPr>
                <w:sz w:val="20"/>
              </w:rPr>
              <w:t>The email and demand letter say meetings in July and September 2023. Graydon's September report records an August 22, 2023 in-person meeting in Chicago. The draft cites August 22 (from Graydon's own report) and is bracketed for confirmation.</w:t>
            </w:r>
          </w:p>
        </w:tc>
      </w:tr>
      <w:tr>
        <w:tc>
          <w:tcPr>
            <w:tcW w:type="dxa" w:w="2160"/>
          </w:tcPr>
          <w:p>
            <w:r>
              <w:rPr>
                <w:sz w:val="20"/>
              </w:rPr>
            </w:r>
            <w:r>
              <w:rPr>
                <w:sz w:val="20"/>
              </w:rPr>
              <w:t>Northshore's weight in the September and March figures</w:t>
            </w:r>
          </w:p>
        </w:tc>
        <w:tc>
          <w:tcPr>
            <w:tcW w:type="dxa" w:w="1872"/>
          </w:tcPr>
          <w:p>
            <w:r>
              <w:rPr>
                <w:sz w:val="20"/>
              </w:rPr>
            </w:r>
            <w:r>
              <w:rPr>
                <w:sz w:val="20"/>
              </w:rPr>
              <w:t>Millhaven §§ V.C–V.D</w:t>
            </w:r>
          </w:p>
        </w:tc>
        <w:tc>
          <w:tcPr>
            <w:tcW w:type="dxa" w:w="5328"/>
          </w:tcPr>
          <w:p>
            <w:r>
              <w:rPr>
                <w:sz w:val="20"/>
              </w:rPr>
            </w:r>
            <w:r>
              <w:rPr>
                <w:sz w:val="20"/>
              </w:rPr>
              <w:t>Millhaven says Northshore's $10M was counted in September and stayed "embedded" in the March total. The September report counts only $2M of it ("partial credit"). The March figures add up without Northshore ($87.5M + $14.5M + $40M + $10M = $152M). The draft does not repeat these overstatements.</w:t>
            </w:r>
          </w:p>
        </w:tc>
      </w:tr>
      <w:tr>
        <w:tc>
          <w:tcPr>
            <w:tcW w:type="dxa" w:w="2160"/>
          </w:tcPr>
          <w:p>
            <w:r>
              <w:rPr>
                <w:sz w:val="20"/>
              </w:rPr>
            </w:r>
            <w:r>
              <w:rPr>
                <w:sz w:val="20"/>
              </w:rPr>
              <w:t>"Actual" figures in September</w:t>
            </w:r>
          </w:p>
        </w:tc>
        <w:tc>
          <w:tcPr>
            <w:tcW w:type="dxa" w:w="1872"/>
          </w:tcPr>
          <w:p>
            <w:r>
              <w:rPr>
                <w:sz w:val="20"/>
              </w:rPr>
            </w:r>
            <w:r>
              <w:rPr>
                <w:sz w:val="20"/>
              </w:rPr>
              <w:t>Millhaven § V.C</w:t>
            </w:r>
          </w:p>
        </w:tc>
        <w:tc>
          <w:tcPr>
            <w:tcW w:type="dxa" w:w="5328"/>
          </w:tcPr>
          <w:p>
            <w:r>
              <w:rPr>
                <w:sz w:val="20"/>
              </w:rPr>
            </w:r>
            <w:r>
              <w:rPr>
                <w:sz w:val="20"/>
              </w:rPr>
              <w:t>Millhaven puts September's actual figure at about $87.5M, "consistent with" the October close. But at August 31, 2023, only the $35M first close had occurred. Also, Graydon reported $22.5M in documentation, while the October close came in at $52.5M. That gap needs reconciling before we describe the October close in detail.</w:t>
            </w:r>
          </w:p>
        </w:tc>
      </w:tr>
      <w:tr>
        <w:tc>
          <w:tcPr>
            <w:tcW w:type="dxa" w:w="2160"/>
          </w:tcPr>
          <w:p>
            <w:r>
              <w:rPr>
                <w:sz w:val="20"/>
              </w:rPr>
            </w:r>
            <w:r>
              <w:rPr>
                <w:sz w:val="20"/>
              </w:rPr>
              <w:t>Ridgecrest fee tail</w:t>
            </w:r>
          </w:p>
        </w:tc>
        <w:tc>
          <w:tcPr>
            <w:tcW w:type="dxa" w:w="1872"/>
          </w:tcPr>
          <w:p>
            <w:r>
              <w:rPr>
                <w:sz w:val="20"/>
              </w:rPr>
            </w:r>
            <w:r>
              <w:rPr>
                <w:sz w:val="20"/>
              </w:rPr>
              <w:t>Millhaven § III.C</w:t>
            </w:r>
          </w:p>
        </w:tc>
        <w:tc>
          <w:tcPr>
            <w:tcW w:type="dxa" w:w="5328"/>
          </w:tcPr>
          <w:p>
            <w:r>
              <w:rPr>
                <w:sz w:val="20"/>
              </w:rPr>
            </w:r>
            <w:r>
              <w:rPr>
                <w:sz w:val="20"/>
              </w:rPr>
              <w:t>Millhaven says 12 months. The Ridgecrest Agreement § 4(c) says 18 months. Its term runs to July 31, 2025.</w:t>
            </w:r>
          </w:p>
        </w:tc>
      </w:tr>
      <w:tr>
        <w:tc>
          <w:tcPr>
            <w:tcW w:type="dxa" w:w="2160"/>
          </w:tcPr>
          <w:p>
            <w:r>
              <w:rPr>
                <w:sz w:val="20"/>
              </w:rPr>
            </w:r>
            <w:r>
              <w:rPr>
                <w:sz w:val="20"/>
              </w:rPr>
              <w:t>"$6,030,000 directly quantifiable"</w:t>
            </w:r>
          </w:p>
        </w:tc>
        <w:tc>
          <w:tcPr>
            <w:tcW w:type="dxa" w:w="1872"/>
          </w:tcPr>
          <w:p>
            <w:r>
              <w:rPr>
                <w:sz w:val="20"/>
              </w:rPr>
            </w:r>
            <w:r>
              <w:rPr>
                <w:sz w:val="20"/>
              </w:rPr>
              <w:t>Millhaven §§ I, VII.5</w:t>
            </w:r>
          </w:p>
        </w:tc>
        <w:tc>
          <w:tcPr>
            <w:tcW w:type="dxa" w:w="5328"/>
          </w:tcPr>
          <w:p>
            <w:r>
              <w:rPr>
                <w:sz w:val="20"/>
              </w:rPr>
            </w:r>
            <w:r>
              <w:rPr>
                <w:sz w:val="20"/>
              </w:rPr>
              <w:t>Arithmetic error. Milestones + retainer + consequential = $2,230,000, or $7,230,000 if lost management fees are added. The $14.73M total adds up only if the components are $2.23M + $12.5M.</w:t>
            </w:r>
          </w:p>
        </w:tc>
      </w:tr>
      <w:tr>
        <w:tc>
          <w:tcPr>
            <w:tcW w:type="dxa" w:w="2160"/>
          </w:tcPr>
          <w:p>
            <w:r>
              <w:rPr>
                <w:sz w:val="20"/>
              </w:rPr>
            </w:r>
            <w:r>
              <w:rPr>
                <w:sz w:val="20"/>
              </w:rPr>
              <w:t>Carried-interest projection</w:t>
            </w:r>
          </w:p>
        </w:tc>
        <w:tc>
          <w:tcPr>
            <w:tcW w:type="dxa" w:w="1872"/>
          </w:tcPr>
          <w:p>
            <w:r>
              <w:rPr>
                <w:sz w:val="20"/>
              </w:rPr>
            </w:r>
            <w:r>
              <w:rPr>
                <w:sz w:val="20"/>
              </w:rPr>
              <w:t>Intake § VI.C; Millhaven § VI.C.3</w:t>
            </w:r>
          </w:p>
        </w:tc>
        <w:tc>
          <w:tcPr>
            <w:tcW w:type="dxa" w:w="5328"/>
          </w:tcPr>
          <w:p>
            <w:r>
              <w:rPr>
                <w:sz w:val="20"/>
              </w:rPr>
            </w:r>
            <w:r>
              <w:rPr>
                <w:sz w:val="20"/>
              </w:rPr>
              <w:t>$50M × 1.185^7 is about $164.1M, not $170.3M. The model also applies carry to a net IRR, which is already after carry, so it is circular. The "conservative" $7.5M has no stated method. See § 6.</w:t>
            </w:r>
          </w:p>
        </w:tc>
      </w:tr>
      <w:tr>
        <w:tc>
          <w:tcPr>
            <w:tcW w:type="dxa" w:w="2160"/>
          </w:tcPr>
          <w:p>
            <w:r>
              <w:rPr>
                <w:sz w:val="20"/>
              </w:rPr>
            </w:r>
            <w:r>
              <w:rPr>
                <w:sz w:val="20"/>
              </w:rPr>
              <w:t>Punitive damages "not capped"</w:t>
            </w:r>
          </w:p>
        </w:tc>
        <w:tc>
          <w:tcPr>
            <w:tcW w:type="dxa" w:w="1872"/>
          </w:tcPr>
          <w:p>
            <w:r>
              <w:rPr>
                <w:sz w:val="20"/>
              </w:rPr>
            </w:r>
            <w:r>
              <w:rPr>
                <w:sz w:val="20"/>
              </w:rPr>
              <w:t>Intake § VI.G</w:t>
            </w:r>
          </w:p>
        </w:tc>
        <w:tc>
          <w:tcPr>
            <w:tcW w:type="dxa" w:w="5328"/>
          </w:tcPr>
          <w:p>
            <w:r>
              <w:rPr>
                <w:sz w:val="20"/>
              </w:rPr>
            </w:r>
            <w:r>
              <w:rPr>
                <w:sz w:val="20"/>
              </w:rPr>
              <w:t>Wrong. Tex. Civ. Prac. &amp; Rem. Code § 41.008(b) caps exemplary damages unless a § 41.008(c) felony exception applies. See § 7.</w:t>
            </w:r>
          </w:p>
        </w:tc>
      </w:tr>
      <w:tr>
        <w:tc>
          <w:tcPr>
            <w:tcW w:type="dxa" w:w="2160"/>
          </w:tcPr>
          <w:p>
            <w:r>
              <w:rPr>
                <w:sz w:val="20"/>
              </w:rPr>
            </w:r>
            <w:r>
              <w:rPr>
                <w:sz w:val="20"/>
              </w:rPr>
              <w:t>Payments "from Texas accounts" as a jurisdiction fact</w:t>
            </w:r>
          </w:p>
        </w:tc>
        <w:tc>
          <w:tcPr>
            <w:tcW w:type="dxa" w:w="1872"/>
          </w:tcPr>
          <w:p>
            <w:r>
              <w:rPr>
                <w:sz w:val="20"/>
              </w:rPr>
            </w:r>
            <w:r>
              <w:rPr>
                <w:sz w:val="20"/>
              </w:rPr>
              <w:t>Intake § V.B</w:t>
            </w:r>
          </w:p>
        </w:tc>
        <w:tc>
          <w:tcPr>
            <w:tcW w:type="dxa" w:w="5328"/>
          </w:tcPr>
          <w:p>
            <w:r>
              <w:rPr>
                <w:sz w:val="20"/>
              </w:rPr>
            </w:r>
            <w:r>
              <w:rPr>
                <w:sz w:val="20"/>
              </w:rPr>
              <w:t>This is supported by Millhaven's wire tracing. But the "six Dallas trips" appear only in the intake. Get calendar or expense records before the Rule 11 certification.</w:t>
            </w:r>
          </w:p>
        </w:tc>
      </w:tr>
    </w:tbl>
    <w:p/>
    <w:p>
      <w:pPr>
        <w:pStyle w:val="Heading1"/>
      </w:pPr>
      <w:r>
        <w:t>4. Parties, Personal Jurisdiction, and Veil Issues</w:t>
      </w:r>
    </w:p>
    <w:p>
      <w:pPr>
        <w:pStyle w:val="Heading2"/>
      </w:pPr>
      <w:r>
        <w:t>4.1 Trevor Graydon</w:t>
      </w:r>
    </w:p>
    <w:p>
      <w:pPr>
        <w:spacing w:after="120"/>
        <w:jc w:val="both"/>
      </w:pPr>
      <w:r>
        <w:t xml:space="preserve">Recommendation: name him. A corporate agent is personally liable for fraud he commits or knowingly participates in, even when acting for the company. </w:t>
      </w:r>
      <w:r>
        <w:rPr>
          <w:i/>
        </w:rPr>
        <w:t>Miller v. Keyser</w:t>
      </w:r>
      <w:r>
        <w:t xml:space="preserve">, 90 S.W.3d 712, 717–18 (Tex. 2002). A third party who knowingly participates in a fiduciary's breach is liable as a joint tortfeasor. </w:t>
      </w:r>
      <w:r>
        <w:rPr>
          <w:i/>
        </w:rPr>
        <w:t>Kinzbach Tool Co. v. Corbett-Wallace Corp.</w:t>
      </w:r>
      <w:r>
        <w:t xml:space="preserve">, 160 S.W.2d 509, 514 (Tex. 1942). The record supports both theories: his signature approving each false certification; his signature on the Ridgecrest Agreement; the GPPERS meeting he attended; and the call he made to Northshore. Specific jurisdiction is supportable because he approved misrepresentations he knew would be sent into Texas and relied on there. See </w:t>
      </w:r>
      <w:r>
        <w:rPr>
          <w:i/>
        </w:rPr>
        <w:t>Wien Air Alaska, Inc. v. Brandt</w:t>
      </w:r>
      <w:r>
        <w:t xml:space="preserve">, 195 F.3d 208, 213 (5th Cir. 1999). The draft also argues that he is bound by the forum clause as a "closely related" non-signatory. See </w:t>
      </w:r>
      <w:r>
        <w:rPr>
          <w:i/>
        </w:rPr>
        <w:t>Franlink Inc. v. BACE Servs., Inc.</w:t>
      </w:r>
      <w:r>
        <w:t xml:space="preserve">, 50 F.4th 432 (5th Cir. 2022). That is a secondary argument. </w:t>
      </w:r>
      <w:r>
        <w:rPr>
          <w:b/>
        </w:rPr>
        <w:t>We cannot sue him on a guaranty. None exists.</w:t>
      </w:r>
    </w:p>
    <w:p>
      <w:pPr>
        <w:pStyle w:val="Heading2"/>
      </w:pPr>
      <w:r>
        <w:t>4.2 Graydon Capital Solutions LLC</w:t>
      </w:r>
    </w:p>
    <w:p>
      <w:pPr>
        <w:spacing w:after="120"/>
        <w:jc w:val="both"/>
      </w:pPr>
      <w:r>
        <w:t>Recommendation: name it, but understand the risk. Jurisdiction over GCS is the weakest point in the complaint. GCS signed nothing with Westlake. Its conduct was aimed at investors in Nebraska, Oregon, and Illinois, and at a California-based manager, not at Texas. Our jurisdictional theories are: (a) GCS acted only through Trevor Graydon, and his Texas-directed conduct should be attributed to it; (b) GCS is "closely related" to the PAA and an Affiliate under § 1.1; and (c) alter ego. Expect a Rule 12(b)(2) motion. The claims against GCS (knowing participation, unjust enrichment, constructive trust) are worth pursuing because GCS appears to hold the Ridgecrest fees. If the jurisdictional challenge looks likely to succeed, we can drop GCS and pursue the fees through Trevor Graydon as GCS's sole member, backed by a constructive-trust tracing theory.</w:t>
      </w:r>
    </w:p>
    <w:p>
      <w:pPr>
        <w:spacing w:after="120"/>
        <w:jc w:val="both"/>
      </w:pPr>
      <w:r>
        <w:rPr>
          <w:b/>
        </w:rPr>
        <w:t>Veil piercing.</w:t>
      </w:r>
      <w:r>
        <w:t xml:space="preserve"> The complaint deliberately does not plead alter ego as a stand-alone theory. GCS is a Delaware LLC and Graydon is a New York corporation, and choice-of-law rules will probably point to those states' law. Texas's statutory limits (Tex. Bus. Orgs. Code §§ 21.223–.224, requiring actual fraud for the defendant's direct personal benefit) may apply to contract-based claims. Graydon's counsel says GCS has separate bank accounts at separate banks. Millhaven says it found no evidence of that, but it had no access to GCS's records, so its finding is not affirmative evidence of commingling. We do not need veil piercing: § 7.4's affiliate language reaches the conduct under the contract, and the tort theories reach GCS and Trevor Graydon directly. We can add alter ego after discovery.</w:t>
      </w:r>
    </w:p>
    <w:p>
      <w:pPr>
        <w:pStyle w:val="Heading2"/>
      </w:pPr>
      <w:r>
        <w:t>4.3 Nathaniel Pruitt</w:t>
      </w:r>
    </w:p>
    <w:p>
      <w:pPr>
        <w:spacing w:after="120"/>
        <w:jc w:val="both"/>
      </w:pPr>
      <w:r>
        <w:t xml:space="preserve">Pruitt prepared and signed every report and arranged the Ridgecrest introductions for all three investors, so he is a proper fraud and knowing-participation defendant. The draft leaves him out for three reasons. His domicile is unknown (a jurisdiction risk). His link to Texas is weaker. And leaving him out may make him a cooperating witness. </w:t>
      </w:r>
      <w:r>
        <w:rPr>
          <w:b/>
        </w:rPr>
        <w:t>Partner decision.</w:t>
      </w:r>
    </w:p>
    <w:p>
      <w:pPr>
        <w:pStyle w:val="Heading2"/>
      </w:pPr>
      <w:r>
        <w:t>4.4 Ridgecrest</w:t>
      </w:r>
    </w:p>
    <w:p>
      <w:pPr>
        <w:spacing w:after="120"/>
        <w:jc w:val="both"/>
      </w:pPr>
      <w:r>
        <w:t>Not named, as the intake recommends. Ridgecrest (a San Francisco-based Delaware LP) is a potential defendant for knowing participation if discovery shows it knew about the PAA. For diversity purposes its citizenship would come from all of its partners. Send a preservation letter now, and serve a Rule 45 subpoena for Introduction Notices, fee payments, and communications. Also note that the Ridgecrest Agreement contains its own confidentiality clause (§ 7). We need to confirm how Millhaven obtained it ("public records and third-party production" is unclear before suit). The source affects how we authenticate it and whether anyone will challenge its use.</w:t>
      </w:r>
    </w:p>
    <w:p>
      <w:pPr>
        <w:pStyle w:val="Heading1"/>
      </w:pPr>
      <w:r>
        <w:t>5. The Milestone Claim: Reliance and "Voluntary Payment" Risks</w:t>
      </w:r>
    </w:p>
    <w:p>
      <w:pPr>
        <w:spacing w:after="120"/>
        <w:jc w:val="both"/>
      </w:pPr>
      <w:r>
        <w:t>The intake memo calls the milestone fraud "the most concrete and defensible category." As a contract claim, it is. As a fraud claim, it is more vulnerable than the memo suggests.</w:t>
      </w:r>
    </w:p>
    <w:p>
      <w:pPr>
        <w:spacing w:after="120"/>
        <w:ind w:left="720" w:hanging="360"/>
        <w:jc w:val="both"/>
      </w:pPr>
      <w:r>
        <w:t>•</w:t>
        <w:tab/>
        <w:t xml:space="preserve">Each certification said on its face that it measured "commitments, soft circles, and . . . late-stage indications" or a "milestone-qualifying pipeline." None claimed to measure Capital Commitments. None identified investors adding up to the threshold, and none attached subscription documents, as § 5.3 requires. Westlake knew its own closed commitments ($35M in May and September 2023; $87.5M in March 2024) and paid anyway. Graydon will argue that Westlake could not justifiably rely on a pipeline figure the contract did not recognize, particularly as a sophisticated party that got exactly the information the certification disclosed. See </w:t>
      </w:r>
      <w:r>
        <w:rPr>
          <w:i/>
        </w:rPr>
        <w:t>JPMorgan Chase Bank, N.A. v. Orca Assets G.P.</w:t>
      </w:r>
      <w:r>
        <w:t xml:space="preserve">, 546 S.W.3d 648 (Tex. 2018). Graydon will also invoke the voluntary-payment rule. </w:t>
      </w:r>
      <w:r>
        <w:rPr>
          <w:i/>
        </w:rPr>
        <w:t>BMG Direct Mktg., Inc. v. Peake</w:t>
      </w:r>
      <w:r>
        <w:t>, 178 S.W.3d 763 (Tex. 2005). Its June 18 letter already argues that Westlake could have verified the pipeline itself.</w:t>
      </w:r>
    </w:p>
    <w:p>
      <w:pPr>
        <w:spacing w:after="120"/>
        <w:ind w:left="720" w:hanging="360"/>
        <w:jc w:val="both"/>
      </w:pPr>
      <w:r>
        <w:t>•</w:t>
        <w:tab/>
        <w:t>The demand letter's statement that milestones include "credible soft circles" will be offered as an admission that the parties used a pipeline standard. Our response: the PAA's anti-waiver and written-amendment clauses (§§ 13.2, 13.5) mean payment conduct did not change the contract. Even so, the concession invites a course-of-performance argument.</w:t>
      </w:r>
    </w:p>
    <w:p>
      <w:pPr>
        <w:spacing w:after="120"/>
        <w:ind w:left="720" w:hanging="360"/>
        <w:jc w:val="both"/>
      </w:pPr>
      <w:r>
        <w:t>•</w:t>
        <w:tab/>
      </w:r>
      <w:r>
        <w:rPr>
          <w:b/>
        </w:rPr>
        <w:t>How the draft responds:</w:t>
      </w:r>
      <w:r>
        <w:t xml:space="preserve"> (1) Count I pleads the contract definition. No threshold was met, so no payment was ever due. (2) The fraud count rests on false statements of existing fact that no reasonable diligence could have uncovered: GPPERS's "full data room" and $8M indication in May 2023; the "no conflicts" statements after August 1, 2023; Harborview's committee "postponement" in January 2024; and the GPPERS "board approval pending" and Harborview "re-engagement" statements in March 2024, made after both had committed to Cascadia. Fraud is an exception to the voluntary-payment rule. (3) Fee forfeiture for breach of fiduciary duty does not require reliance at all (§ 6). The March 2024 certification is the strongest fraud claim. The May 2023 certification is the weakest, and the draft pleads it partly as a breach of the § 5.3 documentation requirement.</w:t>
      </w:r>
    </w:p>
    <w:p>
      <w:pPr>
        <w:spacing w:after="120"/>
        <w:ind w:left="720" w:hanging="360"/>
        <w:jc w:val="both"/>
      </w:pPr>
      <w:r>
        <w:t>•</w:t>
        <w:tab/>
        <w:t>Separately, the September 9, 2023 report went out five weeks after the Ridgecrest Agreement was signed. It is the first provably false "no conflicts" statement and is the anchor for the concealment theory.</w:t>
      </w:r>
    </w:p>
    <w:p>
      <w:pPr>
        <w:pStyle w:val="Heading1"/>
      </w:pPr>
      <w:r>
        <w:t>6. Damages: What the Draft Pleads and Why</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sz w:val="20"/>
              </w:rPr>
            </w:r>
            <w:r>
              <w:rPr>
                <w:b/>
                <w:sz w:val="20"/>
              </w:rPr>
              <w:t>Category</w:t>
            </w:r>
          </w:p>
        </w:tc>
        <w:tc>
          <w:tcPr>
            <w:tcW w:type="dxa" w:w="2160"/>
          </w:tcPr>
          <w:p>
            <w:r>
              <w:rPr>
                <w:b/>
                <w:sz w:val="20"/>
              </w:rPr>
            </w:r>
            <w:r>
              <w:rPr>
                <w:b/>
                <w:sz w:val="20"/>
              </w:rPr>
              <w:t>Intake / Millhaven</w:t>
            </w:r>
          </w:p>
        </w:tc>
        <w:tc>
          <w:tcPr>
            <w:tcW w:type="dxa" w:w="5328"/>
          </w:tcPr>
          <w:p>
            <w:r>
              <w:rPr>
                <w:b/>
                <w:sz w:val="20"/>
              </w:rPr>
            </w:r>
            <w:r>
              <w:rPr>
                <w:b/>
                <w:sz w:val="20"/>
              </w:rPr>
              <w:t>Draft approach and issues</w:t>
            </w:r>
          </w:p>
        </w:tc>
      </w:tr>
      <w:tr>
        <w:tc>
          <w:tcPr>
            <w:tcW w:type="dxa" w:w="1872"/>
          </w:tcPr>
          <w:p>
            <w:r>
              <w:rPr>
                <w:sz w:val="20"/>
              </w:rPr>
            </w:r>
            <w:r>
              <w:rPr>
                <w:sz w:val="20"/>
              </w:rPr>
              <w:t>Milestone payments</w:t>
            </w:r>
          </w:p>
        </w:tc>
        <w:tc>
          <w:tcPr>
            <w:tcW w:type="dxa" w:w="2160"/>
          </w:tcPr>
          <w:p>
            <w:r>
              <w:rPr>
                <w:sz w:val="20"/>
              </w:rPr>
            </w:r>
            <w:r>
              <w:rPr>
                <w:sz w:val="20"/>
              </w:rPr>
              <w:t>$750,000</w:t>
            </w:r>
          </w:p>
        </w:tc>
        <w:tc>
          <w:tcPr>
            <w:tcW w:type="dxa" w:w="5328"/>
          </w:tcPr>
          <w:p>
            <w:r>
              <w:rPr>
                <w:sz w:val="20"/>
              </w:rPr>
            </w:r>
            <w:r>
              <w:rPr>
                <w:sz w:val="20"/>
              </w:rPr>
              <w:t>Pleaded in full: no threshold met; payments procured by fraud. Strongest category.</w:t>
            </w:r>
          </w:p>
        </w:tc>
      </w:tr>
      <w:tr>
        <w:tc>
          <w:tcPr>
            <w:tcW w:type="dxa" w:w="1872"/>
          </w:tcPr>
          <w:p>
            <w:r>
              <w:rPr>
                <w:sz w:val="20"/>
              </w:rPr>
            </w:r>
            <w:r>
              <w:rPr>
                <w:sz w:val="20"/>
              </w:rPr>
              <w:t>Retainer disgorgement</w:t>
            </w:r>
          </w:p>
        </w:tc>
        <w:tc>
          <w:tcPr>
            <w:tcW w:type="dxa" w:w="2160"/>
          </w:tcPr>
          <w:p>
            <w:r>
              <w:rPr>
                <w:sz w:val="20"/>
              </w:rPr>
            </w:r>
            <w:r>
              <w:rPr>
                <w:sz w:val="20"/>
              </w:rPr>
              <w:t>$280,000 (Nov. 2023 – June 2024)</w:t>
            </w:r>
          </w:p>
        </w:tc>
        <w:tc>
          <w:tcPr>
            <w:tcW w:type="dxa" w:w="5328"/>
          </w:tcPr>
          <w:p>
            <w:r>
              <w:rPr>
                <w:sz w:val="20"/>
              </w:rPr>
            </w:r>
            <w:r>
              <w:rPr>
                <w:sz w:val="20"/>
              </w:rPr>
              <w:t xml:space="preserve">§ 4.3 makes the retainer "non-refundable," so a pure contract claim for it is weak. The better theory is equitable fee forfeiture by a disloyal fiduciary, which does not require proof of actual damages. </w:t>
            </w:r>
            <w:r>
              <w:rPr>
                <w:i/>
                <w:sz w:val="20"/>
              </w:rPr>
              <w:t>Burrow v. Arce</w:t>
            </w:r>
            <w:r>
              <w:rPr>
                <w:sz w:val="20"/>
              </w:rPr>
              <w:t xml:space="preserve">, 997 S.W.2d 229, 240 (Tex. 1999). The disloyalty arguably began August 1, 2023, not November. On that theory forfeiture could reach 11 months of retainer ($385,000) and the October 2023 placement fee ($1,050,000). The draft pleads "not less than $280,000" and leaves room for more. </w:t>
            </w:r>
            <w:r>
              <w:rPr>
                <w:b/>
                <w:sz w:val="20"/>
              </w:rPr>
              <w:t>Partner decision on how aggressive to be.</w:t>
            </w:r>
          </w:p>
        </w:tc>
      </w:tr>
      <w:tr>
        <w:tc>
          <w:tcPr>
            <w:tcW w:type="dxa" w:w="1872"/>
          </w:tcPr>
          <w:p>
            <w:r>
              <w:rPr>
                <w:sz w:val="20"/>
              </w:rPr>
            </w:r>
            <w:r>
              <w:rPr>
                <w:sz w:val="20"/>
              </w:rPr>
              <w:t>Lost management fees</w:t>
            </w:r>
          </w:p>
        </w:tc>
        <w:tc>
          <w:tcPr>
            <w:tcW w:type="dxa" w:w="2160"/>
          </w:tcPr>
          <w:p>
            <w:r>
              <w:rPr>
                <w:sz w:val="20"/>
              </w:rPr>
            </w:r>
            <w:r>
              <w:rPr>
                <w:sz w:val="20"/>
              </w:rPr>
              <w:t>$5,000,000</w:t>
            </w:r>
          </w:p>
        </w:tc>
        <w:tc>
          <w:tcPr>
            <w:tcW w:type="dxa" w:w="5328"/>
          </w:tcPr>
          <w:p>
            <w:r>
              <w:rPr>
                <w:sz w:val="20"/>
              </w:rPr>
            </w:r>
            <w:r>
              <w:rPr>
                <w:sz w:val="20"/>
              </w:rPr>
              <w:t xml:space="preserve">This is gross revenue. Texas requires lost profits to be net and proven with reasonable certainty. </w:t>
            </w:r>
            <w:r>
              <w:rPr>
                <w:i/>
                <w:sz w:val="20"/>
              </w:rPr>
              <w:t>Holt Atherton Indus., Inc. v. Heine</w:t>
            </w:r>
            <w:r>
              <w:rPr>
                <w:sz w:val="20"/>
              </w:rPr>
              <w:t>, 835 S.W.2d 80, 83–84 (Tex. 1992). At minimum, subtract the $1,000,000 placement fee (2% of $50M) Westlake would have paid Graydon on those commitments, plus any incremental cost of managing the extra capital. Causation (whether the investors would have committed "but for" the diversion) will be contested (see the June 18 letter), and we will need investor testimony. The draft pleads "up to $5,000,000 in gross fee revenue, net of avoidable costs."</w:t>
            </w:r>
          </w:p>
        </w:tc>
      </w:tr>
      <w:tr>
        <w:tc>
          <w:tcPr>
            <w:tcW w:type="dxa" w:w="1872"/>
          </w:tcPr>
          <w:p>
            <w:r>
              <w:rPr>
                <w:sz w:val="20"/>
              </w:rPr>
            </w:r>
            <w:r>
              <w:rPr>
                <w:sz w:val="20"/>
              </w:rPr>
              <w:t>Lost carried interest</w:t>
            </w:r>
          </w:p>
        </w:tc>
        <w:tc>
          <w:tcPr>
            <w:tcW w:type="dxa" w:w="2160"/>
          </w:tcPr>
          <w:p>
            <w:r>
              <w:rPr>
                <w:sz w:val="20"/>
              </w:rPr>
            </w:r>
            <w:r>
              <w:rPr>
                <w:sz w:val="20"/>
              </w:rPr>
              <w:t>$7,500,000 "conservative" (upper bound $16.9M)</w:t>
            </w:r>
          </w:p>
        </w:tc>
        <w:tc>
          <w:tcPr>
            <w:tcW w:type="dxa" w:w="5328"/>
          </w:tcPr>
          <w:p>
            <w:r>
              <w:rPr>
                <w:sz w:val="20"/>
              </w:rPr>
            </w:r>
            <w:r>
              <w:rPr>
                <w:sz w:val="20"/>
              </w:rPr>
              <w:t>No dollar figure is pleaded. The math is wrong (§ 3). Applying carry to a net IRR double-counts. The discount from $16.9M to $7.5M has no stated method. And carry may belong to the GP entity (§ 2.3). Retain a testifying damages expert. Consider someone other than Millhaven (see § 9).</w:t>
            </w:r>
          </w:p>
        </w:tc>
      </w:tr>
      <w:tr>
        <w:tc>
          <w:tcPr>
            <w:tcW w:type="dxa" w:w="1872"/>
          </w:tcPr>
          <w:p>
            <w:r>
              <w:rPr>
                <w:sz w:val="20"/>
              </w:rPr>
            </w:r>
            <w:r>
              <w:rPr>
                <w:sz w:val="20"/>
              </w:rPr>
              <w:t>Consequential</w:t>
            </w:r>
          </w:p>
        </w:tc>
        <w:tc>
          <w:tcPr>
            <w:tcW w:type="dxa" w:w="2160"/>
          </w:tcPr>
          <w:p>
            <w:r>
              <w:rPr>
                <w:sz w:val="20"/>
              </w:rPr>
            </w:r>
            <w:r>
              <w:rPr>
                <w:sz w:val="20"/>
              </w:rPr>
              <w:t>$1,200,000</w:t>
            </w:r>
          </w:p>
        </w:tc>
        <w:tc>
          <w:tcPr>
            <w:tcW w:type="dxa" w:w="5328"/>
          </w:tcPr>
          <w:p>
            <w:r>
              <w:rPr>
                <w:sz w:val="20"/>
              </w:rPr>
            </w:r>
            <w:r>
              <w:rPr>
                <w:sz w:val="20"/>
              </w:rPr>
              <w:t>Pleaded as an estimate. Millhaven's list includes "internal legal costs." Attorneys' fees are recoverable only under § 12.3 or § 38.001, not as damages, so remove them from this figure to avoid double counting. Get the Thornbury engagement terms and invoices. § 10.3 does not bar consequential damages here because of the fraud and §§ 7.2/7.4/8 carve-outs.</w:t>
            </w:r>
          </w:p>
        </w:tc>
      </w:tr>
      <w:tr>
        <w:tc>
          <w:tcPr>
            <w:tcW w:type="dxa" w:w="1872"/>
          </w:tcPr>
          <w:p>
            <w:r>
              <w:rPr>
                <w:sz w:val="20"/>
              </w:rPr>
            </w:r>
            <w:r>
              <w:rPr>
                <w:sz w:val="20"/>
              </w:rPr>
              <w:t>GCS fees</w:t>
            </w:r>
          </w:p>
        </w:tc>
        <w:tc>
          <w:tcPr>
            <w:tcW w:type="dxa" w:w="2160"/>
          </w:tcPr>
          <w:p>
            <w:r>
              <w:rPr>
                <w:sz w:val="20"/>
              </w:rPr>
            </w:r>
            <w:r>
              <w:rPr>
                <w:sz w:val="20"/>
              </w:rPr>
              <w:t>$750,000 (estimate)</w:t>
            </w:r>
          </w:p>
        </w:tc>
        <w:tc>
          <w:tcPr>
            <w:tcW w:type="dxa" w:w="5328"/>
          </w:tcPr>
          <w:p>
            <w:r>
              <w:rPr>
                <w:sz w:val="20"/>
              </w:rPr>
            </w:r>
            <w:r>
              <w:rPr>
                <w:sz w:val="20"/>
              </w:rPr>
              <w:t>Pleaded against GCS and Trevor Graydon as disgorgement and constructive trust, plus an accounting. The actual amount depends on the Introduction Notices and Ridgecrest's payment records. Get them by subpoena.</w:t>
            </w:r>
          </w:p>
        </w:tc>
      </w:tr>
    </w:tbl>
    <w:p/>
    <w:p>
      <w:pPr>
        <w:spacing w:after="120"/>
        <w:jc w:val="both"/>
      </w:pPr>
      <w:r>
        <w:rPr>
          <w:b/>
        </w:rPr>
        <w:t>Recommendation:</w:t>
      </w:r>
      <w:r>
        <w:t xml:space="preserve"> Do not plead a $14.73M total. The demand letter already used that figure. Repeating it in a pleading invites a damages-focused motion and early impeachment of our expert.</w:t>
      </w:r>
    </w:p>
    <w:p>
      <w:pPr>
        <w:pStyle w:val="Heading1"/>
      </w:pPr>
      <w:r>
        <w:t>7. Exemplary Damages</w:t>
      </w:r>
    </w:p>
    <w:p>
      <w:pPr>
        <w:spacing w:after="120"/>
        <w:jc w:val="both"/>
      </w:pPr>
      <w:r>
        <w:t>The intake memo says Texas does not cap exemplary damages here. That is wrong. Under Tex. Civ. Prac. &amp; Rem. Code § 41.008(b), exemplary damages are capped at the greater of (a) twice economic damages plus noneconomic damages up to $750,000, or (b) $200,000. The cap does not apply if the conduct meets a listed felony in § 41.008(c). Relevant candidates include misapplication of fiduciary property (Tex. Penal Code § 32.45) and commercial bribery (§ 32.43). Recovery also requires clear and convincing proof of fraud, malice, or gross negligence (§ 41.003(a)–(b)) and a unanimous jury (§ 41.003(d)). Exemplary damages generally cannot rest on breach of contract alone. The draft pleads § 41.003, reserves the § 41.008(c) argument, and asks for no dollar amount.</w:t>
      </w:r>
    </w:p>
    <w:p>
      <w:pPr>
        <w:pStyle w:val="Heading1"/>
      </w:pPr>
      <w:r>
        <w:t>8. Limitations and the Economic-Loss Rule</w:t>
      </w:r>
    </w:p>
    <w:p>
      <w:pPr>
        <w:spacing w:after="120"/>
        <w:ind w:left="720" w:hanging="360"/>
        <w:jc w:val="both"/>
      </w:pPr>
      <w:r>
        <w:t>•</w:t>
        <w:tab/>
        <w:t xml:space="preserve">Breach of contract, fraud, and breach of fiduciary duty each carry a four-year limitations period (Tex. Civ. Prac. &amp; Rem. Code §§ 16.004(a)(4)–(5), 16.051). </w:t>
      </w:r>
      <w:r>
        <w:rPr>
          <w:b/>
        </w:rPr>
        <w:t>Unjust enrichment carries two years.</w:t>
      </w:r>
      <w:r>
        <w:t xml:space="preserve"> </w:t>
      </w:r>
      <w:r>
        <w:rPr>
          <w:i/>
        </w:rPr>
        <w:t>Elledge v. Friberg-Cooper Water Supply Corp.</w:t>
      </w:r>
      <w:r>
        <w:t>, 240 S.W.3d 869 (Tex. 2007). The intake's statement that "all claims" have four years is therefore wrong. The earliest act of enrichment (May 15, 2023) is still within two years of an August 2024 filing, so nothing is time-barred now, but we should not delay past spring 2025. The draft also pleads the discovery rule and fraudulent concealment, with April 17, 2024 as the discovery date.</w:t>
      </w:r>
    </w:p>
    <w:p>
      <w:pPr>
        <w:spacing w:after="120"/>
        <w:ind w:left="720" w:hanging="360"/>
        <w:jc w:val="both"/>
      </w:pPr>
      <w:r>
        <w:t>•</w:t>
        <w:tab/>
        <w:t xml:space="preserve">Economic-loss rule. Fraud damages are recoverable even when the loss is purely economic and a contract exists. </w:t>
      </w:r>
      <w:r>
        <w:rPr>
          <w:i/>
        </w:rPr>
        <w:t>Formosa Plastics Corp. USA v. Presidio Eng'rs &amp; Contractors, Inc.</w:t>
      </w:r>
      <w:r>
        <w:t xml:space="preserve">, 960 S.W.2d 41, 47 (Tex. 1998). Formosa concerned fraudulent inducement, however, and Graydon will argue that misstatements made during performance are only contract breaches. Our answers: (a) the misrepresentations were independent statements of fact made to obtain money; (b) Graydon owed an independent fiduciary duty as an agent, which exists regardless of the contract (see </w:t>
      </w:r>
      <w:r>
        <w:rPr>
          <w:i/>
        </w:rPr>
        <w:t>Chapman Custom Homes, Inc. v. Dallas Plumbing Co.</w:t>
      </w:r>
      <w:r>
        <w:t>, 445 S.W.3d 716 (Tex. 2014)); and (c) the claims against Trevor Graydon and GCS do not arise from any contract with them. Prepare a Rule 12(b)(6) response now.</w:t>
      </w:r>
    </w:p>
    <w:p>
      <w:pPr>
        <w:pStyle w:val="Heading1"/>
      </w:pPr>
      <w:r>
        <w:t>9. Privilege, Confidentiality, and Sealing</w:t>
      </w:r>
    </w:p>
    <w:p>
      <w:pPr>
        <w:spacing w:after="120"/>
        <w:ind w:left="720" w:hanging="360"/>
        <w:jc w:val="both"/>
      </w:pPr>
      <w:r>
        <w:t>•</w:t>
        <w:tab/>
      </w:r>
      <w:r>
        <w:rPr>
          <w:b/>
        </w:rPr>
        <w:t>Millhaven report.</w:t>
      </w:r>
      <w:r>
        <w:t xml:space="preserve"> It is labeled work product. If Mr. Calloway testifies, his report and the materials he considered become discoverable under Rule 26(a)(2)(B) and 26(b)(4). Given the errors listed in § 3, consider keeping Millhaven as a consulting expert and retaining a separate testifying damages expert. Either way, Millhaven should issue a corrected report.</w:t>
      </w:r>
    </w:p>
    <w:p>
      <w:pPr>
        <w:spacing w:after="120"/>
        <w:ind w:left="720" w:hanging="360"/>
        <w:jc w:val="both"/>
      </w:pPr>
      <w:r>
        <w:t>•</w:t>
        <w:tab/>
      </w:r>
      <w:r>
        <w:rPr>
          <w:b/>
        </w:rPr>
        <w:t>Investor confirmations.</w:t>
      </w:r>
      <w:r>
        <w:t xml:space="preserve"> Several allegations (Trevor Graydon's GPPERS meeting and Northshore call; Pruitt's "complementary strategy" statement to Harborview) come from investor statements "obtained through counsel." The draft pleads them on information and belief and does not identify the source. Before filing, confirm that each investor will stand behind its statement. Naming GPPERS, Harborview, and Northshore publicly may affect Westlake's future relationships with them. </w:t>
      </w:r>
      <w:r>
        <w:rPr>
          <w:b/>
        </w:rPr>
        <w:t>Client decision.</w:t>
      </w:r>
    </w:p>
    <w:p>
      <w:pPr>
        <w:spacing w:after="120"/>
        <w:ind w:left="720" w:hanging="360"/>
        <w:jc w:val="both"/>
      </w:pPr>
      <w:r>
        <w:t>•</w:t>
        <w:tab/>
      </w:r>
      <w:r>
        <w:rPr>
          <w:b/>
        </w:rPr>
        <w:t>The April 17–18, 2024 email.</w:t>
      </w:r>
      <w:r>
        <w:t xml:space="preserve"> The Rosario-Vega/Harwell exchange is between business principals and was written before counsel was retained, so it is likely not privileged and will be produced. That helps us: it records the Northshore CIO's statement within minutes, and Mr. Harwell's reply shows prompt steps to preserve evidence. The CIO's statement is hearsay if offered for its truth, so we will need Northshore's testimony, obtained by Rule 45 subpoena or declaration.</w:t>
      </w:r>
    </w:p>
    <w:p>
      <w:pPr>
        <w:spacing w:after="120"/>
        <w:ind w:left="720" w:hanging="360"/>
        <w:jc w:val="both"/>
      </w:pPr>
      <w:r>
        <w:t>•</w:t>
        <w:tab/>
      </w:r>
      <w:r>
        <w:rPr>
          <w:b/>
        </w:rPr>
        <w:t>PAA confidentiality (§ 9).</w:t>
      </w:r>
      <w:r>
        <w:t xml:space="preserve"> The PAA's terms and investor pipeline data are Confidential Information. Disclosing them in a lawsuit to enforce the PAA is defensible, but consider a motion to file PAA exhibits and investor-specific figures under seal or redacted. N.D. Tex. applies a strong presumption of public access, so keep any request narrow. The draft quotes only the provisions we need and attaches no exhibits.</w:t>
      </w:r>
    </w:p>
    <w:p>
      <w:pPr>
        <w:pStyle w:val="Heading1"/>
      </w:pPr>
      <w:r>
        <w:t>10. Anticipated Defenses and Counterclaim Exposure</w:t>
      </w:r>
    </w:p>
    <w:p>
      <w:pPr>
        <w:spacing w:after="120"/>
        <w:ind w:left="720" w:hanging="360"/>
        <w:jc w:val="both"/>
      </w:pPr>
      <w:r>
        <w:t>•</w:t>
        <w:tab/>
      </w:r>
      <w:r>
        <w:rPr>
          <w:b/>
        </w:rPr>
        <w:t>"Separate entity" / § 7.4 does not reach affiliates.</w:t>
      </w:r>
      <w:r>
        <w:t xml:space="preserve"> § 7.4's last sentences and § 1.1's 25%-ownership prong defeat this. § 7.2's definition of material conflict expressly covers compensation received by "any of its Affiliates." The complaint quotes both.</w:t>
      </w:r>
    </w:p>
    <w:p>
      <w:pPr>
        <w:spacing w:after="120"/>
        <w:ind w:left="720" w:hanging="360"/>
        <w:jc w:val="both"/>
      </w:pPr>
      <w:r>
        <w:t>•</w:t>
        <w:tab/>
      </w:r>
      <w:r>
        <w:rPr>
          <w:b/>
        </w:rPr>
        <w:t>Independent investor decisions (causation).</w:t>
      </w:r>
      <w:r>
        <w:t xml:space="preserve"> This is Graydon's strongest defense on lost fees and carry. We need investor testimony about Graydon's role and about their pre-diversion intentions toward Fund III.</w:t>
      </w:r>
    </w:p>
    <w:p>
      <w:pPr>
        <w:spacing w:after="120"/>
        <w:ind w:left="720" w:hanging="360"/>
        <w:jc w:val="both"/>
      </w:pPr>
      <w:r>
        <w:t>•</w:t>
        <w:tab/>
      </w:r>
      <w:r>
        <w:rPr>
          <w:b/>
        </w:rPr>
        <w:t>Counterclaims.</w:t>
      </w:r>
      <w:r>
        <w:t xml:space="preserve"> (a) Graydon's letter expects payment "through the end of the contractual term." If Westlake withheld the July 2024 retainer ($35,000), Graydon will claim it plus 1.5% monthly interest (§ 6.2). (b) Tail-period Placement Fees (§ 3.5) through July 18, 2025 on Graydon-introduced investors who commit (e.g., Cascadian Timber, $12M in documentation). (c) Fee-shifting under § 12.3 cuts both ways. We should plead prior material breach and fee forfeiture as defenses to any counterclaim. </w:t>
      </w:r>
      <w:r>
        <w:rPr>
          <w:b/>
        </w:rPr>
        <w:t>Please confirm with the client what has been paid since June 2024.</w:t>
      </w:r>
    </w:p>
    <w:p>
      <w:pPr>
        <w:spacing w:after="120"/>
        <w:ind w:left="720" w:hanging="360"/>
        <w:jc w:val="both"/>
      </w:pPr>
      <w:r>
        <w:t>•</w:t>
        <w:tab/>
      </w:r>
      <w:r>
        <w:rPr>
          <w:b/>
        </w:rPr>
        <w:t>FINRA arbitration.</w:t>
      </w:r>
      <w:r>
        <w:t xml:space="preserve"> Graydon is a FINRA member. FINRA arbitration is available at a customer's election, and Westlake has chosen court under § 12.2. Graydon cannot compel arbitration on that basis. Low risk.</w:t>
      </w:r>
    </w:p>
    <w:p>
      <w:pPr>
        <w:spacing w:after="120"/>
        <w:ind w:left="720" w:hanging="360"/>
        <w:jc w:val="both"/>
      </w:pPr>
      <w:r>
        <w:t>•</w:t>
        <w:tab/>
      </w:r>
      <w:r>
        <w:rPr>
          <w:b/>
        </w:rPr>
        <w:t>GCS broker-dealer status.</w:t>
      </w:r>
      <w:r>
        <w:t xml:space="preserve"> In the Ridgecrest Agreement § 5.1(d), GCS acknowledges it is not a registered broker-dealer while receiving transaction-based fees. That possible regulatory issue supports the inference that GCS was a shell used to keep the fees away from the registered firm, and it may support the § 41.008(c) argument. It does not give Westlake a private claim. The FINRA referral threatened in the demand letter is a separate client decision. Do not use a threatened regulatory referral as leverage in settlement.</w:t>
      </w:r>
    </w:p>
    <w:p>
      <w:pPr>
        <w:pStyle w:val="Heading1"/>
      </w:pPr>
      <w:r>
        <w:t>11. Injunctive Relief</w:t>
      </w:r>
    </w:p>
    <w:p>
      <w:pPr>
        <w:spacing w:after="120"/>
        <w:jc w:val="both"/>
      </w:pPr>
      <w:r>
        <w:t>Recommendation: include the permanent-injunction count (done) and decide within two weeks of filing whether to move for a preliminary injunction. The Restricted Period ends July 18, 2025, and the Ridgecrest Agreement runs to July 31, 2025, so an incentive to keep diverting investors remains. The § 12.4 stipulation of irreparable harm helps but does not bind the Court. Every month of delay undercuts any claim of urgency. A preliminary-injunction motion needs declarations identifying the remaining Fund III prospects Graydon introduced and some evidence of ongoing risk. Consider expedited discovery aimed at Introduction Notices GCS has submitted to Ridgecrest.</w:t>
      </w:r>
    </w:p>
    <w:p>
      <w:pPr>
        <w:pStyle w:val="Heading1"/>
      </w:pPr>
      <w:r>
        <w:t>12. Pre-Filing Checklist</w:t>
      </w:r>
    </w:p>
    <w:tbl>
      <w:tblPr>
        <w:tblStyle w:val="TableGrid"/>
        <w:tblW w:type="auto" w:w="0"/>
        <w:tblLook w:firstColumn="1" w:firstRow="1" w:lastColumn="0" w:lastRow="0" w:noHBand="0" w:noVBand="1" w:val="04A0"/>
      </w:tblPr>
      <w:tblGrid>
        <w:gridCol w:w="3120"/>
        <w:gridCol w:w="3120"/>
        <w:gridCol w:w="3120"/>
      </w:tblGrid>
      <w:tr>
        <w:tc>
          <w:tcPr>
            <w:tcW w:type="dxa" w:w="576"/>
          </w:tcPr>
          <w:p>
            <w:r>
              <w:rPr>
                <w:b/>
                <w:sz w:val="20"/>
              </w:rPr>
            </w:r>
            <w:r>
              <w:rPr>
                <w:b/>
                <w:sz w:val="20"/>
              </w:rPr>
              <w:t>#</w:t>
            </w:r>
          </w:p>
        </w:tc>
        <w:tc>
          <w:tcPr>
            <w:tcW w:type="dxa" w:w="6192"/>
          </w:tcPr>
          <w:p>
            <w:r>
              <w:rPr>
                <w:b/>
                <w:sz w:val="20"/>
              </w:rPr>
            </w:r>
            <w:r>
              <w:rPr>
                <w:b/>
                <w:sz w:val="20"/>
              </w:rPr>
              <w:t>Item</w:t>
            </w:r>
          </w:p>
        </w:tc>
        <w:tc>
          <w:tcPr>
            <w:tcW w:type="dxa" w:w="2592"/>
          </w:tcPr>
          <w:p>
            <w:r>
              <w:rPr>
                <w:b/>
                <w:sz w:val="20"/>
              </w:rPr>
            </w:r>
            <w:r>
              <w:rPr>
                <w:b/>
                <w:sz w:val="20"/>
              </w:rPr>
              <w:t>Owner / status</w:t>
            </w:r>
          </w:p>
        </w:tc>
      </w:tr>
      <w:tr>
        <w:tc>
          <w:tcPr>
            <w:tcW w:type="dxa" w:w="576"/>
          </w:tcPr>
          <w:p>
            <w:r>
              <w:rPr>
                <w:sz w:val="20"/>
              </w:rPr>
            </w:r>
            <w:r>
              <w:rPr>
                <w:sz w:val="20"/>
              </w:rPr>
              <w:t>1</w:t>
            </w:r>
          </w:p>
        </w:tc>
        <w:tc>
          <w:tcPr>
            <w:tcW w:type="dxa" w:w="6192"/>
          </w:tcPr>
          <w:p>
            <w:r>
              <w:rPr>
                <w:sz w:val="20"/>
              </w:rPr>
            </w:r>
            <w:r>
              <w:rPr>
                <w:sz w:val="20"/>
              </w:rPr>
              <w:t>Confirm all Westlake members' citizenship (traced through every layer); confirm Trevor Graydon's domicile (and Pruitt's if named)</w:t>
            </w:r>
          </w:p>
        </w:tc>
        <w:tc>
          <w:tcPr>
            <w:tcW w:type="dxa" w:w="2592"/>
          </w:tcPr>
          <w:p>
            <w:r>
              <w:rPr>
                <w:sz w:val="20"/>
              </w:rPr>
            </w:r>
            <w:r>
              <w:rPr>
                <w:sz w:val="20"/>
              </w:rPr>
              <w:t>Client / KLS — BLOCKER</w:t>
            </w:r>
          </w:p>
        </w:tc>
      </w:tr>
      <w:tr>
        <w:tc>
          <w:tcPr>
            <w:tcW w:type="dxa" w:w="576"/>
          </w:tcPr>
          <w:p>
            <w:r>
              <w:rPr>
                <w:sz w:val="20"/>
              </w:rPr>
            </w:r>
            <w:r>
              <w:rPr>
                <w:sz w:val="20"/>
              </w:rPr>
              <w:t>2</w:t>
            </w:r>
          </w:p>
        </w:tc>
        <w:tc>
          <w:tcPr>
            <w:tcW w:type="dxa" w:w="6192"/>
          </w:tcPr>
          <w:p>
            <w:r>
              <w:rPr>
                <w:sz w:val="20"/>
              </w:rPr>
            </w:r>
            <w:r>
              <w:rPr>
                <w:sz w:val="20"/>
              </w:rPr>
              <w:t>Partner decisions: defendants (Trevor Graydon, GCS, Pruitt); forfeiture scope; preliminary-injunction motion</w:t>
            </w:r>
          </w:p>
        </w:tc>
        <w:tc>
          <w:tcPr>
            <w:tcW w:type="dxa" w:w="2592"/>
          </w:tcPr>
          <w:p>
            <w:r>
              <w:rPr>
                <w:sz w:val="20"/>
              </w:rPr>
            </w:r>
            <w:r>
              <w:rPr>
                <w:sz w:val="20"/>
              </w:rPr>
              <w:t>C. Aldridge</w:t>
            </w:r>
          </w:p>
        </w:tc>
      </w:tr>
      <w:tr>
        <w:tc>
          <w:tcPr>
            <w:tcW w:type="dxa" w:w="576"/>
          </w:tcPr>
          <w:p>
            <w:r>
              <w:rPr>
                <w:sz w:val="20"/>
              </w:rPr>
            </w:r>
            <w:r>
              <w:rPr>
                <w:sz w:val="20"/>
              </w:rPr>
              <w:t>3</w:t>
            </w:r>
          </w:p>
        </w:tc>
        <w:tc>
          <w:tcPr>
            <w:tcW w:type="dxa" w:w="6192"/>
          </w:tcPr>
          <w:p>
            <w:r>
              <w:rPr>
                <w:sz w:val="20"/>
              </w:rPr>
            </w:r>
            <w:r>
              <w:rPr>
                <w:sz w:val="20"/>
              </w:rPr>
              <w:t>Confirm Fund III fee and carry structure; decide whether to join the GP entity</w:t>
            </w:r>
          </w:p>
        </w:tc>
        <w:tc>
          <w:tcPr>
            <w:tcW w:type="dxa" w:w="2592"/>
          </w:tcPr>
          <w:p>
            <w:r>
              <w:rPr>
                <w:sz w:val="20"/>
              </w:rPr>
            </w:r>
            <w:r>
              <w:rPr>
                <w:sz w:val="20"/>
              </w:rPr>
              <w:t>Client</w:t>
            </w:r>
          </w:p>
        </w:tc>
      </w:tr>
      <w:tr>
        <w:tc>
          <w:tcPr>
            <w:tcW w:type="dxa" w:w="576"/>
          </w:tcPr>
          <w:p>
            <w:r>
              <w:rPr>
                <w:sz w:val="20"/>
              </w:rPr>
            </w:r>
            <w:r>
              <w:rPr>
                <w:sz w:val="20"/>
              </w:rPr>
              <w:t>4</w:t>
            </w:r>
          </w:p>
        </w:tc>
        <w:tc>
          <w:tcPr>
            <w:tcW w:type="dxa" w:w="6192"/>
          </w:tcPr>
          <w:p>
            <w:r>
              <w:rPr>
                <w:sz w:val="20"/>
              </w:rPr>
            </w:r>
            <w:r>
              <w:rPr>
                <w:sz w:val="20"/>
              </w:rPr>
              <w:t>Verify factual allegations: Dallas trips; Northshore meeting dates; conference name; payment dates against wire records; whether Graydon returned materials under § 3.4</w:t>
            </w:r>
          </w:p>
        </w:tc>
        <w:tc>
          <w:tcPr>
            <w:tcW w:type="dxa" w:w="2592"/>
          </w:tcPr>
          <w:p>
            <w:r>
              <w:rPr>
                <w:sz w:val="20"/>
              </w:rPr>
            </w:r>
            <w:r>
              <w:rPr>
                <w:sz w:val="20"/>
              </w:rPr>
              <w:t>KLS / client</w:t>
            </w:r>
          </w:p>
        </w:tc>
      </w:tr>
      <w:tr>
        <w:tc>
          <w:tcPr>
            <w:tcW w:type="dxa" w:w="576"/>
          </w:tcPr>
          <w:p>
            <w:r>
              <w:rPr>
                <w:sz w:val="20"/>
              </w:rPr>
            </w:r>
            <w:r>
              <w:rPr>
                <w:sz w:val="20"/>
              </w:rPr>
              <w:t>5</w:t>
            </w:r>
          </w:p>
        </w:tc>
        <w:tc>
          <w:tcPr>
            <w:tcW w:type="dxa" w:w="6192"/>
          </w:tcPr>
          <w:p>
            <w:r>
              <w:rPr>
                <w:sz w:val="20"/>
              </w:rPr>
            </w:r>
            <w:r>
              <w:rPr>
                <w:sz w:val="20"/>
              </w:rPr>
              <w:t>Get the Ridgecrest Agreement's provenance and the investor confirmations in a form usable at trial</w:t>
            </w:r>
          </w:p>
        </w:tc>
        <w:tc>
          <w:tcPr>
            <w:tcW w:type="dxa" w:w="2592"/>
          </w:tcPr>
          <w:p>
            <w:r>
              <w:rPr>
                <w:sz w:val="20"/>
              </w:rPr>
            </w:r>
            <w:r>
              <w:rPr>
                <w:sz w:val="20"/>
              </w:rPr>
              <w:t>KLS / Millhaven</w:t>
            </w:r>
          </w:p>
        </w:tc>
      </w:tr>
      <w:tr>
        <w:tc>
          <w:tcPr>
            <w:tcW w:type="dxa" w:w="576"/>
          </w:tcPr>
          <w:p>
            <w:r>
              <w:rPr>
                <w:sz w:val="20"/>
              </w:rPr>
            </w:r>
            <w:r>
              <w:rPr>
                <w:sz w:val="20"/>
              </w:rPr>
              <w:t>6</w:t>
            </w:r>
          </w:p>
        </w:tc>
        <w:tc>
          <w:tcPr>
            <w:tcW w:type="dxa" w:w="6192"/>
          </w:tcPr>
          <w:p>
            <w:r>
              <w:rPr>
                <w:sz w:val="20"/>
              </w:rPr>
            </w:r>
            <w:r>
              <w:rPr>
                <w:sz w:val="20"/>
              </w:rPr>
              <w:t>Civil Cover Sheet (JS 44); Rule 7.1 disclosure statement with member citizenship; LR 3.1(c) certificate of interested persons; summons (AO 440) for each defendant; filing fee</w:t>
            </w:r>
          </w:p>
        </w:tc>
        <w:tc>
          <w:tcPr>
            <w:tcW w:type="dxa" w:w="2592"/>
          </w:tcPr>
          <w:p>
            <w:r>
              <w:rPr>
                <w:sz w:val="20"/>
              </w:rPr>
            </w:r>
            <w:r>
              <w:rPr>
                <w:sz w:val="20"/>
              </w:rPr>
              <w:t>KLS</w:t>
            </w:r>
          </w:p>
        </w:tc>
      </w:tr>
      <w:tr>
        <w:tc>
          <w:tcPr>
            <w:tcW w:type="dxa" w:w="576"/>
          </w:tcPr>
          <w:p>
            <w:r>
              <w:rPr>
                <w:sz w:val="20"/>
              </w:rPr>
            </w:r>
            <w:r>
              <w:rPr>
                <w:sz w:val="20"/>
              </w:rPr>
              <w:t>7</w:t>
            </w:r>
          </w:p>
        </w:tc>
        <w:tc>
          <w:tcPr>
            <w:tcW w:type="dxa" w:w="6192"/>
          </w:tcPr>
          <w:p>
            <w:r>
              <w:rPr>
                <w:sz w:val="20"/>
              </w:rPr>
            </w:r>
            <w:r>
              <w:rPr>
                <w:sz w:val="20"/>
              </w:rPr>
              <w:t>Confirm N.D. Tex. admission and ECF registration for every signing attorney; review the assigned judge's specific requirements</w:t>
            </w:r>
          </w:p>
        </w:tc>
        <w:tc>
          <w:tcPr>
            <w:tcW w:type="dxa" w:w="2592"/>
          </w:tcPr>
          <w:p>
            <w:r>
              <w:rPr>
                <w:sz w:val="20"/>
              </w:rPr>
            </w:r>
            <w:r>
              <w:rPr>
                <w:sz w:val="20"/>
              </w:rPr>
              <w:t>KLS</w:t>
            </w:r>
          </w:p>
        </w:tc>
      </w:tr>
      <w:tr>
        <w:tc>
          <w:tcPr>
            <w:tcW w:type="dxa" w:w="576"/>
          </w:tcPr>
          <w:p>
            <w:r>
              <w:rPr>
                <w:sz w:val="20"/>
              </w:rPr>
            </w:r>
            <w:r>
              <w:rPr>
                <w:sz w:val="20"/>
              </w:rPr>
              <w:t>8</w:t>
            </w:r>
          </w:p>
        </w:tc>
        <w:tc>
          <w:tcPr>
            <w:tcW w:type="dxa" w:w="6192"/>
          </w:tcPr>
          <w:p>
            <w:r>
              <w:rPr>
                <w:sz w:val="20"/>
              </w:rPr>
            </w:r>
            <w:r>
              <w:rPr>
                <w:sz w:val="20"/>
              </w:rPr>
              <w:t>Service: consider Rule 4(d) waiver requests via Ashworth &amp; Beckett; otherwise serve in New York under Rule 4(e)/(h)</w:t>
            </w:r>
          </w:p>
        </w:tc>
        <w:tc>
          <w:tcPr>
            <w:tcW w:type="dxa" w:w="2592"/>
          </w:tcPr>
          <w:p>
            <w:r>
              <w:rPr>
                <w:sz w:val="20"/>
              </w:rPr>
            </w:r>
            <w:r>
              <w:rPr>
                <w:sz w:val="20"/>
              </w:rPr>
              <w:t>KLS</w:t>
            </w:r>
          </w:p>
        </w:tc>
      </w:tr>
      <w:tr>
        <w:tc>
          <w:tcPr>
            <w:tcW w:type="dxa" w:w="576"/>
          </w:tcPr>
          <w:p>
            <w:r>
              <w:rPr>
                <w:sz w:val="20"/>
              </w:rPr>
            </w:r>
            <w:r>
              <w:rPr>
                <w:sz w:val="20"/>
              </w:rPr>
              <w:t>9</w:t>
            </w:r>
          </w:p>
        </w:tc>
        <w:tc>
          <w:tcPr>
            <w:tcW w:type="dxa" w:w="6192"/>
          </w:tcPr>
          <w:p>
            <w:r>
              <w:rPr>
                <w:sz w:val="20"/>
              </w:rPr>
            </w:r>
            <w:r>
              <w:rPr>
                <w:sz w:val="20"/>
              </w:rPr>
              <w:t>Preservation letters to Ridgecrest, GCS, GPPERS, Harborview, Northshore; prepare Rule 45 subpoenas for after the Rule 26(f) conference</w:t>
            </w:r>
          </w:p>
        </w:tc>
        <w:tc>
          <w:tcPr>
            <w:tcW w:type="dxa" w:w="2592"/>
          </w:tcPr>
          <w:p>
            <w:r>
              <w:rPr>
                <w:sz w:val="20"/>
              </w:rPr>
            </w:r>
            <w:r>
              <w:rPr>
                <w:sz w:val="20"/>
              </w:rPr>
              <w:t>KLS</w:t>
            </w:r>
          </w:p>
        </w:tc>
      </w:tr>
      <w:tr>
        <w:tc>
          <w:tcPr>
            <w:tcW w:type="dxa" w:w="576"/>
          </w:tcPr>
          <w:p>
            <w:r>
              <w:rPr>
                <w:sz w:val="20"/>
              </w:rPr>
            </w:r>
            <w:r>
              <w:rPr>
                <w:sz w:val="20"/>
              </w:rPr>
              <w:t>10</w:t>
            </w:r>
          </w:p>
        </w:tc>
        <w:tc>
          <w:tcPr>
            <w:tcW w:type="dxa" w:w="6192"/>
          </w:tcPr>
          <w:p>
            <w:r>
              <w:rPr>
                <w:sz w:val="20"/>
              </w:rPr>
            </w:r>
            <w:r>
              <w:rPr>
                <w:sz w:val="20"/>
              </w:rPr>
              <w:t>Calendar: 2-year unjust-enrichment period (from May 15, 2023 payment); Restricted Period ends July 18, 2025; Ridgecrest term ends July 31, 2025</w:t>
            </w:r>
          </w:p>
        </w:tc>
        <w:tc>
          <w:tcPr>
            <w:tcW w:type="dxa" w:w="2592"/>
          </w:tcPr>
          <w:p>
            <w:r>
              <w:rPr>
                <w:sz w:val="20"/>
              </w:rPr>
            </w:r>
            <w:r>
              <w:rPr>
                <w:sz w:val="20"/>
              </w:rPr>
              <w:t>KLS docketing</w:t>
            </w:r>
          </w:p>
        </w:tc>
      </w:tr>
      <w:tr>
        <w:tc>
          <w:tcPr>
            <w:tcW w:type="dxa" w:w="576"/>
          </w:tcPr>
          <w:p>
            <w:r>
              <w:rPr>
                <w:sz w:val="20"/>
              </w:rPr>
            </w:r>
            <w:r>
              <w:rPr>
                <w:sz w:val="20"/>
              </w:rPr>
              <w:t>11</w:t>
            </w:r>
          </w:p>
        </w:tc>
        <w:tc>
          <w:tcPr>
            <w:tcW w:type="dxa" w:w="6192"/>
          </w:tcPr>
          <w:p>
            <w:r>
              <w:rPr>
                <w:sz w:val="20"/>
              </w:rPr>
            </w:r>
            <w:r>
              <w:rPr>
                <w:sz w:val="20"/>
              </w:rPr>
              <w:t>Have citations verified and the draft cite-checked before filing; remove bracketed notes and the drafting-note page</w:t>
            </w:r>
          </w:p>
        </w:tc>
        <w:tc>
          <w:tcPr>
            <w:tcW w:type="dxa" w:w="2592"/>
          </w:tcPr>
          <w:p>
            <w:r>
              <w:rPr>
                <w:sz w:val="20"/>
              </w:rPr>
            </w:r>
            <w:r>
              <w:rPr>
                <w:sz w:val="20"/>
              </w:rPr>
              <w:t>KLS</w:t>
            </w:r>
          </w:p>
        </w:tc>
      </w:tr>
    </w:tbl>
    <w:p/>
    <w:p>
      <w:pPr>
        <w:spacing w:after="120"/>
        <w:jc w:val="both"/>
      </w:pPr>
      <w:r>
        <w:rPr>
          <w:i/>
          <w:sz w:val="20"/>
        </w:rPr>
        <w:t>Citations in this memo and the complaint are given from general knowledge and must be cite-checked before filing.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