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u w:val="none"/>
        </w:rPr>
        <w:t>IN THE UNITED STATES DISTRICT COURT</w:t>
      </w:r>
    </w:p>
    <w:p>
      <w:pPr>
        <w:spacing w:after="0"/>
        <w:jc w:val="center"/>
      </w:pPr>
      <w:r>
        <w:rPr>
          <w:b/>
          <w:i w:val="0"/>
          <w:u w:val="none"/>
        </w:rPr>
        <w:t>FOR THE WESTERN DISTRICT OF TEXAS</w:t>
      </w:r>
    </w:p>
    <w:p>
      <w:pPr>
        <w:spacing w:after="0"/>
        <w:jc w:val="center"/>
      </w:pPr>
      <w:r>
        <w:rPr>
          <w:b/>
          <w:i w:val="0"/>
          <w:u w:val="none"/>
        </w:rPr>
        <w:t>AUSTIN DIVISION</w:t>
      </w:r>
    </w:p>
    <w:p>
      <w:pPr>
        <w:spacing w:after="240"/>
      </w:pPr>
    </w:p>
    <w:tbl>
      <w:tblPr>
        <w:tblW w:type="auto" w:w="0"/>
        <w:tblLook w:firstColumn="1" w:firstRow="1" w:lastColumn="0" w:lastRow="0" w:noHBand="0" w:noVBand="1" w:val="04A0"/>
      </w:tblPr>
      <w:tblGrid>
        <w:gridCol w:w="4680"/>
        <w:gridCol w:w="4680"/>
      </w:tblGrid>
      <w:tr>
        <w:tc>
          <w:tcPr>
            <w:tcW w:type="dxa" w:w="5184"/>
          </w:tcPr>
          <w:p>
            <w:r/>
            <w:r>
              <w:rPr>
                <w:b/>
              </w:rPr>
              <w:t>CASTILLO MEDICAL TECHNOLOGIES, INC.,</w:t>
            </w:r>
          </w:p>
          <w:p/>
          <w:p>
            <w:r>
              <w:t xml:space="preserve">          Plaintiff,</w:t>
            </w:r>
          </w:p>
          <w:p/>
          <w:p>
            <w:r>
              <w:t>v.</w:t>
            </w:r>
          </w:p>
          <w:p/>
          <w:p>
            <w:r>
              <w:rPr>
                <w:b/>
              </w:rPr>
              <w:t>RYAN OSHIRO and VERIDIAN HEALTH SYSTEMS, LLC,</w:t>
            </w:r>
          </w:p>
          <w:p/>
          <w:p>
            <w:r>
              <w:t xml:space="preserve">          Defendants.</w:t>
            </w:r>
          </w:p>
        </w:tc>
        <w:tc>
          <w:tcPr>
            <w:tcW w:type="dxa" w:w="4176"/>
          </w:tcPr>
          <w:p/>
          <w:p/>
          <w:p/>
          <w:p>
            <w:r>
              <w:t>Civil Action No. 1:24-cv-03841-RLH</w:t>
            </w:r>
          </w:p>
          <w:p/>
          <w:p>
            <w:r>
              <w:t>Hon. Rebecca L. Hightower</w:t>
            </w:r>
          </w:p>
        </w:tc>
      </w:tr>
    </w:tbl>
    <w:p>
      <w:pPr>
        <w:spacing w:after="240"/>
      </w:pPr>
    </w:p>
    <w:p>
      <w:pPr>
        <w:spacing w:after="240"/>
        <w:jc w:val="center"/>
      </w:pPr>
      <w:r>
        <w:rPr>
          <w:b/>
          <w:i w:val="0"/>
          <w:u w:val="none"/>
        </w:rPr>
        <w:t>PLAINTIFF CASTILLO MEDICAL TECHNOLOGIES, INC.’S FIRST SET OF INTERROGATORIES TO DEFENDANT VERIDIAN HEALTH SYSTEMS, LLC (NOS. 1–21)</w:t>
      </w:r>
    </w:p>
    <w:tbl>
      <w:tblPr>
        <w:tblW w:type="auto" w:w="0"/>
        <w:tblLook w:firstColumn="1" w:firstRow="1" w:lastColumn="0" w:lastRow="0" w:noHBand="0" w:noVBand="1" w:val="04A0"/>
      </w:tblPr>
      <w:tblGrid>
        <w:gridCol w:w="4680"/>
        <w:gridCol w:w="4680"/>
      </w:tblGrid>
      <w:tr>
        <w:tc>
          <w:tcPr>
            <w:tcW w:type="dxa" w:w="4680"/>
          </w:tcPr>
          <w:p>
            <w:r/>
            <w:r>
              <w:rPr>
                <w:b/>
              </w:rPr>
              <w:t>PROPOUNDING PARTY:</w:t>
            </w:r>
          </w:p>
        </w:tc>
        <w:tc>
          <w:tcPr>
            <w:tcW w:type="dxa" w:w="4680"/>
          </w:tcPr>
          <w:p>
            <w:r>
              <w:t>Plaintiff Castillo Medical Technologies, Inc.</w:t>
            </w:r>
          </w:p>
        </w:tc>
      </w:tr>
      <w:tr>
        <w:tc>
          <w:tcPr>
            <w:tcW w:type="dxa" w:w="4680"/>
          </w:tcPr>
          <w:p>
            <w:r/>
            <w:r>
              <w:rPr>
                <w:b/>
              </w:rPr>
              <w:t>RESPONDING PARTY:</w:t>
            </w:r>
          </w:p>
        </w:tc>
        <w:tc>
          <w:tcPr>
            <w:tcW w:type="dxa" w:w="4680"/>
          </w:tcPr>
          <w:p>
            <w:r>
              <w:t>Defendant Veridian Health Systems, LLC</w:t>
            </w:r>
          </w:p>
        </w:tc>
      </w:tr>
      <w:tr>
        <w:tc>
          <w:tcPr>
            <w:tcW w:type="dxa" w:w="4680"/>
          </w:tcPr>
          <w:p>
            <w:r/>
            <w:r>
              <w:rPr>
                <w:b/>
              </w:rPr>
              <w:t>SET NUMBER:</w:t>
            </w:r>
          </w:p>
        </w:tc>
        <w:tc>
          <w:tcPr>
            <w:tcW w:type="dxa" w:w="4680"/>
          </w:tcPr>
          <w:p>
            <w:r>
              <w:t>One (Interrogatory Nos. 1–21)</w:t>
            </w:r>
          </w:p>
        </w:tc>
      </w:tr>
    </w:tbl>
    <w:p>
      <w:pPr>
        <w:spacing w:after="240"/>
      </w:pPr>
    </w:p>
    <w:p>
      <w:pPr>
        <w:spacing w:after="240"/>
        <w:ind w:firstLine="720"/>
        <w:jc w:val="both"/>
      </w:pPr>
      <w:r>
        <w:rPr>
          <w:b w:val="0"/>
          <w:i w:val="0"/>
          <w:u w:val="none"/>
        </w:rPr>
        <w:t>TO: Defendant Veridian Health Systems, LLC, by and through its counsel of record, Stephen Osei, Drummond &amp; Wakefield LLP, 1150 K Street NW, Suite 1200, Washington, DC 20005.</w:t>
      </w:r>
    </w:p>
    <w:p>
      <w:pPr>
        <w:spacing w:after="240"/>
        <w:ind w:firstLine="720"/>
        <w:jc w:val="both"/>
      </w:pPr>
      <w:r>
        <w:rPr>
          <w:b w:val="0"/>
          <w:i w:val="0"/>
          <w:u w:val="none"/>
        </w:rPr>
        <w:t>Pursuant to Rules 26 and 33 of the Federal Rules of Civil Procedure, the Local Rules of the United States District Court for the Western District of Texas, and the Court’s Scheduling Order entered September 4, 2024 (Dkt. __) (the “Scheduling Order”), Plaintiff Castillo Medical Technologies, Inc. (“CMT” or “Plaintiff”) hereby requests that Defendant Veridian Health Systems, LLC (“Veridian”) answer the following Interrogatories separately and fully, in writing and under oath, and serve its answers on Plaintiff’s counsel, Hargrove, Pell &amp; Sutton LLP, 2900 Elm Street, 40th Floor, Dallas, Texas 75201, within thirty (30) days of service, in accordance with the Definitions and Instructions set forth below.</w:t>
      </w:r>
    </w:p>
    <w:p>
      <w:pPr>
        <w:spacing w:after="240"/>
        <w:jc w:val="center"/>
      </w:pPr>
      <w:r>
        <w:rPr>
          <w:b/>
          <w:i w:val="0"/>
          <w:u w:val="none"/>
        </w:rPr>
        <w:t>PRELIMINARY STATEMENT</w:t>
      </w:r>
    </w:p>
    <w:p>
      <w:pPr>
        <w:spacing w:after="240"/>
        <w:ind w:firstLine="720"/>
        <w:jc w:val="both"/>
      </w:pPr>
      <w:r>
        <w:rPr>
          <w:b w:val="0"/>
          <w:i w:val="0"/>
          <w:u w:val="none"/>
        </w:rPr>
        <w:t>These Interrogatories are served within the twenty-five (25) interrogatory limit, inclusive of discrete subparts, established by Fed. R. Civ. P. 33(a)(1) and Section II.B.1 of the Scheduling Order. Each Interrogatory addresses a single subject, and any enumerated component of an Interrogatory is logically and factually subsumed within, and necessarily related to, the primary question. Consistent with Section II.B.3 of the Scheduling Order, these Interrogatories are directed to matters relevant to the specifically identified trade secrets at issue—the NeuralPath Algorithm, the PrecisionDrive System, and the PathPlanner Module—and to the claims and defenses set forth in the First Amended Complaint. Plaintiff reserves the right to serve its remaining interrogatories on or before the January 2, 2025 deadline.</w:t>
      </w:r>
    </w:p>
    <w:p>
      <w:pPr>
        <w:spacing w:after="240"/>
        <w:jc w:val="center"/>
      </w:pPr>
      <w:r>
        <w:rPr>
          <w:b/>
          <w:i w:val="0"/>
          <w:u w:val="none"/>
        </w:rPr>
        <w:t>DEFINITIONS</w:t>
      </w:r>
    </w:p>
    <w:p>
      <w:pPr>
        <w:spacing w:after="240"/>
        <w:ind w:firstLine="720"/>
        <w:jc w:val="both"/>
      </w:pPr>
      <w:r>
        <w:rPr>
          <w:b w:val="0"/>
          <w:i w:val="0"/>
          <w:u w:val="none"/>
        </w:rPr>
        <w:t>The following definitions apply to each Interrogatory and to these Definitions and Instructions, regardless of whether upper- or lower-case letters are used:</w:t>
      </w:r>
    </w:p>
    <w:p>
      <w:pPr>
        <w:spacing w:after="240"/>
        <w:ind w:firstLine="720"/>
        <w:jc w:val="both"/>
      </w:pPr>
      <w:r>
        <w:rPr>
          <w:b w:val="0"/>
        </w:rPr>
        <w:t xml:space="preserve">1.  </w:t>
      </w:r>
      <w:r>
        <w:rPr>
          <w:b/>
        </w:rPr>
        <w:t xml:space="preserve">“Action” </w:t>
      </w:r>
      <w:r>
        <w:rPr>
          <w:b w:val="0"/>
        </w:rPr>
        <w:t>means the above-captioned civil action, Civil Action No. 1:24-cv-03841-RLH, pending in the United States District Court for the Western District of Texas, Austin Division.</w:t>
      </w:r>
    </w:p>
    <w:p>
      <w:pPr>
        <w:spacing w:after="240"/>
        <w:ind w:firstLine="720"/>
        <w:jc w:val="both"/>
      </w:pPr>
      <w:r>
        <w:rPr>
          <w:b w:val="0"/>
        </w:rPr>
        <w:t xml:space="preserve">2.  </w:t>
      </w:r>
      <w:r>
        <w:rPr>
          <w:b/>
        </w:rPr>
        <w:t xml:space="preserve">“CMT” or “Plaintiff” </w:t>
      </w:r>
      <w:r>
        <w:rPr>
          <w:b w:val="0"/>
        </w:rPr>
        <w:t>means Castillo Medical Technologies, Inc., and its officers, directors, employees, and agents.</w:t>
      </w:r>
    </w:p>
    <w:p>
      <w:pPr>
        <w:spacing w:after="240"/>
        <w:ind w:firstLine="720"/>
        <w:jc w:val="both"/>
      </w:pPr>
      <w:r>
        <w:rPr>
          <w:b w:val="0"/>
        </w:rPr>
        <w:t xml:space="preserve">3.  </w:t>
      </w:r>
      <w:r>
        <w:rPr>
          <w:b/>
        </w:rPr>
        <w:t xml:space="preserve">“Veridian,” “You,” or “Your” </w:t>
      </w:r>
      <w:r>
        <w:rPr>
          <w:b w:val="0"/>
        </w:rPr>
        <w:t>means Defendant Veridian Health Systems, LLC, and its members, managers, officers, directors, employees, agents, representatives, consultants, contractors, attorneys (to the extent not privileged), predecessors, successors, parents, subsidiaries, and affiliates, and all other Persons acting or purporting to act on its behalf, including at its offices in Reston, Virginia; San Jose, California; and Boston, Massachusetts.</w:t>
      </w:r>
    </w:p>
    <w:p>
      <w:pPr>
        <w:spacing w:after="240"/>
        <w:ind w:firstLine="720"/>
        <w:jc w:val="both"/>
      </w:pPr>
      <w:r>
        <w:rPr>
          <w:b w:val="0"/>
        </w:rPr>
        <w:t xml:space="preserve">4.  </w:t>
      </w:r>
      <w:r>
        <w:rPr>
          <w:b/>
        </w:rPr>
        <w:t xml:space="preserve">“Oshiro” </w:t>
      </w:r>
      <w:r>
        <w:rPr>
          <w:b w:val="0"/>
        </w:rPr>
        <w:t>means Defendant Ryan Oshiro and any Person acting or purporting to act on his behalf.</w:t>
      </w:r>
    </w:p>
    <w:p>
      <w:pPr>
        <w:spacing w:after="240"/>
        <w:ind w:firstLine="720"/>
        <w:jc w:val="both"/>
      </w:pPr>
      <w:r>
        <w:rPr>
          <w:b w:val="0"/>
        </w:rPr>
        <w:t xml:space="preserve">5.  </w:t>
      </w:r>
      <w:r>
        <w:rPr>
          <w:b/>
        </w:rPr>
        <w:t xml:space="preserve">“Former CMT Engineers” </w:t>
      </w:r>
      <w:r>
        <w:rPr>
          <w:b w:val="0"/>
        </w:rPr>
        <w:t>means Dr. Kenji Furukawa, Samantha Briggs, and David Moreno, each individually and collectively.</w:t>
      </w:r>
    </w:p>
    <w:p>
      <w:pPr>
        <w:spacing w:after="240"/>
        <w:ind w:firstLine="720"/>
        <w:jc w:val="both"/>
      </w:pPr>
      <w:r>
        <w:rPr>
          <w:b w:val="0"/>
        </w:rPr>
        <w:t xml:space="preserve">6.  </w:t>
      </w:r>
      <w:r>
        <w:rPr>
          <w:b/>
        </w:rPr>
        <w:t xml:space="preserve">“NDA” </w:t>
      </w:r>
      <w:r>
        <w:rPr>
          <w:b w:val="0"/>
        </w:rPr>
        <w:t>means the Confidentiality, Non-Disclosure, and Invention Assignment Agreement between CMT and Oshiro dated March 5, 2018, attached as Exhibit A to the First Amended Complaint.</w:t>
      </w:r>
    </w:p>
    <w:p>
      <w:pPr>
        <w:spacing w:after="240"/>
        <w:ind w:firstLine="720"/>
        <w:jc w:val="both"/>
      </w:pPr>
      <w:r>
        <w:rPr>
          <w:b w:val="0"/>
        </w:rPr>
        <w:t xml:space="preserve">7.  </w:t>
      </w:r>
      <w:r>
        <w:rPr>
          <w:b/>
        </w:rPr>
        <w:t xml:space="preserve">“CMT Trade Secrets” </w:t>
      </w:r>
      <w:r>
        <w:rPr>
          <w:b w:val="0"/>
        </w:rPr>
        <w:t>means the three proprietary technologies identified in Paragraphs 30–31 of the First Amended Complaint, namely: (a) the “NeuralPath Algorithm,” CMT’s real-time intraoperative neural mapping algorithm; (b) the “PrecisionDrive System,” CMT’s micro-actuation system for sub-millimeter robotic arm control; and (c) the “PathPlanner Module,” CMT’s machine-learning-based surgical planning module; including all source code, CAD files, designs, specifications, training datasets, model weights, hyperparameters, calibration protocols, error-correction methodologies, and related documentation embodying any of them. Use of this defined term is for convenience only and does not constitute an admission by Veridian that any information qualifies as a trade secret.</w:t>
      </w:r>
    </w:p>
    <w:p>
      <w:pPr>
        <w:spacing w:after="240"/>
        <w:ind w:firstLine="720"/>
        <w:jc w:val="both"/>
      </w:pPr>
      <w:r>
        <w:rPr>
          <w:b w:val="0"/>
        </w:rPr>
        <w:t xml:space="preserve">8.  </w:t>
      </w:r>
      <w:r>
        <w:rPr>
          <w:b/>
        </w:rPr>
        <w:t xml:space="preserve">“CMT Materials” </w:t>
      </w:r>
      <w:r>
        <w:rPr>
          <w:b w:val="0"/>
        </w:rPr>
        <w:t>means any Document, file, data, or information that originated from CMT or from any CMT system (including CMT’s VaultDrive engineering repository), or that contains, reflects, or is derived from CMT confidential or proprietary information, including without limitation any file stored at any time on the USB Drive, and any copy, excerpt, summary, reproduction, or derivative thereof, in any form or medium.</w:t>
      </w:r>
    </w:p>
    <w:p>
      <w:pPr>
        <w:spacing w:after="240"/>
        <w:ind w:firstLine="720"/>
        <w:jc w:val="both"/>
      </w:pPr>
      <w:r>
        <w:rPr>
          <w:b w:val="0"/>
        </w:rPr>
        <w:t xml:space="preserve">9.  </w:t>
      </w:r>
      <w:r>
        <w:rPr>
          <w:b/>
        </w:rPr>
        <w:t xml:space="preserve">“USB Drive” </w:t>
      </w:r>
      <w:r>
        <w:rPr>
          <w:b w:val="0"/>
        </w:rPr>
        <w:t>means the 2TB Corsair portable external storage device bearing serial number CX-8827491, and any copy, clone, image, or duplicate of its contents.</w:t>
      </w:r>
    </w:p>
    <w:p>
      <w:pPr>
        <w:spacing w:after="240"/>
        <w:ind w:firstLine="720"/>
        <w:jc w:val="both"/>
      </w:pPr>
      <w:r>
        <w:rPr>
          <w:b w:val="0"/>
        </w:rPr>
        <w:t xml:space="preserve">10.  </w:t>
      </w:r>
      <w:r>
        <w:rPr>
          <w:b/>
        </w:rPr>
        <w:t xml:space="preserve">“SynapticEdge” </w:t>
      </w:r>
      <w:r>
        <w:rPr>
          <w:b w:val="0"/>
        </w:rPr>
        <w:t>means the surgical robotics platform Veridian announced on June 11, 2024 at the International Surgical Robotics Conference in Chicago, Illinois, including every version, prototype, predecessor project (under any code name or internal designation), module, subsystem, and component thereof.</w:t>
      </w:r>
    </w:p>
    <w:p>
      <w:pPr>
        <w:spacing w:after="240"/>
        <w:ind w:firstLine="720"/>
        <w:jc w:val="both"/>
      </w:pPr>
      <w:r>
        <w:rPr>
          <w:b w:val="0"/>
        </w:rPr>
        <w:t xml:space="preserve">11.  </w:t>
      </w:r>
      <w:r>
        <w:rPr>
          <w:b/>
        </w:rPr>
        <w:t xml:space="preserve">“SynapticEdge Features” </w:t>
      </w:r>
      <w:r>
        <w:rPr>
          <w:b w:val="0"/>
        </w:rPr>
        <w:t>means the five capabilities of SynapticEdge described in Your June 11, 2024 press release: (a) the “Real-Time Neural Mapping Overlay” (including its stated “sub-12ms latency”); (b) the “Harmonic Micro-Actuation System”; (c) the “AI-Powered Surgical Pathway Planning” module; (d) the “Surgeon Calibration Workflow”; and (e) the “Predictive Error-Correction Protocol.”</w:t>
      </w:r>
    </w:p>
    <w:p>
      <w:pPr>
        <w:spacing w:after="240"/>
        <w:ind w:firstLine="720"/>
        <w:jc w:val="both"/>
      </w:pPr>
      <w:r>
        <w:rPr>
          <w:b w:val="0"/>
        </w:rPr>
        <w:t xml:space="preserve">12.  </w:t>
      </w:r>
      <w:r>
        <w:rPr>
          <w:b/>
        </w:rPr>
        <w:t xml:space="preserve">“NeuroGuide” </w:t>
      </w:r>
      <w:r>
        <w:rPr>
          <w:b w:val="0"/>
        </w:rPr>
        <w:t>means CMT’s NeuroGuide surgical robotics platform, including NeuroGuide 4.0.</w:t>
      </w:r>
    </w:p>
    <w:p>
      <w:pPr>
        <w:spacing w:after="240"/>
        <w:ind w:firstLine="720"/>
        <w:jc w:val="both"/>
      </w:pPr>
      <w:r>
        <w:rPr>
          <w:b w:val="0"/>
        </w:rPr>
        <w:t xml:space="preserve">13.  </w:t>
      </w:r>
      <w:r>
        <w:rPr>
          <w:b/>
        </w:rPr>
        <w:t xml:space="preserve">“Communication” </w:t>
      </w:r>
      <w:r>
        <w:rPr>
          <w:b w:val="0"/>
        </w:rPr>
        <w:t>means any transmission or exchange of information of any kind, whether oral, written, or electronic, including without limitation in-person conversations, telephone calls, voicemails, letters, emails, text or SMS messages, LinkedIn messages, and messages sent through Slack, Microsoft Teams, WhatsApp, Signal, or any other messaging application.</w:t>
      </w:r>
    </w:p>
    <w:p>
      <w:pPr>
        <w:spacing w:after="240"/>
        <w:ind w:firstLine="720"/>
        <w:jc w:val="both"/>
      </w:pPr>
      <w:r>
        <w:rPr>
          <w:b w:val="0"/>
        </w:rPr>
        <w:t xml:space="preserve">14.  </w:t>
      </w:r>
      <w:r>
        <w:rPr>
          <w:b/>
        </w:rPr>
        <w:t xml:space="preserve">“Document” </w:t>
      </w:r>
      <w:r>
        <w:rPr>
          <w:b w:val="0"/>
        </w:rPr>
        <w:t>has the full meaning ascribed to “documents or electronically stored information” in Fed. R. Civ. P. 34(a)(1)(A), and includes every draft and non-identical copy.</w:t>
      </w:r>
    </w:p>
    <w:p>
      <w:pPr>
        <w:spacing w:after="240"/>
        <w:ind w:firstLine="720"/>
        <w:jc w:val="both"/>
      </w:pPr>
      <w:r>
        <w:rPr>
          <w:b w:val="0"/>
        </w:rPr>
        <w:t xml:space="preserve">15.  </w:t>
      </w:r>
      <w:r>
        <w:rPr>
          <w:b/>
        </w:rPr>
        <w:t xml:space="preserve">“Person” </w:t>
      </w:r>
      <w:r>
        <w:rPr>
          <w:b w:val="0"/>
        </w:rPr>
        <w:t>means any natural person or any business, legal, or governmental entity or association.</w:t>
      </w:r>
    </w:p>
    <w:p>
      <w:pPr>
        <w:spacing w:after="240"/>
        <w:ind w:firstLine="720"/>
        <w:jc w:val="both"/>
      </w:pPr>
      <w:r>
        <w:rPr>
          <w:b w:val="0"/>
        </w:rPr>
        <w:t xml:space="preserve">16.  </w:t>
      </w:r>
      <w:r>
        <w:rPr>
          <w:b/>
        </w:rPr>
        <w:t xml:space="preserve">“Identify” (natural person) </w:t>
      </w:r>
      <w:r>
        <w:rPr>
          <w:b w:val="0"/>
        </w:rPr>
        <w:t>means to state the person’s full name, present or last known employer and job title, business address, and, for any current or former Veridian employee, his or her title(s) and dates of employment with Veridian.</w:t>
      </w:r>
    </w:p>
    <w:p>
      <w:pPr>
        <w:spacing w:after="240"/>
        <w:ind w:firstLine="720"/>
        <w:jc w:val="both"/>
      </w:pPr>
      <w:r>
        <w:rPr>
          <w:b w:val="0"/>
        </w:rPr>
        <w:t xml:space="preserve">17.  </w:t>
      </w:r>
      <w:r>
        <w:rPr>
          <w:b/>
        </w:rPr>
        <w:t xml:space="preserve">“Identify” (entity) </w:t>
      </w:r>
      <w:r>
        <w:rPr>
          <w:b w:val="0"/>
        </w:rPr>
        <w:t>means to state the entity’s full name, the address of its principal place of business, and the natural person(s) at the entity with whom You dealt.</w:t>
      </w:r>
    </w:p>
    <w:p>
      <w:pPr>
        <w:spacing w:after="240"/>
        <w:ind w:firstLine="720"/>
        <w:jc w:val="both"/>
      </w:pPr>
      <w:r>
        <w:rPr>
          <w:b w:val="0"/>
        </w:rPr>
        <w:t xml:space="preserve">18.  </w:t>
      </w:r>
      <w:r>
        <w:rPr>
          <w:b/>
        </w:rPr>
        <w:t xml:space="preserve">“Identify” (Document) </w:t>
      </w:r>
      <w:r>
        <w:rPr>
          <w:b w:val="0"/>
        </w:rPr>
        <w:t>means to state its type, date, author(s), recipient(s), subject matter, and Bates number (if produced), or, alternatively, to produce the Document and identify it by Bates number.</w:t>
      </w:r>
    </w:p>
    <w:p>
      <w:pPr>
        <w:spacing w:after="240"/>
        <w:ind w:firstLine="720"/>
        <w:jc w:val="both"/>
      </w:pPr>
      <w:r>
        <w:rPr>
          <w:b w:val="0"/>
        </w:rPr>
        <w:t xml:space="preserve">19.  </w:t>
      </w:r>
      <w:r>
        <w:rPr>
          <w:b/>
        </w:rPr>
        <w:t xml:space="preserve">“Identify” (Communication) </w:t>
      </w:r>
      <w:r>
        <w:rPr>
          <w:b w:val="0"/>
        </w:rPr>
        <w:t>means to state its date, mode (e.g., email, LinkedIn message, telephone, in person), the Persons who participated in, sent, or received it, and the substance of what was communicated, and to Identify every Document that memorializes or refers to it.</w:t>
      </w:r>
    </w:p>
    <w:p>
      <w:pPr>
        <w:spacing w:after="240"/>
        <w:ind w:firstLine="720"/>
        <w:jc w:val="both"/>
      </w:pPr>
      <w:r>
        <w:rPr>
          <w:b w:val="0"/>
        </w:rPr>
        <w:t xml:space="preserve">20.  </w:t>
      </w:r>
      <w:r>
        <w:rPr>
          <w:b/>
        </w:rPr>
        <w:t xml:space="preserve">“Describe” or “describe in detail” </w:t>
      </w:r>
      <w:r>
        <w:rPr>
          <w:b w:val="0"/>
        </w:rPr>
        <w:t>means to provide a complete narrative account of the facts requested, including the identity of all Persons with knowledge, the relevant dates, and the identity of all Documents that record, reflect, or relate to those facts.</w:t>
      </w:r>
    </w:p>
    <w:p>
      <w:pPr>
        <w:spacing w:after="240"/>
        <w:ind w:firstLine="720"/>
        <w:jc w:val="both"/>
      </w:pPr>
      <w:r>
        <w:rPr>
          <w:b w:val="0"/>
        </w:rPr>
        <w:t xml:space="preserve">21.  </w:t>
      </w:r>
      <w:r>
        <w:rPr>
          <w:b/>
        </w:rPr>
        <w:t xml:space="preserve">“Relating to” and “concerning” </w:t>
      </w:r>
      <w:r>
        <w:rPr>
          <w:b w:val="0"/>
        </w:rPr>
        <w:t>mean constituting, comprising, reflecting, referring to, describing, evidencing, discussing, analyzing, or pertaining to, in whole or in part.</w:t>
      </w:r>
    </w:p>
    <w:p>
      <w:pPr>
        <w:spacing w:after="240"/>
        <w:ind w:firstLine="720"/>
        <w:jc w:val="both"/>
      </w:pPr>
      <w:r>
        <w:rPr>
          <w:b w:val="0"/>
        </w:rPr>
        <w:t xml:space="preserve">22.  </w:t>
      </w:r>
      <w:r>
        <w:rPr>
          <w:b/>
        </w:rPr>
        <w:t xml:space="preserve">Construction. </w:t>
      </w:r>
      <w:r>
        <w:rPr>
          <w:b w:val="0"/>
        </w:rPr>
        <w:t>“And” and “or” shall be construed conjunctively or disjunctively as necessary to bring within scope all responses that might otherwise be construed to be outside its scope; “any” includes “all” and “each”; the singular includes the plural and vice versa; and the use of any tense of a verb includes all other tenses.</w:t>
      </w:r>
    </w:p>
    <w:p>
      <w:pPr>
        <w:spacing w:after="240"/>
        <w:jc w:val="center"/>
      </w:pPr>
      <w:r>
        <w:rPr>
          <w:b/>
          <w:i w:val="0"/>
          <w:u w:val="none"/>
        </w:rPr>
        <w:t>INSTRUCTIONS</w:t>
      </w:r>
    </w:p>
    <w:p>
      <w:pPr>
        <w:spacing w:after="240"/>
        <w:ind w:firstLine="720"/>
        <w:jc w:val="both"/>
      </w:pPr>
      <w:r>
        <w:rPr>
          <w:b w:val="0"/>
        </w:rPr>
        <w:t xml:space="preserve">1.  </w:t>
      </w:r>
      <w:r>
        <w:rPr>
          <w:b w:val="0"/>
        </w:rPr>
        <w:t>Answer each Interrogatory separately and fully in writing under oath in accordance with Fed. R. Civ. P. 33(b). The answers shall be signed by the person(s) making them, and any objections shall be signed by Your attorney.</w:t>
      </w:r>
    </w:p>
    <w:p>
      <w:pPr>
        <w:spacing w:after="240"/>
        <w:ind w:firstLine="720"/>
        <w:jc w:val="both"/>
      </w:pPr>
      <w:r>
        <w:rPr>
          <w:b w:val="0"/>
        </w:rPr>
        <w:t xml:space="preserve">2.  </w:t>
      </w:r>
      <w:r>
        <w:rPr>
          <w:b w:val="0"/>
        </w:rPr>
        <w:t>You must furnish all information available to You, including information in the possession, custody, or control of Your members, managers, officers, employees, agents, consultants, and attorneys, and information reasonably obtainable through inquiry of such Persons, including Marcus Trent, Oshiro (in his capacity as Your Senior Vice President of Product Development), and the Former CMT Engineers.</w:t>
      </w:r>
    </w:p>
    <w:p>
      <w:pPr>
        <w:spacing w:after="240"/>
        <w:ind w:firstLine="720"/>
        <w:jc w:val="both"/>
      </w:pPr>
      <w:r>
        <w:rPr>
          <w:b w:val="0"/>
        </w:rPr>
        <w:t xml:space="preserve">3.  </w:t>
      </w:r>
      <w:r>
        <w:rPr>
          <w:b w:val="0"/>
        </w:rPr>
        <w:t>If You object to any Interrogatory or part thereof, state with specificity the grounds for the objection as required by Fed. R. Civ. P. 33(b)(4), and answer the remainder of the Interrogatory to the extent it is not objectionable. Any ground not stated in a timely objection is waived unless excused by the Court for good cause.</w:t>
      </w:r>
    </w:p>
    <w:p>
      <w:pPr>
        <w:spacing w:after="240"/>
        <w:ind w:firstLine="720"/>
        <w:jc w:val="both"/>
      </w:pPr>
      <w:r>
        <w:rPr>
          <w:b w:val="0"/>
        </w:rPr>
        <w:t xml:space="preserve">4.  </w:t>
      </w:r>
      <w:r>
        <w:rPr>
          <w:b w:val="0"/>
        </w:rPr>
        <w:t>If You cannot answer any Interrogatory in full after exercising due diligence to secure the information, answer to the fullest extent possible, state the reason You cannot answer the remainder, and state whatever information or knowledge You have concerning the unanswered portion, including the identity of any Person believed to have such information.</w:t>
      </w:r>
    </w:p>
    <w:p>
      <w:pPr>
        <w:spacing w:after="240"/>
        <w:ind w:firstLine="720"/>
        <w:jc w:val="both"/>
      </w:pPr>
      <w:r>
        <w:rPr>
          <w:b w:val="0"/>
        </w:rPr>
        <w:t xml:space="preserve">5.  </w:t>
      </w:r>
      <w:r>
        <w:rPr>
          <w:b w:val="0"/>
        </w:rPr>
        <w:t>If You elect to answer any Interrogatory by reference to business records under Fed. R. Civ. P. 33(d), specify by Bates number the particular records from which the answer may be derived in sufficient detail to enable CMT to locate and identify them as readily as You could. A general reference to a document production is not a sufficient answer.</w:t>
      </w:r>
    </w:p>
    <w:p>
      <w:pPr>
        <w:spacing w:after="240"/>
        <w:ind w:firstLine="720"/>
        <w:jc w:val="both"/>
      </w:pPr>
      <w:r>
        <w:rPr>
          <w:b w:val="0"/>
        </w:rPr>
        <w:t xml:space="preserve">6.  </w:t>
      </w:r>
      <w:r>
        <w:rPr>
          <w:b w:val="0"/>
        </w:rPr>
        <w:t>If You withhold any information on the basis of the attorney-client privilege, the work-product doctrine, or any other privilege or protection, expressly make the claim and describe the nature of the information withheld in a manner sufficient to enable CMT to assess the claim, as required by Fed. R. Civ. P. 26(b)(5)(A).</w:t>
      </w:r>
    </w:p>
    <w:p>
      <w:pPr>
        <w:spacing w:after="240"/>
        <w:ind w:firstLine="720"/>
        <w:jc w:val="both"/>
      </w:pPr>
      <w:r>
        <w:rPr>
          <w:b w:val="0"/>
        </w:rPr>
        <w:t xml:space="preserve">7.  </w:t>
      </w:r>
      <w:r>
        <w:rPr>
          <w:b w:val="0"/>
        </w:rPr>
        <w:t>Confidentiality is not a basis for withholding information. Information You contend is confidential or constitutes Your trade secret may be designated under the Protective Order entered (or to be entered) in this Action, including as “Attorneys’ Eyes Only,” as appropriate.</w:t>
      </w:r>
    </w:p>
    <w:p>
      <w:pPr>
        <w:spacing w:after="240"/>
        <w:ind w:firstLine="720"/>
        <w:jc w:val="both"/>
      </w:pPr>
      <w:r>
        <w:rPr>
          <w:b w:val="0"/>
        </w:rPr>
        <w:t xml:space="preserve">8.  </w:t>
      </w:r>
      <w:r>
        <w:rPr>
          <w:b w:val="0"/>
        </w:rPr>
        <w:t>Unless otherwise stated in a specific Interrogatory, the relevant time period for these Interrogatories is November 1, 2023 through the date of Your answers. Interrogatories concerning the conception, design, or development of SynapticEdge (Nos. 6 through 14) cover the period from January 1, 2021 through the date of Your answers, so as to capture Your contention that SynapticEdge was in development before Oshiro was hired.</w:t>
      </w:r>
    </w:p>
    <w:p>
      <w:pPr>
        <w:spacing w:after="240"/>
        <w:ind w:firstLine="720"/>
        <w:jc w:val="both"/>
      </w:pPr>
      <w:r>
        <w:rPr>
          <w:b w:val="0"/>
        </w:rPr>
        <w:t xml:space="preserve">9.  </w:t>
      </w:r>
      <w:r>
        <w:rPr>
          <w:b w:val="0"/>
        </w:rPr>
        <w:t>These Interrogatories are continuing in nature. You are under a duty to supplement or correct Your answers in a timely manner as required by Fed. R. Civ. P. 26(e).</w:t>
      </w:r>
    </w:p>
    <w:p>
      <w:pPr>
        <w:spacing w:after="240"/>
        <w:ind w:firstLine="720"/>
        <w:jc w:val="both"/>
      </w:pPr>
      <w:r>
        <w:rPr>
          <w:b w:val="0"/>
        </w:rPr>
        <w:t xml:space="preserve">10.  </w:t>
      </w:r>
      <w:r>
        <w:rPr>
          <w:b w:val="0"/>
        </w:rPr>
        <w:t>Nothing in these Interrogatories, including the Definitions, shall be construed as an admission by CMT of any fact or as a limitation on the scope of CMT’s claims, including the identification of its trade secrets. CMT does not seek, and these Interrogatories should not be construed to require, disclosure of any communication between Veridian and its litigation counsel concerning this Action that is protected by the attorney-client privilege.</w:t>
      </w:r>
    </w:p>
    <w:p>
      <w:pPr>
        <w:spacing w:after="240"/>
        <w:jc w:val="center"/>
      </w:pPr>
      <w:r>
        <w:rPr>
          <w:b/>
          <w:i w:val="0"/>
          <w:u w:val="none"/>
        </w:rPr>
        <w:t>INTERROGATORIES</w:t>
      </w:r>
    </w:p>
    <w:p>
      <w:pPr>
        <w:spacing w:after="120"/>
      </w:pPr>
      <w:r>
        <w:rPr>
          <w:b/>
          <w:u w:val="single"/>
        </w:rPr>
        <w:t>INTERROGATORY NO. 1:</w:t>
      </w:r>
      <w:r>
        <w:rPr>
          <w:i/>
        </w:rPr>
        <w:t xml:space="preserve">  (Persons with Knowledge)</w:t>
      </w:r>
    </w:p>
    <w:p>
      <w:pPr>
        <w:spacing w:after="240"/>
        <w:ind w:firstLine="720"/>
        <w:jc w:val="both"/>
      </w:pPr>
      <w:r>
        <w:rPr>
          <w:b w:val="0"/>
          <w:i w:val="0"/>
          <w:u w:val="none"/>
        </w:rPr>
        <w:t>Identify each Person (including current and former Veridian employees, consultants, contractors, and third parties) who has knowledge of the facts alleged in the First Amended Complaint or of any defense You have asserted or intend to assert, and for each such Person describe the subject matter(s) of his or her knowledge.</w:t>
      </w:r>
    </w:p>
    <w:p>
      <w:pPr>
        <w:spacing w:after="360"/>
      </w:pPr>
      <w:r>
        <w:rPr>
          <w:b/>
        </w:rPr>
        <w:t>ANSWER:</w:t>
      </w:r>
    </w:p>
    <w:p>
      <w:pPr>
        <w:spacing w:after="120"/>
      </w:pPr>
      <w:r>
        <w:rPr>
          <w:b/>
          <w:u w:val="single"/>
        </w:rPr>
        <w:t>INTERROGATORY NO. 2:</w:t>
      </w:r>
      <w:r>
        <w:rPr>
          <w:i/>
        </w:rPr>
        <w:t xml:space="preserve">  (Recruitment and Hiring of Oshiro)</w:t>
      </w:r>
    </w:p>
    <w:p>
      <w:pPr>
        <w:spacing w:after="240"/>
        <w:ind w:firstLine="720"/>
        <w:jc w:val="both"/>
      </w:pPr>
      <w:r>
        <w:rPr>
          <w:b w:val="0"/>
          <w:i w:val="0"/>
          <w:u w:val="none"/>
        </w:rPr>
        <w:t>Describe in detail Your recruitment and hiring of Oshiro, including: the date and circumstances of Your first contact with Oshiro (including the LinkedIn message sent by Marcus Trent on or about December 3, 2023); the Identity of every Communication between You and Oshiro from November 1, 2023 through March 18, 2024; the Identity of every Veridian Person who participated in recruiting, interviewing, evaluating, or approving the hiring of Oshiro; the dates on which You extended, and Oshiro accepted, any offer of employment; and all terms of Oshiro’s compensation (including base salary, signing bonus, equity, and any performance- or milestone-based compensation tied to SynapticEdge) and the basis on which that compensation was determined.</w:t>
      </w:r>
    </w:p>
    <w:p>
      <w:pPr>
        <w:spacing w:after="360"/>
      </w:pPr>
      <w:r>
        <w:rPr>
          <w:b/>
        </w:rPr>
        <w:t>ANSWER:</w:t>
      </w:r>
    </w:p>
    <w:p>
      <w:pPr>
        <w:spacing w:after="120"/>
      </w:pPr>
      <w:r>
        <w:rPr>
          <w:b/>
          <w:u w:val="single"/>
        </w:rPr>
        <w:t>INTERROGATORY NO. 3:</w:t>
      </w:r>
      <w:r>
        <w:rPr>
          <w:i/>
        </w:rPr>
        <w:t xml:space="preserve">  (Knowledge of Oshiro’s Obligations to CMT)</w:t>
      </w:r>
    </w:p>
    <w:p>
      <w:pPr>
        <w:spacing w:after="240"/>
        <w:ind w:firstLine="720"/>
        <w:jc w:val="both"/>
      </w:pPr>
      <w:r>
        <w:rPr>
          <w:b w:val="0"/>
          <w:i w:val="0"/>
          <w:u w:val="none"/>
        </w:rPr>
        <w:t>State the date on which, and the means by which, You first became aware that Oshiro had confidentiality, non-disclosure, non-solicitation, or invention-assignment obligations to CMT (including under the NDA), Identify every Veridian Person who had such awareness prior to Oshiro’s start date, and describe every action You took, before or after hiring Oshiro, to inquire into, evaluate, or ensure compliance with those obligations (including any representation, certification, or acknowledgment You requested or received from Oshiro).</w:t>
      </w:r>
    </w:p>
    <w:p>
      <w:pPr>
        <w:spacing w:after="360"/>
      </w:pPr>
      <w:r>
        <w:rPr>
          <w:b/>
        </w:rPr>
        <w:t>ANSWER:</w:t>
      </w:r>
    </w:p>
    <w:p>
      <w:pPr>
        <w:spacing w:after="120"/>
      </w:pPr>
      <w:r>
        <w:rPr>
          <w:b/>
          <w:u w:val="single"/>
        </w:rPr>
        <w:t>INTERROGATORY NO. 4:</w:t>
      </w:r>
      <w:r>
        <w:rPr>
          <w:i/>
        </w:rPr>
        <w:t xml:space="preserve">  (Safeguards Against Use of CMT Information)</w:t>
      </w:r>
    </w:p>
    <w:p>
      <w:pPr>
        <w:spacing w:after="240"/>
        <w:ind w:firstLine="720"/>
        <w:jc w:val="both"/>
      </w:pPr>
      <w:r>
        <w:rPr>
          <w:b w:val="0"/>
          <w:i w:val="0"/>
          <w:u w:val="none"/>
        </w:rPr>
        <w:t>Describe every policy, procedure, protocol, information barrier, “clean room,” or other measure You implemented, at any time, to prevent Oshiro or any of the Former CMT Engineers from bringing to Veridian, disclosing to Veridian, or using in the course of their work for Veridian any CMT Materials or other CMT confidential information, including the date each measure was implemented, the Persons responsible for implementing and monitoring it, and any instance in which the measure was not followed or was violated.</w:t>
      </w:r>
    </w:p>
    <w:p>
      <w:pPr>
        <w:spacing w:after="360"/>
      </w:pPr>
      <w:r>
        <w:rPr>
          <w:b/>
        </w:rPr>
        <w:t>ANSWER:</w:t>
      </w:r>
    </w:p>
    <w:p>
      <w:pPr>
        <w:spacing w:after="120"/>
      </w:pPr>
      <w:r>
        <w:rPr>
          <w:b/>
          <w:u w:val="single"/>
        </w:rPr>
        <w:t>INTERROGATORY NO. 5:</w:t>
      </w:r>
      <w:r>
        <w:rPr>
          <w:i/>
        </w:rPr>
        <w:t xml:space="preserve">  (CMT Materials and the USB Drive)</w:t>
      </w:r>
    </w:p>
    <w:p>
      <w:pPr>
        <w:spacing w:after="240"/>
        <w:ind w:firstLine="720"/>
        <w:jc w:val="both"/>
      </w:pPr>
      <w:r>
        <w:rPr>
          <w:b w:val="0"/>
          <w:i w:val="0"/>
          <w:u w:val="none"/>
        </w:rPr>
        <w:t>Identify every instance in which any CMT Materials were, at any time, brought onto Your premises, transmitted to, stored on, accessed from, or connected to any computer, server, network, cloud account, code repository, or device owned, controlled, or used for Your business (including any personal device used by Oshiro or a Former CMT Engineer for Veridian work), and for each instance state the date, the Persons involved, the device or system involved, the CMT Materials involved, and the present location and custodian of those materials; and state whether the USB Drive, or any other external storage device used by Oshiro, was ever connected to any such device or system and, if so, Identify each such connection by date, device, and user.</w:t>
      </w:r>
    </w:p>
    <w:p>
      <w:pPr>
        <w:spacing w:after="360"/>
      </w:pPr>
      <w:r>
        <w:rPr>
          <w:b/>
        </w:rPr>
        <w:t>ANSWER:</w:t>
      </w:r>
    </w:p>
    <w:p>
      <w:pPr>
        <w:spacing w:after="120"/>
      </w:pPr>
      <w:r>
        <w:rPr>
          <w:b/>
          <w:u w:val="single"/>
        </w:rPr>
        <w:t>INTERROGATORY NO. 6:</w:t>
      </w:r>
      <w:r>
        <w:rPr>
          <w:i/>
        </w:rPr>
        <w:t xml:space="preserve">  (SynapticEdge Development Timeline)</w:t>
      </w:r>
    </w:p>
    <w:p>
      <w:pPr>
        <w:spacing w:after="240"/>
        <w:ind w:firstLine="720"/>
        <w:jc w:val="both"/>
      </w:pPr>
      <w:r>
        <w:rPr>
          <w:b w:val="0"/>
          <w:i w:val="0"/>
          <w:u w:val="none"/>
        </w:rPr>
        <w:t>Describe in detail the complete development history of SynapticEdge from its conception through the June 11, 2024 announcement and continuing to the present, including: the date on which SynapticEdge (under any name or internal code name) was first conceived or proposed; the date on which development of each of the SynapticEdge Features commenced; each engineering milestone (e.g., design freeze, first functional prototype, first integration build, first demonstration-ready build) and the date it was reached; and the Identity of the project management records, commit histories, engineering milestone reports, and other Documents that record each such date.</w:t>
      </w:r>
    </w:p>
    <w:p>
      <w:pPr>
        <w:spacing w:after="360"/>
      </w:pPr>
      <w:r>
        <w:rPr>
          <w:b/>
        </w:rPr>
        <w:t>ANSWER:</w:t>
      </w:r>
    </w:p>
    <w:p>
      <w:pPr>
        <w:spacing w:after="120"/>
      </w:pPr>
      <w:r>
        <w:rPr>
          <w:b/>
          <w:u w:val="single"/>
        </w:rPr>
        <w:t>INTERROGATORY NO. 7:</w:t>
      </w:r>
      <w:r>
        <w:rPr>
          <w:i/>
        </w:rPr>
        <w:t xml:space="preserve">  (SynapticEdge Personnel)</w:t>
      </w:r>
    </w:p>
    <w:p>
      <w:pPr>
        <w:spacing w:after="240"/>
        <w:ind w:firstLine="720"/>
        <w:jc w:val="both"/>
      </w:pPr>
      <w:r>
        <w:rPr>
          <w:b w:val="0"/>
          <w:i w:val="0"/>
          <w:u w:val="none"/>
        </w:rPr>
        <w:t>Identify every Person (including employees, contractors, consultants, and vendors) who participated in the conception, design, development, testing, or validation of any SynapticEdge Feature, and for each Person state his or her title(s), the SynapticEdge Feature(s) and work stream(s) on which he or she worked, the dates of his or her involvement, and whether he or she was ever employed by or performed work for CMT.</w:t>
      </w:r>
    </w:p>
    <w:p>
      <w:pPr>
        <w:spacing w:after="360"/>
      </w:pPr>
      <w:r>
        <w:rPr>
          <w:b/>
        </w:rPr>
        <w:t>ANSWER:</w:t>
      </w:r>
    </w:p>
    <w:p>
      <w:pPr>
        <w:spacing w:after="120"/>
      </w:pPr>
      <w:r>
        <w:rPr>
          <w:b/>
          <w:u w:val="single"/>
        </w:rPr>
        <w:t>INTERROGATORY NO. 8:</w:t>
      </w:r>
      <w:r>
        <w:rPr>
          <w:i/>
        </w:rPr>
        <w:t xml:space="preserve">  (Contributions of Former CMT Personnel)</w:t>
      </w:r>
    </w:p>
    <w:p>
      <w:pPr>
        <w:spacing w:after="240"/>
        <w:ind w:firstLine="720"/>
        <w:jc w:val="both"/>
      </w:pPr>
      <w:r>
        <w:rPr>
          <w:b w:val="0"/>
          <w:i w:val="0"/>
          <w:u w:val="none"/>
        </w:rPr>
        <w:t>Describe in detail the specific work, contributions, and responsibilities of Oshiro and of each of the Former CMT Engineers with respect to SynapticEdge from each person’s first day of employment with Veridian to the present, including each SynapticEdge Feature, subsystem, design, source code file or module, dataset, or Document that each authored, modified, reviewed, directed, or approved, and the dates thereof.</w:t>
      </w:r>
    </w:p>
    <w:p>
      <w:pPr>
        <w:spacing w:after="360"/>
      </w:pPr>
      <w:r>
        <w:rPr>
          <w:b/>
        </w:rPr>
        <w:t>ANSWER:</w:t>
      </w:r>
    </w:p>
    <w:p>
      <w:pPr>
        <w:spacing w:after="120"/>
      </w:pPr>
      <w:r>
        <w:rPr>
          <w:b/>
          <w:u w:val="single"/>
        </w:rPr>
        <w:t>INTERROGATORY NO. 9:</w:t>
      </w:r>
      <w:r>
        <w:rPr>
          <w:i/>
        </w:rPr>
        <w:t xml:space="preserve">  (Independent Development Contention)</w:t>
      </w:r>
    </w:p>
    <w:p>
      <w:pPr>
        <w:spacing w:after="240"/>
        <w:ind w:firstLine="720"/>
        <w:jc w:val="both"/>
      </w:pPr>
      <w:r>
        <w:rPr>
          <w:b w:val="0"/>
          <w:i w:val="0"/>
          <w:u w:val="none"/>
        </w:rPr>
        <w:t>If You contend that SynapticEdge, or any SynapticEdge Feature, was developed independently of, and without use of or reference to, any CMT Trade Secret or CMT Materials—including the contention made by Your counsel at the August 1, 2024 hearing that SynapticEdge was “in development prior to Mr. Oshiro’s hiring”—state with particularity all facts supporting that contention, Identify all Persons with knowledge of those facts, and Identify all Documents (including source code repository logs, project management records, engineering milestone reports, and internal Communications) that support or refute that contention.</w:t>
      </w:r>
    </w:p>
    <w:p>
      <w:pPr>
        <w:spacing w:after="360"/>
      </w:pPr>
      <w:r>
        <w:rPr>
          <w:b/>
        </w:rPr>
        <w:t>ANSWER:</w:t>
      </w:r>
    </w:p>
    <w:p>
      <w:pPr>
        <w:spacing w:after="120"/>
      </w:pPr>
      <w:r>
        <w:rPr>
          <w:b/>
          <w:u w:val="single"/>
        </w:rPr>
        <w:t>INTERROGATORY NO. 10:</w:t>
      </w:r>
      <w:r>
        <w:rPr>
          <w:i/>
        </w:rPr>
        <w:t xml:space="preserve">  (Neural Mapping Overlay)</w:t>
      </w:r>
    </w:p>
    <w:p>
      <w:pPr>
        <w:spacing w:after="240"/>
        <w:ind w:firstLine="720"/>
        <w:jc w:val="both"/>
      </w:pPr>
      <w:r>
        <w:rPr>
          <w:b w:val="0"/>
          <w:i w:val="0"/>
          <w:u w:val="none"/>
        </w:rPr>
        <w:t>Describe in detail how the SynapticEdge Real-Time Neural Mapping Overlay was designed and developed and how it achieves the “sub-12ms latency” stated in Your June 11, 2024 press release, including the signal processing techniques, data pipeline architecture, and hardware/GPU optimization approach employed; the date on which sub-12ms latency was first achieved in testing; the Identity of the Persons who designed and implemented it; and every source (including published literature, open-source software, licensed technology, or prior Veridian work) on which You relied in developing it.</w:t>
      </w:r>
    </w:p>
    <w:p>
      <w:pPr>
        <w:spacing w:after="360"/>
      </w:pPr>
      <w:r>
        <w:rPr>
          <w:b/>
        </w:rPr>
        <w:t>ANSWER:</w:t>
      </w:r>
    </w:p>
    <w:p>
      <w:pPr>
        <w:spacing w:after="120"/>
      </w:pPr>
      <w:r>
        <w:rPr>
          <w:b/>
          <w:u w:val="single"/>
        </w:rPr>
        <w:t>INTERROGATORY NO. 11:</w:t>
      </w:r>
      <w:r>
        <w:rPr>
          <w:i/>
        </w:rPr>
        <w:t xml:space="preserve">  (Harmonic Micro-Actuation System)</w:t>
      </w:r>
    </w:p>
    <w:p>
      <w:pPr>
        <w:spacing w:after="240"/>
        <w:ind w:firstLine="720"/>
        <w:jc w:val="both"/>
      </w:pPr>
      <w:r>
        <w:rPr>
          <w:b w:val="0"/>
          <w:i w:val="0"/>
          <w:u w:val="none"/>
        </w:rPr>
        <w:t>Describe in detail the design and development of the SynapticEdge Harmonic Micro-Actuation System, including the date design work began; the Identity of the Persons who designed it; the Identity of every supplier or vendor of harmonic drive or other actuator components (and the dates of any purchase orders, specifications, or drawings provided to them); the date the first physical prototype was built and tested; and every source (including published literature, vendor designs, licensed technology, or prior Veridian work) on which You relied in arriving at its design and control methodology.</w:t>
      </w:r>
    </w:p>
    <w:p>
      <w:pPr>
        <w:spacing w:after="360"/>
      </w:pPr>
      <w:r>
        <w:rPr>
          <w:b/>
        </w:rPr>
        <w:t>ANSWER:</w:t>
      </w:r>
    </w:p>
    <w:p>
      <w:pPr>
        <w:spacing w:after="120"/>
      </w:pPr>
      <w:r>
        <w:rPr>
          <w:b/>
          <w:u w:val="single"/>
        </w:rPr>
        <w:t>INTERROGATORY NO. 12:</w:t>
      </w:r>
      <w:r>
        <w:rPr>
          <w:i/>
        </w:rPr>
        <w:t xml:space="preserve">  (Surgical Pathway Planning Training Data)</w:t>
      </w:r>
    </w:p>
    <w:p>
      <w:pPr>
        <w:spacing w:after="240"/>
        <w:ind w:firstLine="720"/>
        <w:jc w:val="both"/>
      </w:pPr>
      <w:r>
        <w:rPr>
          <w:b w:val="0"/>
          <w:i w:val="0"/>
          <w:u w:val="none"/>
        </w:rPr>
        <w:t>Identify every dataset, pre-trained model, and set of model weights used at any time to train, validate, fine-tune, initialize, or benchmark the machine-learning model(s) underlying the SynapticEdge AI-Powered Surgical Pathway Planning module, and for each state its source (including any hospital, clinical partner, data vendor, or public repository), the date You obtained it, its size and structure, the date on which it was first used, and the Identity of the Persons responsible for obtaining and using it.</w:t>
      </w:r>
    </w:p>
    <w:p>
      <w:pPr>
        <w:spacing w:after="360"/>
      </w:pPr>
      <w:r>
        <w:rPr>
          <w:b/>
        </w:rPr>
        <w:t>ANSWER:</w:t>
      </w:r>
    </w:p>
    <w:p>
      <w:pPr>
        <w:spacing w:after="120"/>
      </w:pPr>
      <w:r>
        <w:rPr>
          <w:b/>
          <w:u w:val="single"/>
        </w:rPr>
        <w:t>INTERROGATORY NO. 13:</w:t>
      </w:r>
      <w:r>
        <w:rPr>
          <w:i/>
        </w:rPr>
        <w:t xml:space="preserve">  (Error-Correction Protocol and Calibration Workflow)</w:t>
      </w:r>
    </w:p>
    <w:p>
      <w:pPr>
        <w:spacing w:after="240"/>
        <w:ind w:firstLine="720"/>
        <w:jc w:val="both"/>
      </w:pPr>
      <w:r>
        <w:rPr>
          <w:b w:val="0"/>
          <w:i w:val="0"/>
          <w:u w:val="none"/>
        </w:rPr>
        <w:t>Describe in detail the design and development of the SynapticEdge Predictive Error-Correction Protocol for robotic arm drift and the SynapticEdge Surgeon Calibration Workflow, including the date design work on each began, the Identity of the Persons who designed each, and every source, model, reference design, or prior work on which You relied in determining the correction methodology and tuning parameters of the Error-Correction Protocol and the sequence of steps, user-interface elements, and visual feedback mechanisms of the Calibration Workflow.</w:t>
      </w:r>
    </w:p>
    <w:p>
      <w:pPr>
        <w:spacing w:after="360"/>
      </w:pPr>
      <w:r>
        <w:rPr>
          <w:b/>
        </w:rPr>
        <w:t>ANSWER:</w:t>
      </w:r>
    </w:p>
    <w:p>
      <w:pPr>
        <w:spacing w:after="120"/>
      </w:pPr>
      <w:r>
        <w:rPr>
          <w:b/>
          <w:u w:val="single"/>
        </w:rPr>
        <w:t>INTERROGATORY NO. 14:</w:t>
      </w:r>
      <w:r>
        <w:rPr>
          <w:i/>
        </w:rPr>
        <w:t xml:space="preserve">  (Development Repositories and Systems)</w:t>
      </w:r>
    </w:p>
    <w:p>
      <w:pPr>
        <w:spacing w:after="240"/>
        <w:ind w:firstLine="720"/>
        <w:jc w:val="both"/>
      </w:pPr>
      <w:r>
        <w:rPr>
          <w:b w:val="0"/>
          <w:i w:val="0"/>
          <w:u w:val="none"/>
        </w:rPr>
        <w:t>Identify each source code repository, version control system, product lifecycle management or CAD vault, project management or issue-tracking tool (e.g., Jira, Confluence), shared drive, cloud storage location, and messaging platform (e.g., Slack, Microsoft Teams) that contains or has contained Documents relating to the design or development of SynapticEdge, and for each state the date it was created, the date of the earliest entry, commit, or file relating to each SynapticEdge Feature, and the Persons who administer it.</w:t>
      </w:r>
    </w:p>
    <w:p>
      <w:pPr>
        <w:spacing w:after="360"/>
      </w:pPr>
      <w:r>
        <w:rPr>
          <w:b/>
        </w:rPr>
        <w:t>ANSWER:</w:t>
      </w:r>
    </w:p>
    <w:p>
      <w:pPr>
        <w:spacing w:after="120"/>
      </w:pPr>
      <w:r>
        <w:rPr>
          <w:b/>
          <w:u w:val="single"/>
        </w:rPr>
        <w:t>INTERROGATORY NO. 15:</w:t>
      </w:r>
      <w:r>
        <w:rPr>
          <w:i/>
        </w:rPr>
        <w:t xml:space="preserve">  (Recruitment of the Former CMT Engineers)</w:t>
      </w:r>
    </w:p>
    <w:p>
      <w:pPr>
        <w:spacing w:after="240"/>
        <w:ind w:firstLine="720"/>
        <w:jc w:val="both"/>
      </w:pPr>
      <w:r>
        <w:rPr>
          <w:b w:val="0"/>
          <w:i w:val="0"/>
          <w:u w:val="none"/>
        </w:rPr>
        <w:t>For each of the Former CMT Engineers, describe in detail the circumstances of his or her recruitment and hiring by Veridian, including the date and manner of the first Communication between that individual and any Veridian Person (including Oshiro) concerning potential employment with Veridian; the Identity of every Person who initiated, participated in, or approved that individual’s recruitment, interviewing, or hiring; the role Oshiro played in each step; the dates any offer was extended and accepted; and the position and reporting line to which that individual was assigned.</w:t>
      </w:r>
    </w:p>
    <w:p>
      <w:pPr>
        <w:spacing w:after="360"/>
      </w:pPr>
      <w:r>
        <w:rPr>
          <w:b/>
        </w:rPr>
        <w:t>ANSWER:</w:t>
      </w:r>
    </w:p>
    <w:p>
      <w:pPr>
        <w:spacing w:after="120"/>
      </w:pPr>
      <w:r>
        <w:rPr>
          <w:b/>
          <w:u w:val="single"/>
        </w:rPr>
        <w:t>INTERROGATORY NO. 16:</w:t>
      </w:r>
      <w:r>
        <w:rPr>
          <w:i/>
        </w:rPr>
        <w:t xml:space="preserve">  (Other CMT Employees Contacted)</w:t>
      </w:r>
    </w:p>
    <w:p>
      <w:pPr>
        <w:spacing w:after="240"/>
        <w:ind w:firstLine="720"/>
        <w:jc w:val="both"/>
      </w:pPr>
      <w:r>
        <w:rPr>
          <w:b w:val="0"/>
          <w:i w:val="0"/>
          <w:u w:val="none"/>
        </w:rPr>
        <w:t>Identify every current or former CMT employee (other than Oshiro and the Former CMT Engineers) whom You, including Oshiro acting on Your behalf, contacted, solicited, interviewed, or extended an offer to at any time from December 1, 2023 to the present concerning potential employment or engagement with Veridian, and for each state the date(s) and nature of the contact, the Veridian Person(s) involved, and the outcome.</w:t>
      </w:r>
    </w:p>
    <w:p>
      <w:pPr>
        <w:spacing w:after="360"/>
      </w:pPr>
      <w:r>
        <w:rPr>
          <w:b/>
        </w:rPr>
        <w:t>ANSWER:</w:t>
      </w:r>
    </w:p>
    <w:p>
      <w:pPr>
        <w:spacing w:after="120"/>
      </w:pPr>
      <w:r>
        <w:rPr>
          <w:b/>
          <w:u w:val="single"/>
        </w:rPr>
        <w:t>INTERROGATORY NO. 17:</w:t>
      </w:r>
      <w:r>
        <w:rPr>
          <w:i/>
        </w:rPr>
        <w:t xml:space="preserve">  (Marketing, Demonstrations, and Customers)</w:t>
      </w:r>
    </w:p>
    <w:p>
      <w:pPr>
        <w:spacing w:after="240"/>
        <w:ind w:firstLine="720"/>
        <w:jc w:val="both"/>
      </w:pPr>
      <w:r>
        <w:rPr>
          <w:b w:val="0"/>
          <w:i w:val="0"/>
          <w:u w:val="none"/>
        </w:rPr>
        <w:t>Identify every hospital, health system, medical institution, or other actual or prospective customer to which You have marketed, demonstrated, presented, offered for sale or license, or provided access to SynapticEdge (including by trial deployment, beta testing, letter of intent, or agreement), and for each state the date(s), the SynapticEdge Features presented or offered, the Veridian Persons involved, the status of any resulting transaction, and whether any such activity occurred after entry of the Court’s August 2, 2024 Temporary Restraining Order with respect to the neural mapping feature.</w:t>
      </w:r>
    </w:p>
    <w:p>
      <w:pPr>
        <w:spacing w:after="360"/>
      </w:pPr>
      <w:r>
        <w:rPr>
          <w:b/>
        </w:rPr>
        <w:t>ANSWER:</w:t>
      </w:r>
    </w:p>
    <w:p>
      <w:pPr>
        <w:spacing w:after="120"/>
      </w:pPr>
      <w:r>
        <w:rPr>
          <w:b/>
          <w:u w:val="single"/>
        </w:rPr>
        <w:t>INTERROGATORY NO. 18:</w:t>
      </w:r>
      <w:r>
        <w:rPr>
          <w:i/>
        </w:rPr>
        <w:t xml:space="preserve">  (SynapticEdge Development Costs)</w:t>
      </w:r>
    </w:p>
    <w:p>
      <w:pPr>
        <w:spacing w:after="240"/>
        <w:ind w:firstLine="720"/>
        <w:jc w:val="both"/>
      </w:pPr>
      <w:r>
        <w:rPr>
          <w:b w:val="0"/>
          <w:i w:val="0"/>
          <w:u w:val="none"/>
        </w:rPr>
        <w:t>State, by calendar quarter from January 1, 2021 to the present, the total amount You have spent on research, design, and development of SynapticEdge, broken down by SynapticEdge Feature to the extent Your records permit, and state the budgeted or projected cost and development timeline for SynapticEdge (or any predecessor neurosurgical robotics program) as reflected in any business plan, budget, or projection prepared before March 18, 2024.</w:t>
      </w:r>
    </w:p>
    <w:p>
      <w:pPr>
        <w:spacing w:after="360"/>
      </w:pPr>
      <w:r>
        <w:rPr>
          <w:b/>
        </w:rPr>
        <w:t>ANSWER:</w:t>
      </w:r>
    </w:p>
    <w:p>
      <w:pPr>
        <w:spacing w:after="120"/>
      </w:pPr>
      <w:r>
        <w:rPr>
          <w:b/>
          <w:u w:val="single"/>
        </w:rPr>
        <w:t>INTERROGATORY NO. 19:</w:t>
      </w:r>
      <w:r>
        <w:rPr>
          <w:i/>
        </w:rPr>
        <w:t xml:space="preserve">  (SynapticEdge Revenues and Projections)</w:t>
      </w:r>
    </w:p>
    <w:p>
      <w:pPr>
        <w:spacing w:after="240"/>
        <w:ind w:firstLine="720"/>
        <w:jc w:val="both"/>
      </w:pPr>
      <w:r>
        <w:rPr>
          <w:b w:val="0"/>
          <w:i w:val="0"/>
          <w:u w:val="none"/>
        </w:rPr>
        <w:t>State, by calendar quarter, all actual revenues, bookings, and licensing fees You have received or contracted to receive relating to SynapticEdge, and describe all projections or forecasts of SynapticEdge revenue, units, market share, or profit that You have prepared or provided to any Person (including Your board, members, lenders, or investors), including the date of each projection and the Identity of the Documents containing it.</w:t>
      </w:r>
    </w:p>
    <w:p>
      <w:pPr>
        <w:spacing w:after="360"/>
      </w:pPr>
      <w:r>
        <w:rPr>
          <w:b/>
        </w:rPr>
        <w:t>ANSWER:</w:t>
      </w:r>
    </w:p>
    <w:p>
      <w:pPr>
        <w:spacing w:after="120"/>
      </w:pPr>
      <w:r>
        <w:rPr>
          <w:b/>
          <w:u w:val="single"/>
        </w:rPr>
        <w:t>INTERROGATORY NO. 20:</w:t>
      </w:r>
      <w:r>
        <w:rPr>
          <w:i/>
        </w:rPr>
        <w:t xml:space="preserve">  (Investor Communications Concerning SynapticEdge)</w:t>
      </w:r>
    </w:p>
    <w:p>
      <w:pPr>
        <w:spacing w:after="240"/>
        <w:ind w:firstLine="720"/>
        <w:jc w:val="both"/>
      </w:pPr>
      <w:r>
        <w:rPr>
          <w:b w:val="0"/>
          <w:i w:val="0"/>
          <w:u w:val="none"/>
        </w:rPr>
        <w:t>Identify every Communication, presentation, pitch deck, data room document, or due diligence response in which You described to Thorncastle Ventures or any other actual or prospective investor or lender (including in connection with the $60 million Series C financing announced June 11, 2024) the technology, development status, development timeline, or intellectual property of SynapticEdge, the role of Oshiro or the Former CMT Engineers, CMT, or this Action, and state the date of and Veridian Persons involved in each.</w:t>
      </w:r>
    </w:p>
    <w:p>
      <w:pPr>
        <w:spacing w:after="360"/>
      </w:pPr>
      <w:r>
        <w:rPr>
          <w:b/>
        </w:rPr>
        <w:t>ANSWER:</w:t>
      </w:r>
    </w:p>
    <w:p>
      <w:pPr>
        <w:spacing w:after="120"/>
      </w:pPr>
      <w:r>
        <w:rPr>
          <w:b/>
          <w:u w:val="single"/>
        </w:rPr>
        <w:t>INTERROGATORY NO. 21:</w:t>
      </w:r>
      <w:r>
        <w:rPr>
          <w:i/>
        </w:rPr>
        <w:t xml:space="preserve">  (Analyses of CMT and Preservation)</w:t>
      </w:r>
    </w:p>
    <w:p>
      <w:pPr>
        <w:spacing w:after="240"/>
        <w:ind w:firstLine="720"/>
        <w:jc w:val="both"/>
      </w:pPr>
      <w:r>
        <w:rPr>
          <w:b w:val="0"/>
          <w:i w:val="0"/>
          <w:u w:val="none"/>
        </w:rPr>
        <w:t>Identify every internal assessment, analysis, benchmarking study, competitive intelligence report, or evaluation prepared by or for You at any time from January 1, 2021 to the present concerning CMT, NeuroGuide, or any CMT Trade Secret, and state the date and author of each and the Persons to whom it was distributed; and describe the steps You took to preserve Documents relevant to this Action, including the date You issued a litigation hold, the custodians to whom it was issued, and any Documents, devices, or data relating to the subjects of these Interrogatories that have been lost, deleted, wiped, overwritten, or discarded since November 1, 2023.</w:t>
      </w:r>
    </w:p>
    <w:p>
      <w:pPr>
        <w:spacing w:after="360"/>
      </w:pPr>
      <w:r>
        <w:rPr>
          <w:b/>
        </w:rPr>
        <w:t>ANSWER:</w:t>
      </w:r>
    </w:p>
    <w:p>
      <w:pPr>
        <w:spacing w:after="240"/>
      </w:pPr>
    </w:p>
    <w:p>
      <w:pPr>
        <w:spacing w:after="240"/>
      </w:pPr>
      <w:r>
        <w:rPr>
          <w:b w:val="0"/>
          <w:i w:val="0"/>
          <w:u w:val="none"/>
        </w:rPr>
        <w:t>Dated: ____________, 2024</w:t>
      </w:r>
    </w:p>
    <w:p>
      <w:pPr>
        <w:spacing w:after="240"/>
      </w:pPr>
      <w:r>
        <w:rPr>
          <w:b w:val="0"/>
          <w:i w:val="0"/>
          <w:u w:val="none"/>
        </w:rPr>
        <w:t>Respectfully submitted,</w:t>
      </w:r>
    </w:p>
    <w:p>
      <w:pPr>
        <w:spacing w:after="480"/>
      </w:pPr>
      <w:r>
        <w:rPr>
          <w:b/>
          <w:i w:val="0"/>
          <w:u w:val="none"/>
        </w:rPr>
        <w:t>HARGROVE, PELL &amp; SUTTON LLP</w:t>
      </w:r>
    </w:p>
    <w:p>
      <w:pPr>
        <w:spacing w:after="0"/>
      </w:pPr>
      <w:r>
        <w:rPr>
          <w:b w:val="0"/>
          <w:i w:val="0"/>
          <w:u w:val="none"/>
        </w:rPr>
        <w:t>By: ________________________________</w:t>
      </w:r>
    </w:p>
    <w:p>
      <w:pPr>
        <w:spacing w:after="0"/>
      </w:pPr>
      <w:r>
        <w:rPr>
          <w:b w:val="0"/>
          <w:i w:val="0"/>
          <w:u w:val="none"/>
        </w:rPr>
        <w:t>Margaret “Meg” Hargrove</w:t>
      </w:r>
    </w:p>
    <w:p>
      <w:pPr>
        <w:spacing w:after="0"/>
      </w:pPr>
      <w:r>
        <w:rPr>
          <w:b w:val="0"/>
          <w:i w:val="0"/>
          <w:u w:val="none"/>
        </w:rPr>
        <w:t>Texas State Bar No. 24058319</w:t>
      </w:r>
    </w:p>
    <w:p>
      <w:pPr>
        <w:spacing w:after="0"/>
      </w:pPr>
      <w:r>
        <w:rPr>
          <w:b w:val="0"/>
          <w:i w:val="0"/>
          <w:u w:val="none"/>
        </w:rPr>
        <w:t>mhargrove@harpellsutton.com</w:t>
      </w:r>
    </w:p>
    <w:p>
      <w:pPr>
        <w:spacing w:after="0"/>
      </w:pPr>
      <w:r>
        <w:rPr>
          <w:b w:val="0"/>
          <w:i w:val="0"/>
          <w:u w:val="none"/>
        </w:rPr>
        <w:t>Kevin Nakamura</w:t>
      </w:r>
    </w:p>
    <w:p>
      <w:pPr>
        <w:spacing w:after="0"/>
      </w:pPr>
      <w:r>
        <w:rPr>
          <w:b w:val="0"/>
          <w:i w:val="0"/>
          <w:u w:val="none"/>
        </w:rPr>
        <w:t>Texas State Bar No. 24091742</w:t>
      </w:r>
    </w:p>
    <w:p>
      <w:pPr>
        <w:spacing w:after="0"/>
      </w:pPr>
      <w:r>
        <w:rPr>
          <w:b w:val="0"/>
          <w:i w:val="0"/>
          <w:u w:val="none"/>
        </w:rPr>
        <w:t>knakamura@harpellsutton.com</w:t>
      </w:r>
    </w:p>
    <w:p>
      <w:pPr>
        <w:spacing w:after="0"/>
      </w:pPr>
      <w:r>
        <w:rPr>
          <w:b w:val="0"/>
          <w:i w:val="0"/>
          <w:u w:val="none"/>
        </w:rPr>
        <w:t>2900 Elm Street, 40th Floor</w:t>
      </w:r>
    </w:p>
    <w:p>
      <w:pPr>
        <w:spacing w:after="0"/>
      </w:pPr>
      <w:r>
        <w:rPr>
          <w:b w:val="0"/>
          <w:i w:val="0"/>
          <w:u w:val="none"/>
        </w:rPr>
        <w:t>Dallas, Texas 75201</w:t>
      </w:r>
    </w:p>
    <w:p>
      <w:pPr>
        <w:spacing w:after="0"/>
      </w:pPr>
      <w:r>
        <w:rPr>
          <w:b w:val="0"/>
          <w:i w:val="0"/>
          <w:u w:val="none"/>
        </w:rPr>
        <w:t>Telephone: (214) 555-8200</w:t>
      </w:r>
    </w:p>
    <w:p>
      <w:pPr>
        <w:spacing w:after="0"/>
      </w:pPr>
      <w:r>
        <w:rPr>
          <w:b w:val="0"/>
          <w:i w:val="0"/>
          <w:u w:val="none"/>
        </w:rPr>
        <w:t>Facsimile: (214) 555-8201</w:t>
      </w:r>
    </w:p>
    <w:p>
      <w:pPr>
        <w:spacing w:after="240"/>
      </w:pPr>
    </w:p>
    <w:p>
      <w:pPr>
        <w:spacing w:after="240"/>
      </w:pPr>
      <w:r>
        <w:rPr>
          <w:b w:val="0"/>
          <w:i/>
          <w:u w:val="none"/>
        </w:rPr>
        <w:t>ATTORNEYS FOR PLAINTIFF CASTILLO MEDICAL TECHNOLOGIES, INC.</w:t>
      </w:r>
    </w:p>
    <w:p>
      <w:r>
        <w:br w:type="page"/>
      </w:r>
    </w:p>
    <w:p>
      <w:pPr>
        <w:spacing w:after="240"/>
        <w:jc w:val="center"/>
      </w:pPr>
      <w:r>
        <w:rPr>
          <w:b/>
          <w:i w:val="0"/>
          <w:u w:val="none"/>
        </w:rPr>
        <w:t>CERTIFICATE OF SERVICE</w:t>
      </w:r>
    </w:p>
    <w:p>
      <w:pPr>
        <w:spacing w:after="240"/>
        <w:ind w:firstLine="720"/>
        <w:jc w:val="both"/>
      </w:pPr>
      <w:r>
        <w:rPr>
          <w:b w:val="0"/>
          <w:i w:val="0"/>
          <w:u w:val="none"/>
        </w:rPr>
        <w:t>I hereby certify that on ____________, 2024, a true and correct copy of the foregoing Plaintiff’s First Set of Interrogatories to Defendant Veridian Health Systems, LLC was served on the following counsel of record by electronic mail [and by ____________], pursuant to Fed. R. Civ. P. 5(b):</w:t>
      </w:r>
    </w:p>
    <w:p>
      <w:pPr>
        <w:spacing w:after="0"/>
        <w:ind w:left="1440"/>
      </w:pPr>
      <w:r>
        <w:rPr>
          <w:b w:val="0"/>
          <w:i w:val="0"/>
          <w:u w:val="none"/>
        </w:rPr>
        <w:t>Stephen Osei</w:t>
      </w:r>
    </w:p>
    <w:p>
      <w:pPr>
        <w:spacing w:after="0"/>
        <w:ind w:left="1440"/>
      </w:pPr>
      <w:r>
        <w:rPr>
          <w:b w:val="0"/>
          <w:i w:val="0"/>
          <w:u w:val="none"/>
        </w:rPr>
        <w:t>Drummond &amp; Wakefield LLP</w:t>
      </w:r>
    </w:p>
    <w:p>
      <w:pPr>
        <w:spacing w:after="0"/>
        <w:ind w:left="1440"/>
      </w:pPr>
      <w:r>
        <w:rPr>
          <w:b w:val="0"/>
          <w:i w:val="0"/>
          <w:u w:val="none"/>
        </w:rPr>
        <w:t>1150 K Street NW, Suite 1200</w:t>
      </w:r>
    </w:p>
    <w:p>
      <w:pPr>
        <w:spacing w:after="0"/>
        <w:ind w:left="1440"/>
      </w:pPr>
      <w:r>
        <w:rPr>
          <w:b w:val="0"/>
          <w:i w:val="0"/>
          <w:u w:val="none"/>
        </w:rPr>
        <w:t>Washington, DC 20005</w:t>
      </w:r>
    </w:p>
    <w:p>
      <w:pPr>
        <w:spacing w:after="0"/>
        <w:ind w:left="1440"/>
      </w:pPr>
      <w:r>
        <w:rPr>
          <w:b w:val="0"/>
          <w:i/>
          <w:u w:val="none"/>
        </w:rPr>
        <w:t>Counsel for Defendant Veridian Health Systems, LLC</w:t>
      </w:r>
    </w:p>
    <w:p>
      <w:pPr>
        <w:spacing w:after="240"/>
      </w:pPr>
    </w:p>
    <w:p>
      <w:pPr>
        <w:spacing w:after="0"/>
        <w:ind w:left="1440"/>
      </w:pPr>
      <w:r>
        <w:rPr>
          <w:b w:val="0"/>
          <w:i w:val="0"/>
          <w:u w:val="none"/>
        </w:rPr>
        <w:t>Patricia Dominguez</w:t>
      </w:r>
    </w:p>
    <w:p>
      <w:pPr>
        <w:spacing w:after="0"/>
        <w:ind w:left="1440"/>
      </w:pPr>
      <w:r>
        <w:rPr>
          <w:b w:val="0"/>
          <w:i w:val="0"/>
          <w:u w:val="none"/>
        </w:rPr>
        <w:t>Barlow &amp; Crane PLLC</w:t>
      </w:r>
    </w:p>
    <w:p>
      <w:pPr>
        <w:spacing w:after="0"/>
        <w:ind w:left="1440"/>
      </w:pPr>
      <w:r>
        <w:rPr>
          <w:b w:val="0"/>
          <w:i w:val="0"/>
          <w:u w:val="none"/>
        </w:rPr>
        <w:t>[Address]</w:t>
      </w:r>
    </w:p>
    <w:p>
      <w:pPr>
        <w:spacing w:after="0"/>
        <w:ind w:left="1440"/>
      </w:pPr>
      <w:r>
        <w:rPr>
          <w:b w:val="0"/>
          <w:i/>
          <w:u w:val="none"/>
        </w:rPr>
        <w:t>Counsel for Defendant Ryan Oshiro</w:t>
      </w:r>
    </w:p>
    <w:p>
      <w:pPr>
        <w:spacing w:after="240"/>
      </w:pPr>
    </w:p>
    <w:p>
      <w:pPr>
        <w:spacing w:after="0"/>
      </w:pPr>
      <w:r>
        <w:rPr>
          <w:b w:val="0"/>
          <w:i w:val="0"/>
          <w:u w:val="none"/>
        </w:rPr>
        <w:t>________________________________</w:t>
      </w:r>
    </w:p>
    <w:p>
      <w:pPr>
        <w:spacing w:after="0"/>
      </w:pPr>
      <w:r>
        <w:rPr>
          <w:b w:val="0"/>
          <w:i w:val="0"/>
          <w:u w:val="none"/>
        </w:rPr>
        <w:t>Kevin Nakamura</w:t>
      </w:r>
    </w:p>
    <w:p>
      <w:r>
        <w:br w:type="page"/>
      </w:r>
    </w:p>
    <w:p>
      <w:pPr>
        <w:spacing w:after="240"/>
        <w:jc w:val="center"/>
      </w:pPr>
      <w:r>
        <w:rPr>
          <w:b/>
          <w:i w:val="0"/>
          <w:u w:val="none"/>
        </w:rPr>
        <w:t>VERIFICATION</w:t>
      </w:r>
    </w:p>
    <w:p>
      <w:pPr>
        <w:spacing w:after="240"/>
        <w:ind w:firstLine="720"/>
        <w:jc w:val="both"/>
      </w:pPr>
      <w:r>
        <w:rPr>
          <w:b w:val="0"/>
          <w:i w:val="0"/>
          <w:u w:val="none"/>
        </w:rPr>
        <w:t>STATE OF ____________    §</w:t>
      </w:r>
    </w:p>
    <w:p>
      <w:pPr>
        <w:spacing w:after="240"/>
        <w:ind w:firstLine="720"/>
        <w:jc w:val="both"/>
      </w:pPr>
      <w:r>
        <w:rPr>
          <w:b w:val="0"/>
          <w:i w:val="0"/>
          <w:u w:val="none"/>
        </w:rPr>
        <w:t>COUNTY OF __________    §</w:t>
      </w:r>
    </w:p>
    <w:p>
      <w:pPr>
        <w:spacing w:after="240"/>
        <w:ind w:firstLine="720"/>
        <w:jc w:val="both"/>
      </w:pPr>
      <w:r>
        <w:rPr>
          <w:b w:val="0"/>
          <w:i w:val="0"/>
          <w:u w:val="none"/>
        </w:rPr>
        <w:t>I, ____________________, am the ____________________ of Veridian Health Systems, LLC, and am authorized to make this verification on its behalf. I have read the foregoing answers to Plaintiff’s First Set of Interrogatories. The answers were prepared with the assistance of employees, agents, and counsel of Veridian Health Systems, LLC, and are based on information assembled from records and from Persons with knowledge. I declare under penalty of perjury under the laws of the United States of America that the factual statements contained in the answers are true and correct to the best of my knowledge, information, and belief.</w:t>
      </w:r>
    </w:p>
    <w:p>
      <w:pPr>
        <w:spacing w:after="240"/>
      </w:pPr>
      <w:r>
        <w:rPr>
          <w:b w:val="0"/>
          <w:i w:val="0"/>
          <w:u w:val="none"/>
        </w:rPr>
        <w:t>Executed on ____________, 20__.</w:t>
      </w:r>
    </w:p>
    <w:p>
      <w:pPr>
        <w:spacing w:after="0"/>
      </w:pPr>
      <w:r>
        <w:rPr>
          <w:b w:val="0"/>
          <w:i w:val="0"/>
          <w:u w:val="none"/>
        </w:rPr>
        <w:t>________________________________</w:t>
      </w:r>
    </w:p>
    <w:p>
      <w:pPr>
        <w:spacing w:after="0"/>
      </w:pPr>
      <w:r>
        <w:rPr>
          <w:b w:val="0"/>
          <w:i w:val="0"/>
          <w:u w:val="none"/>
        </w:rPr>
        <w:t>Name / Title: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