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UNITED STATES DISTRICT COURT</w:t>
      </w:r>
    </w:p>
    <w:p>
      <w:pPr>
        <w:spacing w:after="160"/>
        <w:jc w:val="center"/>
      </w:pPr>
      <w:r>
        <w:rPr>
          <w:b/>
        </w:rPr>
        <w:t>NORTHERN DISTRICT OF OHIO</w:t>
        <w:br/>
        <w:t>EASTERN DIVISION</w:t>
      </w:r>
    </w:p>
    <w:tbl>
      <w:tblPr>
        <w:tblW w:type="auto" w:w="0"/>
        <w:jc w:val="center"/>
        <w:tblLayout w:type="fixed"/>
        <w:tblLook w:firstColumn="1" w:firstRow="1" w:lastColumn="0" w:lastRow="0" w:noHBand="0" w:noVBand="1" w:val="04A0"/>
      </w:tblPr>
      <w:tblGrid>
        <w:gridCol w:w="5112"/>
        <w:gridCol w:w="4320"/>
      </w:tblGrid>
      <w:tr>
        <w:tc>
          <w:tcPr>
            <w:tcW w:type="dxa" w:w="5112"/>
            <w:vAlign w:val="center"/>
            <w:tcBorders>
              <w:top w:val="single" w:sz="6" w:color="333333"/>
              <w:bottom w:val="single" w:sz="6" w:color="333333"/>
              <w:left w:val="single" w:sz="6" w:color="333333"/>
              <w:right w:val="single" w:sz="6" w:color="333333"/>
            </w:tcBorders>
          </w:tcPr>
          <w:p>
            <w:pPr>
              <w:spacing w:after="20" w:line="240" w:lineRule="auto"/>
            </w:pPr>
            <w:r>
              <w:rPr>
                <w:rFonts w:ascii="Times New Roman" w:hAnsi="Times New Roman"/>
                <w:sz w:val="21"/>
              </w:rPr>
              <w:t>MARIANA OKAFOR-REYES,</w:t>
              <w:br/>
              <w:br/>
              <w:t xml:space="preserve">        Plaintiff,</w:t>
              <w:br/>
              <w:br/>
              <w:t>v.</w:t>
              <w:br/>
              <w:br/>
              <w:t>CRESTON INDUSTRIAL COATINGS, INC.,</w:t>
              <w:br/>
              <w:br/>
              <w:t xml:space="preserve">        Defendant.</w:t>
            </w:r>
          </w:p>
        </w:tc>
        <w:tc>
          <w:tcPr>
            <w:tcW w:type="dxa" w:w="4320"/>
            <w:vAlign w:val="center"/>
            <w:tcBorders>
              <w:top w:val="single" w:sz="6" w:color="333333"/>
              <w:bottom w:val="single" w:sz="6" w:color="333333"/>
              <w:left w:val="single" w:sz="6" w:color="333333"/>
              <w:right w:val="single" w:sz="6" w:color="333333"/>
            </w:tcBorders>
          </w:tcPr>
          <w:p>
            <w:pPr>
              <w:spacing w:after="20" w:line="240" w:lineRule="auto"/>
            </w:pPr>
            <w:r>
              <w:rPr>
                <w:rFonts w:ascii="Times New Roman" w:hAnsi="Times New Roman"/>
                <w:sz w:val="21"/>
              </w:rPr>
              <w:t>Case No. 1:24-cv-00613-EMH</w:t>
              <w:br/>
              <w:br/>
              <w:t>Judge Elaine M. Harwick</w:t>
            </w:r>
          </w:p>
        </w:tc>
      </w:tr>
    </w:tbl>
    <w:p>
      <w:pPr>
        <w:spacing w:before="200" w:after="80"/>
        <w:jc w:val="center"/>
      </w:pPr>
      <w:r>
        <w:rPr>
          <w:b/>
          <w:sz w:val="26"/>
        </w:rPr>
        <w:t>DEFENDANT’S COVER MEMORANDUM IN SUPPORT OF PROPOSED JURY INSTRUCTIONS</w:t>
      </w:r>
    </w:p>
    <w:p>
      <w:pPr>
        <w:spacing w:after="200"/>
        <w:jc w:val="center"/>
      </w:pPr>
      <w:r>
        <w:rPr>
          <w:i/>
          <w:sz w:val="20"/>
        </w:rPr>
        <w:t>Submitted for the August 11, 2025 Final Pretrial Conference</w:t>
      </w:r>
    </w:p>
    <w:p>
      <w:pPr>
        <w:spacing w:after="200"/>
      </w:pPr>
      <w:r>
        <w:t>TO: The Honorable Elaine M. Harwick</w:t>
        <w:br/>
        <w:t>FROM: Defendant Creston Industrial Coatings, Inc.</w:t>
        <w:br/>
        <w:t>DATE: August 11, 2025</w:t>
        <w:br/>
        <w:t>RE: Proposed instructions for trial beginning September 8, 2025</w:t>
      </w:r>
    </w:p>
    <w:p>
      <w:pPr>
        <w:pStyle w:val="Heading1"/>
      </w:pPr>
      <w:r>
        <w:t>I. Overview and requested approach</w:t>
      </w:r>
    </w:p>
    <w:p>
      <w:r>
        <w:t>Creston submits the accompanying proposed jury instructions under the Court’s January 22, 2025 Opinion and Order. The instructions address only the three surviving claims: Title VII retaliation (Count I), Ohio Whistleblower Protection Act retaliation (Count II), and breach of implied employment contract (Count IV). Count III was dismissed with prejudice. The submission uses separate causation standards and requests a special verdict with distinct findings for each claim, consistent with the Court’s direction.</w:t>
      </w:r>
    </w:p>
    <w:p>
      <w:r>
        <w:t>The proposed language is deliberately narrower than the positions advanced in Creston’s excerpted pretrial brief where the Court’s Order or controlling law requires. It avoids submitting established legal issues to the jury, does not invite a re-trial of the dismissed claim, and identifies conditional instructions that should be given only if the Court first finds the issue and supporting evidence sufficient.</w:t>
      </w:r>
    </w:p>
    <w:p>
      <w:pPr>
        <w:pStyle w:val="Heading1"/>
      </w:pPr>
      <w:r>
        <w:t>II. Count I: Title VII retaliation</w:t>
      </w:r>
    </w:p>
    <w:p>
      <w:r>
        <w:t>The Court has already determined that the January 17, 2023 internal EEO complaint is protected Title VII activity, that Creston knew of it, and that termination is materially adverse. Proposed Instruction 4 therefore tells the jury not to reconsider those matters. Plaintiff should bear the burden on the disputed causal issue under Nassar’s but-for test; there is no “motivating factor” alternative. Instructions 5–7 state that standard, allow consideration of all evidence (including the Cavender email and RIF evidence), and avoid treating either the RIF or the passage of time as dispositive.</w:t>
      </w:r>
    </w:p>
    <w:p>
      <w:r>
        <w:t>The EPA complaint is not an independent Title VII protected activity. The Court has recognized that the March 22 email’s reference to outside agencies may inform the causal context. Proposed Instruction 6 reflects that limited use: the jury may consider the EPA complaint only insofar as it helps assess circumstances, knowledge, or motive relevant to whether the protected EEO complaint was a but-for cause; it may not find Title VII liability merely because Plaintiff reported an environmental concern.</w:t>
      </w:r>
    </w:p>
    <w:p>
      <w:pPr>
        <w:pStyle w:val="Heading1"/>
      </w:pPr>
      <w:r>
        <w:t>III. Count II: Ohio Whistleblower Protection Act</w:t>
      </w:r>
    </w:p>
    <w:p>
      <w:r>
        <w:t>The Court has determined that the March 9 Ohio EPA filing alleged a violation of law and is protected whistleblower activity if statutory prerequisites are met. The disputed February 28 oral report to Plant Manager Greg Felton and the reasonable-time-to-correct requirement remain jury questions. Proposed Instructions 8–11 separate the threshold procedural question from the contributing-factor causation inquiry. Plaintiff bears the burden to prove compliance with the statutory prerequisite and that her report contributed to the termination; she need not prove but-for causation on Count II.</w:t>
      </w:r>
    </w:p>
    <w:p>
      <w:r>
        <w:t>Creston asks the Court to settle the precise formulation of Ohio Revised Code § 4113.52’s prior-notice exception and the correction-time standard before the charge is read. Proposed Instruction 9 follows the Order’s “reasonable time” formulation and does not ask the jury to treat nine days as automatically sufficient or insufficient. Proposed Instruction 10 states a conditional statutory exception only if supported by evidence and consistent with the Court’s construction. Creston does not ask the Court to direct the jury that the alleged conversation did not happen; Felton’s denial, Plaintiff’s calendar entry, and the attendance evidence are credibility and fact issues for the jury.</w:t>
      </w:r>
    </w:p>
    <w:p>
      <w:pPr>
        <w:pStyle w:val="Heading1"/>
      </w:pPr>
      <w:r>
        <w:t>IV. Count IV: implied employment contract</w:t>
      </w:r>
    </w:p>
    <w:p>
      <w:r>
        <w:t>The Court held that the tension between the handbook’s at-will disclaimer and progressive-discipline provision, and whether the latter applies to a position elimination in a RIF, present fact questions. Proposed Instructions 12–14 accordingly do not state that the disclaimer automatically defeats contract formation or that the progressive-discipline language necessarily governs a RIF. They direct the jury to consider the handbook as a whole, its specific mandatory language and discretion clause, the disclaimer’s communication and prominence, receipt/review and any reliance, and the scope of the alleged promise. The jury must then decide whether a contract existed, what it required, whether it applied to this termination, and whether Creston breached it.</w:t>
      </w:r>
    </w:p>
    <w:p>
      <w:pPr>
        <w:pStyle w:val="Heading1"/>
      </w:pPr>
      <w:r>
        <w:t>V. Defenses and damages instructions</w:t>
      </w:r>
    </w:p>
    <w:p>
      <w:pPr>
        <w:pStyle w:val="Heading2"/>
      </w:pPr>
      <w:r>
        <w:t>A. Faragher/Ellerth is omitted</w:t>
      </w:r>
    </w:p>
    <w:p>
      <w:r>
        <w:t>Creston does not renew its proposed Faragher/Ellerth instruction. The Court expressly ruled that the defense does not apply to Count I and directed that it not be given. The anti-retaliation policy may be relevant to a properly supported Kolstad punitive-damages issue, but it is not a defense to Title VII liability.</w:t>
      </w:r>
    </w:p>
    <w:p>
      <w:pPr>
        <w:pStyle w:val="Heading2"/>
      </w:pPr>
      <w:r>
        <w:t>B. Kolstad instruction is conditional and claim-specific</w:t>
      </w:r>
    </w:p>
    <w:p>
      <w:r>
        <w:t>Proposed Instruction 19 is limited to Title VII punitive damages. It first requires Plaintiff to prove malice or reckless indifference to federally protected rights. It then states the distinct Kolstad defense, which Creston must prove: good-faith efforts to comply with Title VII and conduct contrary to those efforts. A written policy or training alone is not presented as dispositive. Creston requests that the Court reserve whether the instruction is warranted until it determines the admissible evidence and the role of the relevant decisionmaker. No Kolstad or punitive-damages instruction is requested for Counts II or IV.</w:t>
      </w:r>
    </w:p>
    <w:p>
      <w:pPr>
        <w:pStyle w:val="Heading2"/>
      </w:pPr>
      <w:r>
        <w:t>C. After-acquired evidence is not a complete defense</w:t>
      </w:r>
    </w:p>
    <w:p>
      <w:r>
        <w:t>The prior brief proposed a complete defense based on the alleged MBA credential misrepresentation. Creston withdraws that formulation. Under McKennon, after-acquired evidence does not defeat liability; if admissible and established, it may affect remedies. Proposed Instruction 21 is therefore conditional, confines any jury finding to the disputed facts the Court submits, and leaves the remedial consequence to the Court. Creston requests a threshold ruling on admissibility and the scope of any remedial phase before this evidence is presented to the jury.</w:t>
      </w:r>
    </w:p>
    <w:p>
      <w:pPr>
        <w:pStyle w:val="Heading2"/>
      </w:pPr>
      <w:r>
        <w:t>D. Mitigation burden and wage loss</w:t>
      </w:r>
    </w:p>
    <w:p>
      <w:r>
        <w:t>Proposed Instruction 16 corrects the burden allocation in the earlier draft: Creston bears the burden to prove an unreasonable failure to mitigate and the amount of avoidable wage loss. The alleged delay in job searching and the Archer-Lawson opportunity are evidence for the jury to assess, not automatic grounds to reduce damages. Whether the position was comparable and whether declining it was unreasonable depend on the evidence.</w:t>
      </w:r>
    </w:p>
    <w:p>
      <w:pPr>
        <w:pStyle w:val="Heading2"/>
      </w:pPr>
      <w:r>
        <w:t>E. Separate and limited remedies</w:t>
      </w:r>
    </w:p>
    <w:p>
      <w:r>
        <w:t>The proposed instructions request separate damages findings and prohibit double recovery for the same injury. They distinguish Title VII compensatory damages from equitable relief such as back pay, reinstatement, and front pay, which Creston requests the Court reserve. They limit contract damages to proven expectation loss and preclude emotional-distress or punitive damages on the contract claim. Proposed Instruction 17 addresses any proven aggravation of a pre-existing emotional condition without eliminating recovery for a worsening caused by unlawful conduct. Creston requests that the Court identify the recoverable remedies and the decisionmaker for each category before finalizing the damages charge and verdict form. The statutory cap under 42 U.S.C. § 1981a(b)(3) should be applied by the Court after verdict and should not be disclosed to the jury.</w:t>
      </w:r>
    </w:p>
    <w:p>
      <w:pPr>
        <w:pStyle w:val="Heading1"/>
      </w:pPr>
      <w:r>
        <w:t>VI. Requested rulings before the final charge</w:t>
      </w:r>
    </w:p>
    <w:p>
      <w:r>
        <w:t>Creston respectfully requests that the Court:</w:t>
      </w:r>
    </w:p>
    <w:p>
      <w:pPr>
        <w:pStyle w:val="ListBullet"/>
        <w:spacing w:after="60"/>
      </w:pPr>
      <w:r>
        <w:t>approve the separate but-for (Count I) and contributing-factor (Count II) instructions;</w:t>
      </w:r>
    </w:p>
    <w:p>
      <w:pPr>
        <w:pStyle w:val="ListBullet"/>
        <w:spacing w:after="60"/>
      </w:pPr>
      <w:r>
        <w:t>confirm the precise ORC § 4113.52 internal-notice, correction-time, and exception language to be submitted;</w:t>
      </w:r>
    </w:p>
    <w:p>
      <w:pPr>
        <w:pStyle w:val="ListBullet"/>
        <w:spacing w:after="60"/>
      </w:pPr>
      <w:r>
        <w:t>retain the Court’s prior ruling excluding any Faragher/Ellerth instruction;</w:t>
      </w:r>
    </w:p>
    <w:p>
      <w:pPr>
        <w:pStyle w:val="ListBullet"/>
        <w:spacing w:after="60"/>
      </w:pPr>
      <w:r>
        <w:t>determine whether the record supports a conditional Kolstad instruction and, if so, give it only on Title VII punitive damages;</w:t>
      </w:r>
    </w:p>
    <w:p>
      <w:pPr>
        <w:pStyle w:val="ListBullet"/>
        <w:spacing w:after="60"/>
      </w:pPr>
      <w:r>
        <w:t>rule whether after-acquired evidence will be admitted for remedial purposes and, if admitted, submit only the limited factual findings contemplated by McKennon;</w:t>
      </w:r>
    </w:p>
    <w:p>
      <w:pPr>
        <w:pStyle w:val="ListBullet"/>
        <w:spacing w:after="60"/>
      </w:pPr>
      <w:r>
        <w:t>determine which wage-loss, front-pay, reinstatement, compensatory, and statutory remedies are for the Court or jury, and apply any statutory cap after verdict; and</w:t>
      </w:r>
    </w:p>
    <w:p>
      <w:pPr>
        <w:pStyle w:val="ListBullet"/>
        <w:spacing w:after="60"/>
      </w:pPr>
      <w:r>
        <w:t>use a special verdict form with separate interrogatories for Counts I, II, and IV, including separate findings on the two causation standards and the disputed contract-formation/application questions.</w:t>
      </w:r>
    </w:p>
    <w:p>
      <w:r>
        <w:t>The accompanying proposed instructions are respectfully submitted for the Court’s consideration. Creston reserves objections to Plaintiff’s proposals and the right to propose modifications based on the trial evidence and the Court’s rulings.</w:t>
      </w:r>
    </w:p>
    <w:p>
      <w:pPr>
        <w:spacing w:before="240"/>
      </w:pPr>
      <w:r>
        <w:t>Respectfully submitted,</w:t>
        <w:br/>
        <w:br/>
        <w:t>KENNERLY, SHAW &amp; BRADDOCK LLP</w:t>
        <w:br/>
        <w:br/>
        <w:t>By: /s/ Diane Braddock</w:t>
        <w:br/>
        <w:t>Diane Braddock (Ohio Bar No. 0067482)</w:t>
        <w:br/>
        <w:t>200 Public Square, Suite 3200</w:t>
        <w:br/>
        <w:t>Cleveland, Ohio 44114</w:t>
        <w:br/>
        <w:t>(216) 555-7800 | dbraddock@ksblaw.com</w:t>
        <w:br/>
        <w:t>Counsel for Defendant Creston Industrial Coatings, Inc.</w:t>
        <w:br/>
        <w:br/>
        <w:t>Dated: August 11, 2025</w:t>
      </w:r>
    </w:p>
    <w:sectPr w:rsidR="00FC693F" w:rsidRPr="0006063C" w:rsidSect="00034616">
      <w:headerReference w:type="default" r:id="rId9"/>
      <w:footerReference w:type="default" r:id="rId10"/>
      <w:pgSz w:w="12240" w:h="15840"/>
      <w:pgMar w:top="1123" w:right="1440" w:bottom="1037" w:left="144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3" w:color="AAB4BF"/>
      </w:pBdr>
    </w:pPr>
    <w:r>
      <w:rPr>
        <w:rFonts w:ascii="Times New Roman" w:hAnsi="Times New Roman"/>
        <w:color w:val="5A5A5A"/>
        <w:sz w:val="16"/>
      </w:rPr>
      <w:t>OKAFOR-REYES v. CRESTON  |  No. 1:24-cv-00613-EMH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