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rPr>
        <w:t>UNITED STATES DISTRICT COURT</w:t>
      </w:r>
    </w:p>
    <w:p>
      <w:pPr>
        <w:spacing w:after="160"/>
        <w:jc w:val="center"/>
      </w:pPr>
      <w:r>
        <w:rPr>
          <w:b/>
        </w:rPr>
        <w:t>NORTHERN DISTRICT OF OHIO</w:t>
        <w:br/>
        <w:t>EASTERN DIVISION</w:t>
      </w:r>
    </w:p>
    <w:tbl>
      <w:tblPr>
        <w:tblW w:type="auto" w:w="0"/>
        <w:jc w:val="center"/>
        <w:tblLayout w:type="fixed"/>
        <w:tblLook w:firstColumn="1" w:firstRow="1" w:lastColumn="0" w:lastRow="0" w:noHBand="0" w:noVBand="1" w:val="04A0"/>
      </w:tblPr>
      <w:tblGrid>
        <w:gridCol w:w="5112"/>
        <w:gridCol w:w="4320"/>
      </w:tblGrid>
      <w:tr>
        <w:tc>
          <w:tcPr>
            <w:tcW w:type="dxa" w:w="5112"/>
            <w:vAlign w:val="center"/>
            <w:tcBorders>
              <w:top w:val="single" w:sz="6" w:color="333333"/>
              <w:bottom w:val="single" w:sz="6" w:color="333333"/>
              <w:left w:val="single" w:sz="6" w:color="333333"/>
              <w:right w:val="single" w:sz="6" w:color="333333"/>
            </w:tcBorders>
          </w:tcPr>
          <w:p>
            <w:pPr>
              <w:spacing w:after="20" w:line="240" w:lineRule="auto"/>
            </w:pPr>
            <w:r>
              <w:rPr>
                <w:rFonts w:ascii="Times New Roman" w:hAnsi="Times New Roman"/>
                <w:sz w:val="21"/>
              </w:rPr>
              <w:t>MARIANA OKAFOR-REYES,</w:t>
              <w:br/>
              <w:br/>
              <w:t xml:space="preserve">        Plaintiff,</w:t>
              <w:br/>
              <w:br/>
              <w:t>v.</w:t>
              <w:br/>
              <w:br/>
              <w:t>CRESTON INDUSTRIAL COATINGS, INC.,</w:t>
              <w:br/>
              <w:br/>
              <w:t xml:space="preserve">        Defendant.</w:t>
            </w:r>
          </w:p>
        </w:tc>
        <w:tc>
          <w:tcPr>
            <w:tcW w:type="dxa" w:w="4320"/>
            <w:vAlign w:val="center"/>
            <w:tcBorders>
              <w:top w:val="single" w:sz="6" w:color="333333"/>
              <w:bottom w:val="single" w:sz="6" w:color="333333"/>
              <w:left w:val="single" w:sz="6" w:color="333333"/>
              <w:right w:val="single" w:sz="6" w:color="333333"/>
            </w:tcBorders>
          </w:tcPr>
          <w:p>
            <w:pPr>
              <w:spacing w:after="20" w:line="240" w:lineRule="auto"/>
            </w:pPr>
            <w:r>
              <w:rPr>
                <w:rFonts w:ascii="Times New Roman" w:hAnsi="Times New Roman"/>
                <w:sz w:val="21"/>
              </w:rPr>
              <w:t>Case No. 1:24-cv-00613-EMH</w:t>
              <w:br/>
              <w:br/>
              <w:t>Judge Elaine M. Harwick</w:t>
            </w:r>
          </w:p>
        </w:tc>
      </w:tr>
    </w:tbl>
    <w:p>
      <w:pPr>
        <w:spacing w:before="200" w:after="80"/>
        <w:jc w:val="center"/>
      </w:pPr>
      <w:r>
        <w:rPr>
          <w:b/>
          <w:sz w:val="26"/>
        </w:rPr>
        <w:t>DEFENDANT CRESTON INDUSTRIAL COATINGS, INC.’S PROPOSED JURY INSTRUCTIONS</w:t>
      </w:r>
    </w:p>
    <w:p>
      <w:pPr>
        <w:spacing w:after="160"/>
        <w:jc w:val="center"/>
      </w:pPr>
      <w:r>
        <w:rPr>
          <w:i/>
          <w:sz w:val="20"/>
        </w:rPr>
        <w:t>Defendant’s submission; subject to objections and the Court’s final rulings</w:t>
      </w:r>
    </w:p>
    <w:p>
      <w:pPr>
        <w:spacing w:after="180"/>
      </w:pPr>
      <w:r>
        <w:t>These proposed instructions address the three claims remaining for trial after the Court’s January 22, 2025 Opinion and Order: Title VII retaliation (Count I), Ohio Whistleblower Protection Act retaliation (Count II), and breach of implied employment contract (Count IV). Count III has been dismissed with prejudice. Conditional instructions are expressly identified and should be given only if the Court determines the issue and supporting evidence warrant them.</w:t>
      </w:r>
    </w:p>
    <w:p>
      <w:pPr>
        <w:pStyle w:val="Heading1"/>
      </w:pPr>
      <w:r>
        <w:t>I. General Instructions</w:t>
      </w:r>
    </w:p>
    <w:p>
      <w:pPr>
        <w:keepNext/>
        <w:spacing w:before="160" w:after="60"/>
      </w:pPr>
      <w:r>
        <w:rPr>
          <w:b/>
          <w:sz w:val="23"/>
        </w:rPr>
        <w:t>PROPOSED INSTRUCTION 1 — The Court’s Instructions; Issues for Decision</w:t>
      </w:r>
    </w:p>
    <w:p>
      <w:pPr>
        <w:keepNext/>
        <w:keepLines/>
        <w:spacing w:after="60"/>
        <w:ind w:left="317" w:right="173"/>
      </w:pPr>
      <w:r>
        <w:t>You must accept and apply the law as I explain it. You decide the facts from the evidence admitted at trial and apply the law to those facts. You must not allow sympathy, prejudice, or speculation to influence your verdict. Your verdict must be based only on the evidence and these instructions.</w:t>
        <w:br/>
        <w:br/>
        <w:t>Only three claims are before you: (1) Title VII retaliation, (2) Ohio Whistleblower Protection Act retaliation, and (3) breach of an implied employment contract. The hostile-work-environment claim was dismissed before trial and is not for you to consider.</w:t>
      </w:r>
    </w:p>
    <w:p>
      <w:pPr>
        <w:keepLines/>
        <w:spacing w:after="120"/>
        <w:ind w:left="317"/>
      </w:pPr>
      <w:r>
        <w:rPr>
          <w:i/>
          <w:color w:val="4B4B4B"/>
          <w:sz w:val="18"/>
        </w:rPr>
        <w:t>Authority / source: Sixth Circuit Pattern Jury Instructions (Civil), ch. 1 (general instructions); Court’s Jan. 22, 2025 Order.</w:t>
      </w:r>
    </w:p>
    <w:p>
      <w:pPr>
        <w:keepNext/>
        <w:spacing w:before="160" w:after="60"/>
      </w:pPr>
      <w:r>
        <w:rPr>
          <w:b/>
          <w:sz w:val="23"/>
        </w:rPr>
        <w:t>PROPOSED INSTRUCTION 2 — Burden of Proof</w:t>
      </w:r>
    </w:p>
    <w:p>
      <w:pPr>
        <w:keepNext/>
        <w:keepLines/>
        <w:spacing w:after="60"/>
        <w:ind w:left="317" w:right="173"/>
      </w:pPr>
      <w:r>
        <w:t>For each claim, Plaintiff has the burden to prove each fact that the law requires her to prove by a preponderance of the evidence. “Preponderance of the evidence” means that a fact is more likely true than not true. If the evidence on a required element is evenly balanced, Plaintiff has not met her burden on that element. A party is not required to prove a fact beyond all possible doubt. Apply the burden separately to each claim and each element for which these instructions assign it.</w:t>
      </w:r>
    </w:p>
    <w:p>
      <w:pPr>
        <w:keepLines/>
        <w:spacing w:after="120"/>
        <w:ind w:left="317"/>
      </w:pPr>
      <w:r>
        <w:rPr>
          <w:i/>
          <w:color w:val="4B4B4B"/>
          <w:sz w:val="18"/>
        </w:rPr>
        <w:t>Authority / source: Sixth Circuit Pattern Jury Instructions (Civil), ch. 1.</w:t>
      </w:r>
    </w:p>
    <w:p>
      <w:pPr>
        <w:keepNext/>
        <w:spacing w:before="160" w:after="60"/>
      </w:pPr>
      <w:r>
        <w:rPr>
          <w:b/>
          <w:sz w:val="23"/>
        </w:rPr>
        <w:t>PROPOSED INSTRUCTION 3 — Evidence and Credibility</w:t>
      </w:r>
    </w:p>
    <w:p>
      <w:pPr>
        <w:keepNext/>
        <w:keepLines/>
        <w:spacing w:after="60"/>
        <w:ind w:left="317" w:right="173"/>
      </w:pPr>
      <w:r>
        <w:t>The evidence consists of sworn testimony, admitted exhibits, and any facts the parties have stipulated to or the Court has directed you to accept. Statements and arguments of counsel are not evidence. You may draw reasonable inferences from the evidence, but you may not guess. In deciding what testimony to believe, consider the witness’s opportunity to observe, memory, manner while testifying, consistency or inconsistency, interest in the outcome, and all other evidence bearing on credibility. You may accept all, part, or none of a witness’s testimony.</w:t>
      </w:r>
    </w:p>
    <w:p>
      <w:pPr>
        <w:keepLines/>
        <w:spacing w:after="120"/>
        <w:ind w:left="317"/>
      </w:pPr>
      <w:r>
        <w:rPr>
          <w:i/>
          <w:color w:val="4B4B4B"/>
          <w:sz w:val="18"/>
        </w:rPr>
        <w:t>Authority / source: Sixth Circuit Pattern Jury Instructions (Civil), ch. 1.</w:t>
      </w:r>
    </w:p>
    <w:p>
      <w:pPr>
        <w:keepNext/>
        <w:spacing w:before="160" w:after="60"/>
      </w:pPr>
      <w:r>
        <w:rPr>
          <w:b/>
          <w:sz w:val="23"/>
        </w:rPr>
        <w:t>PROPOSED INSTRUCTION 4 — Matters Decided by the Court</w:t>
      </w:r>
    </w:p>
    <w:p>
      <w:pPr>
        <w:keepNext/>
        <w:keepLines/>
        <w:spacing w:after="60"/>
        <w:ind w:left="317" w:right="173"/>
      </w:pPr>
      <w:r>
        <w:t>The Court has determined as a matter of law that Plaintiff’s January 17, 2023 internal EEO complaint opposing perceived sex-based pay discrimination was protected activity under Title VII, and that Creston knew of that complaint. The Court has also determined that Plaintiff’s termination was a materially adverse employment action for purposes of Count I. You must not reconsider those legal determinations.</w:t>
        <w:br/>
        <w:br/>
        <w:t>The Court has determined that Plaintiff’s March 9, 2023 Ohio EPA complaint alleged a violation of law and would constitute protected whistleblower activity under Ohio law if the statutory procedural requirements are satisfied. Whether Plaintiff satisfied the disputed internal-notice and correction-time requirement is for you to decide under the instructions below.</w:t>
      </w:r>
    </w:p>
    <w:p>
      <w:pPr>
        <w:keepLines/>
        <w:spacing w:after="120"/>
        <w:ind w:left="317"/>
      </w:pPr>
      <w:r>
        <w:rPr>
          <w:i/>
          <w:color w:val="4B4B4B"/>
          <w:sz w:val="18"/>
        </w:rPr>
        <w:t>Authority / source: Court’s Jan. 22, 2025 Order, §§ II.B–C, IV.A–B.</w:t>
      </w:r>
    </w:p>
    <w:p>
      <w:pPr>
        <w:pStyle w:val="Heading1"/>
      </w:pPr>
      <w:r>
        <w:t>II. Count I — Title VII Retaliation</w:t>
      </w:r>
    </w:p>
    <w:p>
      <w:pPr>
        <w:keepNext/>
        <w:spacing w:before="160" w:after="60"/>
      </w:pPr>
      <w:r>
        <w:rPr>
          <w:b/>
          <w:sz w:val="23"/>
        </w:rPr>
        <w:t>PROPOSED INSTRUCTION 5 — Title VII Retaliation</w:t>
      </w:r>
    </w:p>
    <w:p>
      <w:pPr>
        <w:keepNext/>
        <w:keepLines/>
        <w:spacing w:after="60"/>
        <w:ind w:left="317" w:right="173"/>
      </w:pPr>
      <w:r>
        <w:t>To prevail on her Title VII retaliation claim, Plaintiff must prove by a preponderance of the evidence that her January 17, 2023 internal EEO complaint was the but-for cause of her termination. “But-for cause” means that Plaintiff would not have been terminated if she had not made that complaint. The protected activity need not be the only cause. But Plaintiff must prove that, without the protected activity, the termination would not have occurred. If Creston would have terminated Plaintiff even if she had not made the protected EEO complaint, then Plaintiff has not proved but-for causation and your verdict on Count I must be for Creston.</w:t>
      </w:r>
    </w:p>
    <w:p>
      <w:pPr>
        <w:keepLines/>
        <w:spacing w:after="120"/>
        <w:ind w:left="317"/>
      </w:pPr>
      <w:r>
        <w:rPr>
          <w:i/>
          <w:color w:val="4B4B4B"/>
          <w:sz w:val="18"/>
        </w:rPr>
        <w:t>Authority / source: 42 U.S.C. § 2000e-3(a); Univ. of Tex. Sw. Med. Ctr. v. Nassar, 570 U.S. 338, 360–62 (2013); Court’s Jan. 22, 2025 Order, § IV.A.</w:t>
      </w:r>
    </w:p>
    <w:p>
      <w:pPr>
        <w:keepNext/>
        <w:spacing w:before="160" w:after="60"/>
      </w:pPr>
      <w:r>
        <w:rPr>
          <w:b/>
          <w:sz w:val="23"/>
        </w:rPr>
        <w:t>PROPOSED INSTRUCTION 6 — Evidence Relevant to Title VII Causation</w:t>
      </w:r>
    </w:p>
    <w:p>
      <w:pPr>
        <w:keepNext/>
        <w:keepLines/>
        <w:spacing w:after="60"/>
        <w:ind w:left="317" w:right="173"/>
      </w:pPr>
      <w:r>
        <w:t>In deciding whether the January 17 EEO complaint was the but-for cause of the termination, consider all of the evidence, including the timing of events, the reasons Creston gives for eliminating Plaintiff’s position, the evidence concerning the reduction in force, and the March 22, 2023 email from Paul Cavender. Timing may be considered with the other evidence; timing alone neither automatically proves nor automatically disproves causation.</w:t>
        <w:br/>
        <w:br/>
        <w:t>The March 9, 2023 Ohio EPA complaint is not itself protected activity under Title VII. You may consider evidence about that complaint only to the extent you find it helps explain relevant circumstances, knowledge, or motive bearing on whether the protected EEO complaint was a but-for cause of the termination. You may not find a Title VII violation merely because Plaintiff made an environmental complaint.</w:t>
      </w:r>
    </w:p>
    <w:p>
      <w:pPr>
        <w:keepLines/>
        <w:spacing w:after="120"/>
        <w:ind w:left="317"/>
      </w:pPr>
      <w:r>
        <w:rPr>
          <w:i/>
          <w:color w:val="4B4B4B"/>
          <w:sz w:val="18"/>
        </w:rPr>
        <w:t>Authority / source: Nassar, 570 U.S. at 360–62; Court’s Jan. 22, 2025 Order, §§ II.D, IV.A.</w:t>
      </w:r>
    </w:p>
    <w:p>
      <w:pPr>
        <w:keepNext/>
        <w:spacing w:before="160" w:after="60"/>
      </w:pPr>
      <w:r>
        <w:rPr>
          <w:b/>
          <w:sz w:val="23"/>
        </w:rPr>
        <w:t>PROPOSED INSTRUCTION 7 — Business Reasons and the Reduction in Force</w:t>
      </w:r>
    </w:p>
    <w:p>
      <w:pPr>
        <w:keepNext/>
        <w:keepLines/>
        <w:spacing w:after="60"/>
        <w:ind w:left="317" w:right="173"/>
      </w:pPr>
      <w:r>
        <w:t>An employer may reorganize its operations or eliminate positions for legitimate business reasons. You may not find retaliation merely because you disagree with a business decision or believe that another decision would have been wiser. But the existence of a reduction in force or a stated business reason does not by itself resolve Count I. You must decide from all the evidence whether Plaintiff proved that she would not have been terminated but for the protected EEO complaint.</w:t>
      </w:r>
    </w:p>
    <w:p>
      <w:pPr>
        <w:keepLines/>
        <w:spacing w:after="120"/>
        <w:ind w:left="317"/>
      </w:pPr>
      <w:r>
        <w:rPr>
          <w:i/>
          <w:color w:val="4B4B4B"/>
          <w:sz w:val="18"/>
        </w:rPr>
        <w:t>Authority / source: Nassar, 570 U.S. at 360–62; Sixth Circuit Pattern Jury Instructions (Civil), Title VII retaliation instructions (adapted); Court’s Jan. 22, 2025 Order, § IV.A.</w:t>
      </w:r>
    </w:p>
    <w:p>
      <w:pPr>
        <w:pStyle w:val="Heading1"/>
      </w:pPr>
      <w:r>
        <w:t>III. Count II — Ohio Whistleblower Protection Act</w:t>
      </w:r>
    </w:p>
    <w:p>
      <w:pPr>
        <w:keepNext/>
        <w:spacing w:before="160" w:after="60"/>
      </w:pPr>
      <w:r>
        <w:rPr>
          <w:b/>
          <w:sz w:val="23"/>
        </w:rPr>
        <w:t>PROPOSED INSTRUCTION 8 — Ohio Whistleblower Claim — Elements</w:t>
      </w:r>
    </w:p>
    <w:p>
      <w:pPr>
        <w:keepNext/>
        <w:keepLines/>
        <w:spacing w:after="60"/>
        <w:ind w:left="317" w:right="173"/>
      </w:pPr>
      <w:r>
        <w:t>To prevail on Count II, Plaintiff must prove by a preponderance of the evidence: (1) she made a report of a violation of law to the Ohio EPA; (2) she complied with the applicable procedural requirements of Ohio Revised Code § 4113.52, as explained in the next instruction; (3) Creston took adverse action against her; and (4) her report was a contributing factor in the termination. The Court has determined that the March 9 Ohio EPA filing alleged a violation of law and that the termination was adverse action. The disputed statutory prerequisite and contributing-factor question remain for you.</w:t>
      </w:r>
    </w:p>
    <w:p>
      <w:pPr>
        <w:keepLines/>
        <w:spacing w:after="120"/>
        <w:ind w:left="317"/>
      </w:pPr>
      <w:r>
        <w:rPr>
          <w:i/>
          <w:color w:val="4B4B4B"/>
          <w:sz w:val="18"/>
        </w:rPr>
        <w:t>Authority / source: Ohio Rev. Code § 4113.52(A)(1)(a); Contreras v. Ferro Corp., 73 Ohio St. 3d 244, 248, 652 N.E.2d 940 (1995); Court’s Jan. 22, 2025 Order, § IV.B.</w:t>
      </w:r>
    </w:p>
    <w:p>
      <w:pPr>
        <w:keepNext/>
        <w:spacing w:before="160" w:after="60"/>
      </w:pPr>
      <w:r>
        <w:rPr>
          <w:b/>
          <w:sz w:val="23"/>
        </w:rPr>
        <w:t>PROPOSED INSTRUCTION 9 — Internal Notice and Opportunity to Correct</w:t>
      </w:r>
    </w:p>
    <w:p>
      <w:pPr>
        <w:keepNext/>
        <w:keepLines/>
        <w:spacing w:after="60"/>
        <w:ind w:left="317" w:right="173"/>
      </w:pPr>
      <w:r>
        <w:t>Before reporting to an outside authority, an employee generally must orally notify a supervisor or other responsible officer of the employer of the suspected violation and allow the employer a reasonable time to correct it. Plaintiff claims that on February 28, 2023, she orally reported the chromium rinse-water concern to Plant Manager Greg Felton. Mr. Felton denies that the conversation occurred. You must decide whether the oral report occurred, based on all the evidence, including the testimony, the calendar entry, the attendance evidence, and the absence or presence of other records.</w:t>
        <w:br/>
        <w:br/>
        <w:t>If Plaintiff proves that she made the required oral report and allowed a reasonable time for Creston to correct the suspected violation before the March 9 filing, this requirement is satisfied. Whether the time allowed was reasonable depends on the circumstances; do not decide that issue solely by counting days. If Plaintiff did not make the required oral report, she may still satisfy the statute only if she proves that an applicable statutory exception excused prior notice. An exception applies only if Plaintiff proves the conditions stated in the Court’s instruction on the statutory exception.</w:t>
      </w:r>
    </w:p>
    <w:p>
      <w:pPr>
        <w:keepLines/>
        <w:spacing w:after="120"/>
        <w:ind w:left="317"/>
      </w:pPr>
      <w:r>
        <w:rPr>
          <w:i/>
          <w:color w:val="4B4B4B"/>
          <w:sz w:val="18"/>
        </w:rPr>
        <w:t>Authority / source: Ohio Rev. Code § 4113.52(A)(1)(a); Court’s Jan. 22, 2025 Order, §§ II.C, IV.B. The Court is respectfully requested to settle the precise statutory exception language before this instruction is given.</w:t>
      </w:r>
    </w:p>
    <w:p>
      <w:pPr>
        <w:keepNext/>
        <w:spacing w:before="160" w:after="60"/>
      </w:pPr>
      <w:r>
        <w:rPr>
          <w:b/>
          <w:sz w:val="23"/>
        </w:rPr>
        <w:t>PROPOSED INSTRUCTION 10 — Statutory Exception to Prior Notice [if supported by evidence]</w:t>
      </w:r>
      <w:r>
        <w:rPr>
          <w:i/>
          <w:color w:val="643C00"/>
          <w:sz w:val="18"/>
        </w:rPr>
        <w:t xml:space="preserve">  [CONDITIONAL / REQUESTED IN THE ALTERNATIVE]</w:t>
      </w:r>
    </w:p>
    <w:p>
      <w:pPr>
        <w:keepNext/>
        <w:keepLines/>
        <w:spacing w:after="60"/>
        <w:ind w:left="317" w:right="173"/>
      </w:pPr>
      <w:r>
        <w:t>The internal-notice requirement does not apply if Plaintiff proves that she reasonably believed the alleged violation was a criminal offense likely to cause an imminent risk of physical harm to persons or a hazard to public health or safety, or that the alleged violation was a felony. If Plaintiff does not prove either the required prior notice and reasonable opportunity to correct or an applicable exception, your verdict on Count II must be for Creston.</w:t>
      </w:r>
    </w:p>
    <w:p>
      <w:pPr>
        <w:keepLines/>
        <w:spacing w:after="120"/>
        <w:ind w:left="317"/>
      </w:pPr>
      <w:r>
        <w:rPr>
          <w:i/>
          <w:color w:val="4B4B4B"/>
          <w:sz w:val="18"/>
        </w:rPr>
        <w:t>Authority / source: Ohio Rev. Code § 4113.52(A)(1)(b) (statutory exception; exact statutory text subject to Court’s approval); Court’s Jan. 22, 2025 Order, § IV.B.</w:t>
      </w:r>
    </w:p>
    <w:p>
      <w:pPr>
        <w:keepNext/>
        <w:spacing w:before="160" w:after="60"/>
      </w:pPr>
      <w:r>
        <w:rPr>
          <w:b/>
          <w:sz w:val="23"/>
        </w:rPr>
        <w:t>PROPOSED INSTRUCTION 11 — Ohio Whistleblower Causation — Contributing Factor</w:t>
      </w:r>
    </w:p>
    <w:p>
      <w:pPr>
        <w:keepNext/>
        <w:keepLines/>
        <w:spacing w:after="60"/>
        <w:ind w:left="317" w:right="173"/>
      </w:pPr>
      <w:r>
        <w:t>If Plaintiff proves the procedural requirements, she must also prove that the Ohio EPA report was a contributing factor in Creston’s decision to terminate her. A contributing factor is a factor that, alone or together with other factors, tended in any way to affect the outcome of the decision. Plaintiff need not prove that the report was the but-for cause of the termination. This is a different standard from the but-for standard for Count I. Consider all the evidence; timing alone is not an automatic answer either way.</w:t>
      </w:r>
    </w:p>
    <w:p>
      <w:pPr>
        <w:keepLines/>
        <w:spacing w:after="120"/>
        <w:ind w:left="317"/>
      </w:pPr>
      <w:r>
        <w:rPr>
          <w:i/>
          <w:color w:val="4B4B4B"/>
          <w:sz w:val="18"/>
        </w:rPr>
        <w:t>Authority / source: Ohio Rev. Code § 4113.52; Contreras, 73 Ohio St. 3d at 248; Court’s Jan. 22, 2025 Order, §§ IV.B, V.B.</w:t>
      </w:r>
    </w:p>
    <w:p>
      <w:pPr>
        <w:pStyle w:val="Heading1"/>
      </w:pPr>
      <w:r>
        <w:t>IV. Count IV — Breach of Implied Employment Contract</w:t>
      </w:r>
    </w:p>
    <w:p>
      <w:pPr>
        <w:keepNext/>
        <w:spacing w:before="160" w:after="60"/>
      </w:pPr>
      <w:r>
        <w:rPr>
          <w:b/>
          <w:sz w:val="23"/>
        </w:rPr>
        <w:t>PROPOSED INSTRUCTION 12 — At-Will Employment and Alleged Handbook Agreement</w:t>
      </w:r>
    </w:p>
    <w:p>
      <w:pPr>
        <w:keepNext/>
        <w:keepLines/>
        <w:spacing w:after="60"/>
        <w:ind w:left="317" w:right="173"/>
      </w:pPr>
      <w:r>
        <w:t>Ohio employment is generally at will: absent a contract changing that relationship, either the employer or employee may end employment for any lawful reason, with or without cause. Plaintiff claims that the Employee Handbook created a specific implied contractual promise to follow progressive discipline before terminating her. The handbook does not automatically create a contract merely because it contains policies. Plaintiff must prove that, considering the handbook as a whole and the circumstances, both parties mutually understood that Creston had made a sufficiently definite commitment that modified the at-will relationship.</w:t>
        <w:br/>
        <w:br/>
        <w:t>In deciding whether such an agreement existed, consider all the circumstances, including the specific and mandatory wording of the progressive-discipline provision; the sequence of steps it describes; the provision’s context and prominence in relation to the at-will disclaimer; whether the disclaimer clearly communicated that the handbook did not create a contract; Plaintiff’s receipt and review of the handbook; any reliance shown by the evidence; and the handbook’s other language reserving discretion. No single factor is conclusive. Plaintiff’s signed acknowledgment confirms receipt and review; it does not by itself decide whether a separate procedural promise became part of an implied contract.</w:t>
      </w:r>
    </w:p>
    <w:p>
      <w:pPr>
        <w:keepLines/>
        <w:spacing w:after="120"/>
        <w:ind w:left="317"/>
      </w:pPr>
      <w:r>
        <w:rPr>
          <w:i/>
          <w:color w:val="4B4B4B"/>
          <w:sz w:val="18"/>
        </w:rPr>
        <w:t>Authority / source: Mers v. Dispatch Printing Co., 19 Ohio St. 3d 100, 103–05, 483 N.E.2d 150 (1985); Karnes v. Doctors Hosp., 51 Ohio St. 3d 139, 142, 555 N.E.2d 280 (1990); Wing v. Anchor Media, Ltd. of Tex., 59 Ohio St. 3d 108, 111, 570 N.E.2d 1095 (1991); Court’s Jan. 22, 2025 Order, § IV.D.</w:t>
      </w:r>
    </w:p>
    <w:p>
      <w:pPr>
        <w:keepNext/>
        <w:spacing w:before="160" w:after="60"/>
      </w:pPr>
      <w:r>
        <w:rPr>
          <w:b/>
          <w:sz w:val="23"/>
        </w:rPr>
        <w:t>PROPOSED INSTRUCTION 13 — Contract Terms, Application to the RIF, and Breach</w:t>
      </w:r>
    </w:p>
    <w:p>
      <w:pPr>
        <w:keepNext/>
        <w:keepLines/>
        <w:spacing w:after="60"/>
        <w:ind w:left="317" w:right="173"/>
      </w:pPr>
      <w:r>
        <w:t>If Plaintiff proves that an implied contract existed, you must decide what the contract required. The handbook states that employees will be given progressive discipline for performance deficiencies and policy violations, sets out verbal, written, and final written warnings before termination, and contains a gross-misconduct exception. It also states that discipline may be repeated, combined, or skipped depending on the severity of the issue.</w:t>
        <w:br/>
        <w:br/>
        <w:t>You must decide whether the progressive-discipline promise applied to a termination because a position was eliminated in a reduction in force, or instead applied only to a termination based on the employee’s performance or conduct. Consider the words and context of the provision and the circumstances of Plaintiff’s termination. If you find the provision did not apply to a RIF-based position elimination, there was no breach on that basis. If you find it did apply, decide whether Creston failed to follow the contract as you have found it. Plaintiff received no disciplinary warnings; that fact alone does not establish breach unless the contract required warnings in these circumstances.</w:t>
      </w:r>
    </w:p>
    <w:p>
      <w:pPr>
        <w:keepLines/>
        <w:spacing w:after="120"/>
        <w:ind w:left="317"/>
      </w:pPr>
      <w:r>
        <w:rPr>
          <w:i/>
          <w:color w:val="4B4B4B"/>
          <w:sz w:val="18"/>
        </w:rPr>
        <w:t>Authority / source: Mers, 19 Ohio St. 3d at 104–05; Karnes, 51 Ohio St. 3d at 142; Wing, 59 Ohio St. 3d at 111; Court’s Jan. 22, 2025 Order, § IV.D; Joint Ex. 1, pp. 3, 27–28.</w:t>
      </w:r>
    </w:p>
    <w:p>
      <w:pPr>
        <w:keepNext/>
        <w:spacing w:before="160" w:after="60"/>
      </w:pPr>
      <w:r>
        <w:rPr>
          <w:b/>
          <w:sz w:val="23"/>
        </w:rPr>
        <w:t>PROPOSED INSTRUCTION 14 — Elements and Burden on Contract Claim</w:t>
      </w:r>
    </w:p>
    <w:p>
      <w:pPr>
        <w:keepNext/>
        <w:keepLines/>
        <w:spacing w:after="60"/>
        <w:ind w:left="317" w:right="173"/>
      </w:pPr>
      <w:r>
        <w:t>To prevail on Count IV, Plaintiff must prove by a preponderance of the evidence: (1) the parties formed an implied employment contract containing a progressive-discipline commitment; (2) that commitment applied to the circumstances of her termination; (3) Creston failed to perform a required term; and (4) Plaintiff suffered damages caused by that breach. If Plaintiff fails to prove any one of these elements, your verdict on Count IV must be for Creston.</w:t>
      </w:r>
    </w:p>
    <w:p>
      <w:pPr>
        <w:keepLines/>
        <w:spacing w:after="120"/>
        <w:ind w:left="317"/>
      </w:pPr>
      <w:r>
        <w:rPr>
          <w:i/>
          <w:color w:val="4B4B4B"/>
          <w:sz w:val="18"/>
        </w:rPr>
        <w:t>Authority / source: Ohio contract law; Mers, 19 Ohio St. 3d at 104–05; Court’s Jan. 22, 2025 Order, § IV.D.</w:t>
      </w:r>
    </w:p>
    <w:p>
      <w:pPr>
        <w:pStyle w:val="Heading1"/>
      </w:pPr>
      <w:r>
        <w:t>V. Remedies and Damages</w:t>
      </w:r>
    </w:p>
    <w:p>
      <w:pPr>
        <w:keepNext/>
        <w:spacing w:before="160" w:after="60"/>
      </w:pPr>
      <w:r>
        <w:rPr>
          <w:b/>
          <w:sz w:val="23"/>
        </w:rPr>
        <w:t>PROPOSED INSTRUCTION 15 — Damages — General Principles and Separate Claims</w:t>
      </w:r>
    </w:p>
    <w:p>
      <w:pPr>
        <w:keepNext/>
        <w:keepLines/>
        <w:spacing w:after="60"/>
        <w:ind w:left="317" w:right="173"/>
      </w:pPr>
      <w:r>
        <w:t>If you find for Plaintiff on one or more claims, you must determine damages separately for each claim using the particular remedy instruction the Court gives you. Plaintiff must prove that claimed damages were caused by the violation or breach and establish their amount with reasonable certainty. Do not award damages based on speculation. Do not award compensation for the same injury more than once, even if you find for Plaintiff on more than one claim. Your findings on one claim must not determine your findings on another claim.</w:t>
      </w:r>
    </w:p>
    <w:p>
      <w:pPr>
        <w:keepLines/>
        <w:spacing w:after="120"/>
        <w:ind w:left="317"/>
      </w:pPr>
      <w:r>
        <w:rPr>
          <w:i/>
          <w:color w:val="4B4B4B"/>
          <w:sz w:val="18"/>
        </w:rPr>
        <w:t>Authority / source: Sixth Circuit Pattern Jury Instructions (Civil), ch. 5 (damages); 42 U.S.C. § 1981a; Ohio Rev. Code § 4113.52; Ohio contract law. The Court is respectfully requested to identify which equitable remedies it will decide separately.</w:t>
      </w:r>
    </w:p>
    <w:p>
      <w:pPr>
        <w:keepNext/>
        <w:spacing w:before="160" w:after="60"/>
      </w:pPr>
      <w:r>
        <w:rPr>
          <w:b/>
          <w:sz w:val="23"/>
        </w:rPr>
        <w:t>PROPOSED INSTRUCTION 16 — Mitigation of Wage Loss</w:t>
      </w:r>
    </w:p>
    <w:p>
      <w:pPr>
        <w:keepNext/>
        <w:keepLines/>
        <w:spacing w:after="60"/>
        <w:ind w:left="317" w:right="173"/>
      </w:pPr>
      <w:r>
        <w:t>Creston has the burden to prove that Plaintiff failed to use reasonable diligence to mitigate wage loss and to prove the amount of loss that reasonable diligence would have avoided. If Creston proves that Plaintiff unreasonably failed to seek or accept comparable employment, reduce any wage-loss award only by the amount Plaintiff would reasonably have earned. Plaintiff was not required to accept work that was not substantially comparable in kind or character. In deciding whether a particular opportunity was comparable and whether a rejection was reasonable, consider all the circumstances. Deduct interim earnings as directed by the Court.</w:t>
      </w:r>
    </w:p>
    <w:p>
      <w:pPr>
        <w:keepLines/>
        <w:spacing w:after="120"/>
        <w:ind w:left="317"/>
      </w:pPr>
      <w:r>
        <w:rPr>
          <w:i/>
          <w:color w:val="4B4B4B"/>
          <w:sz w:val="18"/>
        </w:rPr>
        <w:t>Authority / source: 42 U.S.C. § 2000e-5(g)(1); Ford Motor Co. v. EEOC, 458 U.S. 219, 231–32 (1982); Sixth Circuit Pattern Jury Instructions (Civil), ch. 5 (adapted).</w:t>
      </w:r>
    </w:p>
    <w:p>
      <w:pPr>
        <w:keepNext/>
        <w:spacing w:before="160" w:after="60"/>
      </w:pPr>
      <w:r>
        <w:rPr>
          <w:b/>
          <w:sz w:val="23"/>
        </w:rPr>
        <w:t>PROPOSED INSTRUCTION 17 — Pre-Existing Emotional Condition</w:t>
      </w:r>
    </w:p>
    <w:p>
      <w:pPr>
        <w:keepNext/>
        <w:keepLines/>
        <w:spacing w:after="60"/>
        <w:ind w:left="317" w:right="173"/>
      </w:pPr>
      <w:r>
        <w:t>If you find that Plaintiff had an emotional or psychological condition before the conduct at issue, she may recover only for any aggravation or worsening of that condition that was caused by an unlawful act you find under these instructions, and not for symptoms or harm that existed independently before that conduct. You must not deny recovery for a proven aggravation merely because Plaintiff was more susceptible to emotional injury than another person might have been.</w:t>
      </w:r>
    </w:p>
    <w:p>
      <w:pPr>
        <w:keepLines/>
        <w:spacing w:after="120"/>
        <w:ind w:left="317"/>
      </w:pPr>
      <w:r>
        <w:rPr>
          <w:i/>
          <w:color w:val="4B4B4B"/>
          <w:sz w:val="18"/>
        </w:rPr>
        <w:t>Authority / source: Sixth Circuit Pattern Jury Instructions (Civil), ch. 5 (pre-existing condition; adapted); Ohio damages law.</w:t>
      </w:r>
    </w:p>
    <w:p>
      <w:pPr>
        <w:keepNext/>
        <w:spacing w:before="160" w:after="60"/>
      </w:pPr>
      <w:r>
        <w:rPr>
          <w:b/>
          <w:sz w:val="23"/>
        </w:rPr>
        <w:t>PROPOSED INSTRUCTION 18 — Title VII Compensatory Damages</w:t>
      </w:r>
    </w:p>
    <w:p>
      <w:pPr>
        <w:keepNext/>
        <w:keepLines/>
        <w:spacing w:after="60"/>
        <w:ind w:left="317" w:right="173"/>
      </w:pPr>
      <w:r>
        <w:t>If you find for Plaintiff on Count I, you may award compensatory damages for proven emotional harm and other compensatory injury caused by the Title VII retaliation. The amount must be fair and reasonable, based on the evidence, and not speculative. Do not include back pay, interest on back pay, reinstatement, front pay, or other equitable relief in this compensatory-damages award; those matters are for the Court. Do not include punitive damages in this award.</w:t>
      </w:r>
    </w:p>
    <w:p>
      <w:pPr>
        <w:keepLines/>
        <w:spacing w:after="120"/>
        <w:ind w:left="317"/>
      </w:pPr>
      <w:r>
        <w:rPr>
          <w:i/>
          <w:color w:val="4B4B4B"/>
          <w:sz w:val="18"/>
        </w:rPr>
        <w:t>Authority / source: 42 U.S.C. § 1981a(b)(2), (b)(3); Sixth Circuit Pattern Jury Instructions (Civil), ch. 5 (adapted).</w:t>
      </w:r>
    </w:p>
    <w:p>
      <w:pPr>
        <w:keepNext/>
        <w:spacing w:before="160" w:after="60"/>
      </w:pPr>
      <w:r>
        <w:rPr>
          <w:b/>
          <w:sz w:val="23"/>
        </w:rPr>
        <w:t>PROPOSED INSTRUCTION 19 — Punitive Damages Under Title VII — Threshold and Kolstad Defense</w:t>
      </w:r>
    </w:p>
    <w:p>
      <w:pPr>
        <w:keepNext/>
        <w:keepLines/>
        <w:spacing w:after="60"/>
        <w:ind w:left="317" w:right="173"/>
      </w:pPr>
      <w:r>
        <w:t>Punitive damages may be considered only on Count I, and only if Plaintiff proves by a preponderance of the evidence that Creston acted with malice or reckless indifference to Plaintiff’s federally protected rights. Reckless indifference means that the relevant decisionmaker knew that the conduct might violate federal law or acted in the face of a perceived risk that it would violate federal law. Negligence, mistake, or an ordinary failure to follow a policy is not enough.</w:t>
        <w:br/>
        <w:br/>
        <w:t>If Plaintiff meets that threshold, you may award punitive damages only if you find they are warranted to punish Creston and deter similar conduct. Creston has the burden to prove its Kolstad defense: that it made good-faith efforts to comply with Title VII and that the conduct that would otherwise support punitive damages was contrary to those efforts. In deciding that issue, you may consider evidence of the anti-retaliation policy, training, and response to complaints. A written policy or training, standing alone, does not automatically establish the defense. This instruction concerns only punitive damages, if any, available under Count I; it does not define remedies under another claim.</w:t>
      </w:r>
    </w:p>
    <w:p>
      <w:pPr>
        <w:keepLines/>
        <w:spacing w:after="120"/>
        <w:ind w:left="317"/>
      </w:pPr>
      <w:r>
        <w:rPr>
          <w:i/>
          <w:color w:val="4B4B4B"/>
          <w:sz w:val="18"/>
        </w:rPr>
        <w:t>Authority / source: 42 U.S.C. § 1981a(b)(1); Kolstad v. Am. Dental Ass’n, 527 U.S. 526, 536–46 (1999); Sixth Circuit Pattern Jury Instructions (Civil), ch. 5 (punitive damages; adapted). This instruction is requested only if the Court finds a sufficient evidentiary basis and permits the defense.</w:t>
      </w:r>
    </w:p>
    <w:p>
      <w:pPr>
        <w:keepNext/>
        <w:spacing w:before="160" w:after="60"/>
      </w:pPr>
      <w:r>
        <w:rPr>
          <w:b/>
          <w:sz w:val="23"/>
        </w:rPr>
        <w:t>PROPOSED INSTRUCTION 20 — Contract Damages</w:t>
      </w:r>
    </w:p>
    <w:p>
      <w:pPr>
        <w:keepNext/>
        <w:keepLines/>
        <w:spacing w:after="60"/>
        <w:ind w:left="317" w:right="173"/>
      </w:pPr>
      <w:r>
        <w:t>If you find for Plaintiff on Count IV, award only those contract damages, if any, that will place her in the position she would have occupied had Creston performed the contractual promise you find. Plaintiff must prove the amount with reasonable certainty, and you may not speculate. The alleged promise concerns progressive-discipline procedures; it is not a promise of employment for a fixed period or a guarantee that Plaintiff would retain her position despite a valid position elimination. You may not award emotional-distress or punitive damages for breach of contract.</w:t>
      </w:r>
    </w:p>
    <w:p>
      <w:pPr>
        <w:keepLines/>
        <w:spacing w:after="120"/>
        <w:ind w:left="317"/>
      </w:pPr>
      <w:r>
        <w:rPr>
          <w:i/>
          <w:color w:val="4B4B4B"/>
          <w:sz w:val="18"/>
        </w:rPr>
        <w:t>Authority / source: Ohio contract law; Mers, 19 Ohio St. 3d at 103–05; Court’s Jan. 22, 2025 Order, § IV.D.</w:t>
      </w:r>
    </w:p>
    <w:p>
      <w:pPr>
        <w:keepNext/>
        <w:spacing w:before="160" w:after="60"/>
      </w:pPr>
      <w:r>
        <w:rPr>
          <w:b/>
          <w:sz w:val="23"/>
        </w:rPr>
        <w:t>PROPOSED INSTRUCTION 21 — After-Acquired Evidence — Liability and Remedial Findings</w:t>
      </w:r>
    </w:p>
    <w:p>
      <w:pPr>
        <w:keepNext/>
        <w:keepLines/>
        <w:spacing w:after="60"/>
        <w:ind w:left="317" w:right="173"/>
      </w:pPr>
      <w:r>
        <w:t>The evidence concerning Plaintiff’s educational credential, if admitted, must not be considered in deciding whether Creston retaliated or breached a contract. It does not provide a complete defense to any claim. If, and only if, the Court asks you to make findings for remedial purposes, decide whether Creston proves by a preponderance of the evidence that: (1) Plaintiff materially misrepresented her educational credential; and (2) Creston in fact would have terminated her on that ground alone had it known of the misrepresentation at the time of the challenged action. Do not decide the legal effect of any such finding or reduce damages yourself; the Court will apply the law governing remedies.</w:t>
      </w:r>
    </w:p>
    <w:p>
      <w:pPr>
        <w:keepLines/>
        <w:spacing w:after="120"/>
        <w:ind w:left="317"/>
      </w:pPr>
      <w:r>
        <w:rPr>
          <w:i/>
          <w:color w:val="4B4B4B"/>
          <w:sz w:val="18"/>
        </w:rPr>
        <w:t>Authority / source: McKennon v. Nashville Banner Publ’g Co., 513 U.S. 352, 360–63 (1995) (after-acquired evidence does not bar liability; may affect remedies); Sixth Circuit authority applying McKennon. Conditional: only if evidence is admitted and the Court submits remedial findings.</w:t>
      </w:r>
    </w:p>
    <w:p>
      <w:pPr>
        <w:pStyle w:val="Heading1"/>
      </w:pPr>
      <w:r>
        <w:t>VI. Submission Notes</w:t>
      </w:r>
    </w:p>
    <w:p>
      <w:pPr>
        <w:spacing w:after="160"/>
      </w:pPr>
      <w:r>
        <w:t>Defendant requests separate special-verdict interrogatories for Counts I, II, and IV, with separate causation findings for the two retaliation claims and a separate finding on each contract question. Defendant does not request a Faragher/Ellerth instruction, a complete-defense instruction based on after-acquired evidence, or an instruction that a handbook disclaimer conclusively defeats Count IV. The conditional Kolstad and after-acquired-evidence instructions should be given only upon the Court’s threshold rulings identified above.</w:t>
      </w:r>
    </w:p>
    <w:p>
      <w:pPr>
        <w:spacing w:before="160"/>
      </w:pPr>
      <w:r>
        <w:t>Respectfully submitted,</w:t>
        <w:br/>
        <w:br/>
        <w:t>KENNERLY, SHAW &amp; BRADDOCK LLP</w:t>
        <w:br/>
        <w:br/>
        <w:t>By: /s/ Diane Braddock</w:t>
        <w:br/>
        <w:t>Diane Braddock (Ohio Bar No. 0067482)</w:t>
        <w:br/>
        <w:t>200 Public Square, Suite 3200</w:t>
        <w:br/>
        <w:t>Cleveland, Ohio 44114</w:t>
        <w:br/>
        <w:t>(216) 555-7800 | dbraddock@ksblaw.com</w:t>
        <w:br/>
        <w:t>Counsel for Defendant Creston Industrial Coatings, Inc.</w:t>
        <w:br/>
        <w:br/>
        <w:t>Dated: August 11, 2025</w:t>
      </w:r>
    </w:p>
    <w:sectPr w:rsidR="00FC693F" w:rsidRPr="0006063C" w:rsidSect="00034616">
      <w:headerReference w:type="default" r:id="rId9"/>
      <w:footerReference w:type="default" r:id="rId10"/>
      <w:pgSz w:w="12240" w:h="15840"/>
      <w:pgMar w:top="1123" w:right="1440" w:bottom="1037" w:left="1440"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A5A5A"/>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Bdr>
        <w:bottom w:val="single" w:sz="4" w:space="3" w:color="AAB4BF"/>
      </w:pBdr>
    </w:pPr>
    <w:r>
      <w:rPr>
        <w:rFonts w:ascii="Times New Roman" w:hAnsi="Times New Roman"/>
        <w:color w:val="5A5A5A"/>
        <w:sz w:val="16"/>
      </w:rPr>
      <w:t>OKAFOR-REYES v. CRESTON  |  No. 1:24-cv-00613-EMH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20"/>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