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KENNERLY, SHAW &amp; BRADDOCK LLP</w:t>
      </w:r>
    </w:p>
    <w:p>
      <w:pPr>
        <w:spacing w:after="120"/>
        <w:jc w:val="center"/>
      </w:pPr>
      <w:r>
        <w:rPr>
          <w:b/>
        </w:rPr>
        <w:t>MEMORANDUM</w:t>
      </w:r>
    </w:p>
    <w:p>
      <w:pPr>
        <w:spacing w:after="120"/>
        <w:jc w:val="center"/>
      </w:pPr>
      <w:r>
        <w:t>PRIVILEGED AND CONFIDENTIAL — ATTORNEY WORK PRODUCT</w:t>
      </w:r>
    </w:p>
    <w:tbl>
      <w:tblPr>
        <w:tblStyle w:val="TableGrid"/>
        <w:tblW w:type="auto" w:w="0"/>
        <w:tblLook w:firstColumn="1" w:firstRow="1" w:lastColumn="0" w:lastRow="0" w:noHBand="0" w:noVBand="1" w:val="04A0"/>
      </w:tblPr>
      <w:tblGrid>
        <w:gridCol w:w="4680"/>
        <w:gridCol w:w="4680"/>
      </w:tblGrid>
      <w:tr>
        <w:tc>
          <w:tcPr>
            <w:tcW w:type="dxa" w:w="1440"/>
          </w:tcPr>
          <w:p>
            <w:r>
              <w:rPr>
                <w:sz w:val="20"/>
              </w:rPr>
            </w:r>
            <w:r>
              <w:rPr>
                <w:sz w:val="20"/>
              </w:rPr>
              <w:t>TO:</w:t>
            </w:r>
          </w:p>
        </w:tc>
        <w:tc>
          <w:tcPr>
            <w:tcW w:type="dxa" w:w="7920"/>
          </w:tcPr>
          <w:p>
            <w:r>
              <w:rPr>
                <w:sz w:val="20"/>
              </w:rPr>
            </w:r>
            <w:r>
              <w:rPr>
                <w:sz w:val="20"/>
              </w:rPr>
              <w:t>Diane Braddock, Esq.</w:t>
            </w:r>
          </w:p>
        </w:tc>
      </w:tr>
      <w:tr>
        <w:tc>
          <w:tcPr>
            <w:tcW w:type="dxa" w:w="1440"/>
          </w:tcPr>
          <w:p>
            <w:r>
              <w:rPr>
                <w:sz w:val="20"/>
              </w:rPr>
            </w:r>
            <w:r>
              <w:rPr>
                <w:sz w:val="20"/>
              </w:rPr>
              <w:t>FROM:</w:t>
            </w:r>
          </w:p>
        </w:tc>
        <w:tc>
          <w:tcPr>
            <w:tcW w:type="dxa" w:w="7920"/>
          </w:tcPr>
          <w:p>
            <w:r>
              <w:rPr>
                <w:sz w:val="20"/>
              </w:rPr>
            </w:r>
            <w:r>
              <w:rPr>
                <w:sz w:val="20"/>
              </w:rPr>
              <w:t>[Associate]</w:t>
            </w:r>
          </w:p>
        </w:tc>
      </w:tr>
      <w:tr>
        <w:tc>
          <w:tcPr>
            <w:tcW w:type="dxa" w:w="1440"/>
          </w:tcPr>
          <w:p>
            <w:r>
              <w:rPr>
                <w:sz w:val="20"/>
              </w:rPr>
            </w:r>
            <w:r>
              <w:rPr>
                <w:sz w:val="20"/>
              </w:rPr>
              <w:t>DATE:</w:t>
            </w:r>
          </w:p>
        </w:tc>
        <w:tc>
          <w:tcPr>
            <w:tcW w:type="dxa" w:w="7920"/>
          </w:tcPr>
          <w:p>
            <w:r>
              <w:rPr>
                <w:sz w:val="20"/>
              </w:rPr>
            </w:r>
            <w:r>
              <w:rPr>
                <w:sz w:val="20"/>
              </w:rPr>
              <w:t>[Date]</w:t>
            </w:r>
          </w:p>
        </w:tc>
      </w:tr>
      <w:tr>
        <w:tc>
          <w:tcPr>
            <w:tcW w:type="dxa" w:w="1440"/>
          </w:tcPr>
          <w:p>
            <w:r>
              <w:rPr>
                <w:sz w:val="20"/>
              </w:rPr>
            </w:r>
            <w:r>
              <w:rPr>
                <w:sz w:val="20"/>
              </w:rPr>
              <w:t>RE:</w:t>
            </w:r>
          </w:p>
        </w:tc>
        <w:tc>
          <w:tcPr>
            <w:tcW w:type="dxa" w:w="7920"/>
          </w:tcPr>
          <w:p>
            <w:r>
              <w:rPr>
                <w:sz w:val="20"/>
              </w:rPr>
            </w:r>
            <w:r>
              <w:rPr>
                <w:i/>
                <w:sz w:val="20"/>
              </w:rPr>
              <w:t>Okafor-Reyes v. Creston Industrial Coatings, Inc.</w:t>
            </w:r>
            <w:r>
              <w:rPr>
                <w:sz w:val="20"/>
              </w:rPr>
              <w:t>, No. 1:24-cv-00613-EMH (N.D. Ohio) — Defendant's Proposed Jury Instructions and Special Verdict Form; Problems in the Pretrial Brief Instructions</w:t>
            </w:r>
          </w:p>
        </w:tc>
      </w:tr>
    </w:tbl>
    <w:p/>
    <w:p>
      <w:pPr>
        <w:pStyle w:val="Heading1"/>
      </w:pPr>
      <w:r>
        <w:t>1. Bottom Line</w:t>
      </w:r>
    </w:p>
    <w:p>
      <w:pPr>
        <w:spacing w:after="120"/>
        <w:jc w:val="both"/>
      </w:pPr>
      <w:r>
        <w:t xml:space="preserve">Attached is a full set of proposed jury instructions (Nos. 1–16) and a proposed special verdict form for Creston. I drafted them from the January 22, 2025 summary judgment order, the Pretrial Brief excerpts, the handbook excerpts, the Felton deposition, and Plaintiff's Exhibit 14. The Order directs us to address three things: (a) the different causation standards for Counts I and II; (b) the </w:t>
      </w:r>
      <w:r>
        <w:rPr>
          <w:i/>
        </w:rPr>
        <w:t>Kolstad</w:t>
      </w:r>
      <w:r>
        <w:t xml:space="preserve"> defense; and (c) the implied-contract analysis under </w:t>
      </w:r>
      <w:r>
        <w:rPr>
          <w:i/>
        </w:rPr>
        <w:t>Mers</w:t>
      </w:r>
      <w:r>
        <w:t>. The draft covers all three and follows the Standing Order's requirement of a special verdict form with separate questions for each claim.</w:t>
      </w:r>
    </w:p>
    <w:p>
      <w:pPr>
        <w:spacing w:after="120"/>
        <w:jc w:val="both"/>
      </w:pPr>
      <w:r>
        <w:rPr>
          <w:b/>
        </w:rPr>
        <w:t>Several instructions proposed in the Pretrial Brief should not go to the Court as drafted.</w:t>
      </w:r>
      <w:r>
        <w:t xml:space="preserve"> Two misstate controlling Supreme Court or Sixth Circuit law. One asks for an instruction the Court has already said it "will not entertain." Another leaves out the statutory requirement that most helps us. Submitting them risks losing credibility with Judge Harwick on the whole charge, and in the Faragher/Ellerth case it raises a candor concern under Ohio Prof. Cond. R. 3.3(a). Here is what I recommend:</w:t>
      </w:r>
    </w:p>
    <w:p>
      <w:pPr>
        <w:pStyle w:val="ListBullet"/>
        <w:spacing w:after="80"/>
      </w:pPr>
      <w:r>
        <w:rPr>
          <w:b/>
        </w:rPr>
        <w:t>Withdraw</w:t>
      </w:r>
      <w:r>
        <w:t xml:space="preserve"> Brief No. 2 (</w:t>
      </w:r>
      <w:r>
        <w:rPr>
          <w:i/>
        </w:rPr>
        <w:t>Faragher/Ellerth</w:t>
      </w:r>
      <w:r>
        <w:t>) entirely.</w:t>
      </w:r>
    </w:p>
    <w:p>
      <w:pPr>
        <w:pStyle w:val="ListBullet"/>
        <w:spacing w:after="80"/>
      </w:pPr>
      <w:r>
        <w:rPr>
          <w:b/>
        </w:rPr>
        <w:t>Replace</w:t>
      </w:r>
      <w:r>
        <w:t xml:space="preserve"> Brief Nos. 3 (after-acquired evidence), 4 (mitigation), 5 (WPA prerequisites), 6A (timing), 7 (contributing factor), 9 (at-will) and 10 (pre-existing condition) with the attached versions.</w:t>
      </w:r>
    </w:p>
    <w:p>
      <w:pPr>
        <w:pStyle w:val="ListBullet"/>
        <w:spacing w:after="80"/>
      </w:pPr>
      <w:r>
        <w:rPr>
          <w:b/>
        </w:rPr>
        <w:t>Keep, but restructure,</w:t>
      </w:r>
      <w:r>
        <w:t xml:space="preserve"> Brief Nos. 6 (but-for causation) and 8 (</w:t>
      </w:r>
      <w:r>
        <w:rPr>
          <w:i/>
        </w:rPr>
        <w:t>Kolstad</w:t>
      </w:r>
      <w:r>
        <w:t>).</w:t>
      </w:r>
    </w:p>
    <w:p>
      <w:pPr>
        <w:pStyle w:val="ListBullet"/>
        <w:spacing w:after="80"/>
      </w:pPr>
      <w:r>
        <w:rPr>
          <w:b/>
        </w:rPr>
        <w:t>Add</w:t>
      </w:r>
      <w:r>
        <w:t xml:space="preserve"> instructions the Brief did not propose: limiting instructions on which protected activity counts for each claim, business judgment/pretext, cat's paw, general damages/no double recovery, back pay, and the verdict form.</w:t>
      </w:r>
    </w:p>
    <w:p>
      <w:pPr>
        <w:spacing w:after="120"/>
        <w:jc w:val="both"/>
      </w:pPr>
      <w:r>
        <w:t>The Brief excerpt is dated August 11, 2025, the same date as the conference and the instruction deadline. If it has not yet been filed, the problem sections should be revised before filing. If it has been filed, I recommend filing the attached as amended instructions that expressly supersede Brief Nos. 2–10. The preliminary statement includes bracketed language for that. We should also tell the Court at the conference that No. 2 is withdrawn.</w:t>
      </w:r>
    </w:p>
    <w:p>
      <w:pPr>
        <w:pStyle w:val="Heading1"/>
      </w:pPr>
      <w:r>
        <w:t>2. Summary of Changes</w:t>
      </w:r>
    </w:p>
    <w:tbl>
      <w:tblPr>
        <w:tblStyle w:val="TableGrid"/>
        <w:tblW w:type="auto" w:w="0"/>
        <w:tblLook w:firstColumn="1" w:firstRow="1" w:lastColumn="0" w:lastRow="0" w:noHBand="0" w:noVBand="1" w:val="04A0"/>
      </w:tblPr>
      <w:tblGrid>
        <w:gridCol w:w="2340"/>
        <w:gridCol w:w="2340"/>
        <w:gridCol w:w="2340"/>
        <w:gridCol w:w="2340"/>
      </w:tblGrid>
      <w:tr>
        <w:tc>
          <w:tcPr>
            <w:tcW w:type="dxa" w:w="1728"/>
          </w:tcPr>
          <w:p>
            <w:r>
              <w:rPr>
                <w:b/>
                <w:sz w:val="20"/>
              </w:rPr>
            </w:r>
            <w:r>
              <w:rPr>
                <w:b/>
                <w:sz w:val="20"/>
              </w:rPr>
              <w:t>Brief No.</w:t>
            </w:r>
          </w:p>
        </w:tc>
        <w:tc>
          <w:tcPr>
            <w:tcW w:type="dxa" w:w="3312"/>
          </w:tcPr>
          <w:p>
            <w:r>
              <w:rPr>
                <w:b/>
                <w:sz w:val="20"/>
              </w:rPr>
            </w:r>
            <w:r>
              <w:rPr>
                <w:b/>
                <w:sz w:val="20"/>
              </w:rPr>
              <w:t>Issue</w:t>
            </w:r>
          </w:p>
        </w:tc>
        <w:tc>
          <w:tcPr>
            <w:tcW w:type="dxa" w:w="3312"/>
          </w:tcPr>
          <w:p>
            <w:r>
              <w:rPr>
                <w:b/>
                <w:sz w:val="20"/>
              </w:rPr>
            </w:r>
            <w:r>
              <w:rPr>
                <w:b/>
                <w:sz w:val="20"/>
              </w:rPr>
              <w:t>Recommendation</w:t>
            </w:r>
          </w:p>
        </w:tc>
        <w:tc>
          <w:tcPr>
            <w:tcW w:type="dxa" w:w="1008"/>
          </w:tcPr>
          <w:p>
            <w:r>
              <w:rPr>
                <w:b/>
                <w:sz w:val="20"/>
              </w:rPr>
            </w:r>
            <w:r>
              <w:rPr>
                <w:b/>
                <w:sz w:val="20"/>
              </w:rPr>
              <w:t>New No.</w:t>
            </w:r>
          </w:p>
        </w:tc>
      </w:tr>
      <w:tr>
        <w:tc>
          <w:tcPr>
            <w:tcW w:type="dxa" w:w="1728"/>
          </w:tcPr>
          <w:p>
            <w:r>
              <w:rPr>
                <w:sz w:val="20"/>
              </w:rPr>
            </w:r>
            <w:r>
              <w:rPr>
                <w:sz w:val="20"/>
              </w:rPr>
              <w:t>2 — Faragher/Ellerth</w:t>
            </w:r>
          </w:p>
        </w:tc>
        <w:tc>
          <w:tcPr>
            <w:tcW w:type="dxa" w:w="3312"/>
          </w:tcPr>
          <w:p>
            <w:r>
              <w:rPr>
                <w:sz w:val="20"/>
              </w:rPr>
            </w:r>
            <w:r>
              <w:rPr>
                <w:sz w:val="20"/>
              </w:rPr>
              <w:t>The Order (§ V.A) says the defense "has no application" to retaliation and that the Court "will not entertain" the instruction. The Brief describes the Order as having "left the door open."</w:t>
            </w:r>
          </w:p>
        </w:tc>
        <w:tc>
          <w:tcPr>
            <w:tcW w:type="dxa" w:w="3312"/>
          </w:tcPr>
          <w:p>
            <w:r>
              <w:rPr>
                <w:sz w:val="20"/>
              </w:rPr>
            </w:r>
            <w:r>
              <w:rPr>
                <w:sz w:val="20"/>
              </w:rPr>
              <w:t>Withdraw. Move the policy evidence to the Kolstad instruction.</w:t>
            </w:r>
          </w:p>
        </w:tc>
        <w:tc>
          <w:tcPr>
            <w:tcW w:type="dxa" w:w="1008"/>
          </w:tcPr>
          <w:p>
            <w:r>
              <w:rPr>
                <w:sz w:val="20"/>
              </w:rPr>
            </w:r>
            <w:r>
              <w:rPr>
                <w:sz w:val="20"/>
              </w:rPr>
              <w:t>—</w:t>
            </w:r>
          </w:p>
        </w:tc>
      </w:tr>
      <w:tr>
        <w:tc>
          <w:tcPr>
            <w:tcW w:type="dxa" w:w="1728"/>
          </w:tcPr>
          <w:p>
            <w:r>
              <w:rPr>
                <w:sz w:val="20"/>
              </w:rPr>
            </w:r>
            <w:r>
              <w:rPr>
                <w:sz w:val="20"/>
              </w:rPr>
              <w:t>3 — After-acquired evidence</w:t>
            </w:r>
          </w:p>
        </w:tc>
        <w:tc>
          <w:tcPr>
            <w:tcW w:type="dxa" w:w="3312"/>
          </w:tcPr>
          <w:p>
            <w:r>
              <w:rPr>
                <w:sz w:val="20"/>
              </w:rPr>
            </w:r>
            <w:r>
              <w:rPr>
                <w:sz w:val="20"/>
              </w:rPr>
              <w:t xml:space="preserve">Calls it a "complete defense to all claims." </w:t>
            </w:r>
            <w:r>
              <w:rPr>
                <w:i/>
                <w:sz w:val="20"/>
              </w:rPr>
              <w:t>McKennon</w:t>
            </w:r>
            <w:r>
              <w:rPr>
                <w:sz w:val="20"/>
              </w:rPr>
              <w:t xml:space="preserve"> holds it is not a bar to liability and limits only remedies. The Brief also uses the wrong test (effect on hiring).</w:t>
            </w:r>
          </w:p>
        </w:tc>
        <w:tc>
          <w:tcPr>
            <w:tcW w:type="dxa" w:w="3312"/>
          </w:tcPr>
          <w:p>
            <w:r>
              <w:rPr>
                <w:sz w:val="20"/>
              </w:rPr>
            </w:r>
            <w:r>
              <w:rPr>
                <w:sz w:val="20"/>
              </w:rPr>
              <w:t>Replace with a McKennon remedy-limitation instruction: employer's burden, "would in fact have terminated" test, back-pay cutoff at the discovery date.</w:t>
            </w:r>
          </w:p>
        </w:tc>
        <w:tc>
          <w:tcPr>
            <w:tcW w:type="dxa" w:w="1008"/>
          </w:tcPr>
          <w:p>
            <w:r>
              <w:rPr>
                <w:sz w:val="20"/>
              </w:rPr>
            </w:r>
            <w:r>
              <w:rPr>
                <w:sz w:val="20"/>
              </w:rPr>
              <w:t>14</w:t>
            </w:r>
          </w:p>
        </w:tc>
      </w:tr>
      <w:tr>
        <w:tc>
          <w:tcPr>
            <w:tcW w:type="dxa" w:w="1728"/>
          </w:tcPr>
          <w:p>
            <w:r>
              <w:rPr>
                <w:sz w:val="20"/>
              </w:rPr>
            </w:r>
            <w:r>
              <w:rPr>
                <w:sz w:val="20"/>
              </w:rPr>
              <w:t>4 — Mitigation</w:t>
            </w:r>
          </w:p>
        </w:tc>
        <w:tc>
          <w:tcPr>
            <w:tcW w:type="dxa" w:w="3312"/>
          </w:tcPr>
          <w:p>
            <w:r>
              <w:rPr>
                <w:sz w:val="20"/>
              </w:rPr>
            </w:r>
            <w:r>
              <w:rPr>
                <w:sz w:val="20"/>
              </w:rPr>
              <w:t>Puts the burden on Plaintiff. Under Sixth Circuit law (</w:t>
            </w:r>
            <w:r>
              <w:rPr>
                <w:i/>
                <w:sz w:val="20"/>
              </w:rPr>
              <w:t>Rasimas</w:t>
            </w:r>
            <w:r>
              <w:rPr>
                <w:sz w:val="20"/>
              </w:rPr>
              <w:t>) the burden is on the employer.</w:t>
            </w:r>
          </w:p>
        </w:tc>
        <w:tc>
          <w:tcPr>
            <w:tcW w:type="dxa" w:w="3312"/>
          </w:tcPr>
          <w:p>
            <w:r>
              <w:rPr>
                <w:sz w:val="20"/>
              </w:rPr>
            </w:r>
            <w:r>
              <w:rPr>
                <w:sz w:val="20"/>
              </w:rPr>
              <w:t>Replace. Defendant's burden, with two routes: no diligence, or unreasonable refusal of the Archer-Lawson offer.</w:t>
            </w:r>
          </w:p>
        </w:tc>
        <w:tc>
          <w:tcPr>
            <w:tcW w:type="dxa" w:w="1008"/>
          </w:tcPr>
          <w:p>
            <w:r>
              <w:rPr>
                <w:sz w:val="20"/>
              </w:rPr>
            </w:r>
            <w:r>
              <w:rPr>
                <w:sz w:val="20"/>
              </w:rPr>
              <w:t>13</w:t>
            </w:r>
          </w:p>
        </w:tc>
      </w:tr>
      <w:tr>
        <w:tc>
          <w:tcPr>
            <w:tcW w:type="dxa" w:w="1728"/>
          </w:tcPr>
          <w:p>
            <w:r>
              <w:rPr>
                <w:sz w:val="20"/>
              </w:rPr>
            </w:r>
            <w:r>
              <w:rPr>
                <w:sz w:val="20"/>
              </w:rPr>
              <w:t>5 — WPA prerequisites</w:t>
            </w:r>
          </w:p>
        </w:tc>
        <w:tc>
          <w:tcPr>
            <w:tcW w:type="dxa" w:w="3312"/>
          </w:tcPr>
          <w:p>
            <w:r>
              <w:rPr>
                <w:sz w:val="20"/>
              </w:rPr>
            </w:r>
            <w:r>
              <w:rPr>
                <w:sz w:val="20"/>
              </w:rPr>
              <w:t>Leaves out the statutory written-report requirement and the 24-hour period. Argues "nine days" was not reasonable, which cuts against the statute. Singles out Felton's testimony.</w:t>
            </w:r>
          </w:p>
        </w:tc>
        <w:tc>
          <w:tcPr>
            <w:tcW w:type="dxa" w:w="3312"/>
          </w:tcPr>
          <w:p>
            <w:r>
              <w:rPr>
                <w:sz w:val="20"/>
              </w:rPr>
            </w:r>
            <w:r>
              <w:rPr>
                <w:sz w:val="20"/>
              </w:rPr>
              <w:t>Replace with the statutory text of R.C. 4113.52(A)(1)(a). Rely on the general credibility charge.</w:t>
            </w:r>
          </w:p>
        </w:tc>
        <w:tc>
          <w:tcPr>
            <w:tcW w:type="dxa" w:w="1008"/>
          </w:tcPr>
          <w:p>
            <w:r>
              <w:rPr>
                <w:sz w:val="20"/>
              </w:rPr>
            </w:r>
            <w:r>
              <w:rPr>
                <w:sz w:val="20"/>
              </w:rPr>
              <w:t>8</w:t>
            </w:r>
          </w:p>
        </w:tc>
      </w:tr>
      <w:tr>
        <w:tc>
          <w:tcPr>
            <w:tcW w:type="dxa" w:w="1728"/>
          </w:tcPr>
          <w:p>
            <w:r>
              <w:rPr>
                <w:sz w:val="20"/>
              </w:rPr>
            </w:r>
            <w:r>
              <w:rPr>
                <w:sz w:val="20"/>
              </w:rPr>
              <w:t>6 — But-for</w:t>
            </w:r>
          </w:p>
        </w:tc>
        <w:tc>
          <w:tcPr>
            <w:tcW w:type="dxa" w:w="3312"/>
          </w:tcPr>
          <w:p>
            <w:r>
              <w:rPr>
                <w:sz w:val="20"/>
              </w:rPr>
            </w:r>
            <w:r>
              <w:rPr>
                <w:sz w:val="20"/>
              </w:rPr>
              <w:t>Largely correct.</w:t>
            </w:r>
          </w:p>
        </w:tc>
        <w:tc>
          <w:tcPr>
            <w:tcW w:type="dxa" w:w="3312"/>
          </w:tcPr>
          <w:p>
            <w:r>
              <w:rPr>
                <w:sz w:val="20"/>
              </w:rPr>
            </w:r>
            <w:r>
              <w:rPr>
                <w:sz w:val="20"/>
              </w:rPr>
              <w:t>Keep. Add the Bostock "need not be sole cause" sentence and the contrast with the WPA standard.</w:t>
            </w:r>
          </w:p>
        </w:tc>
        <w:tc>
          <w:tcPr>
            <w:tcW w:type="dxa" w:w="1008"/>
          </w:tcPr>
          <w:p>
            <w:r>
              <w:rPr>
                <w:sz w:val="20"/>
              </w:rPr>
            </w:r>
            <w:r>
              <w:rPr>
                <w:sz w:val="20"/>
              </w:rPr>
              <w:t>3</w:t>
            </w:r>
          </w:p>
        </w:tc>
      </w:tr>
      <w:tr>
        <w:tc>
          <w:tcPr>
            <w:tcW w:type="dxa" w:w="1728"/>
          </w:tcPr>
          <w:p>
            <w:r>
              <w:rPr>
                <w:sz w:val="20"/>
              </w:rPr>
            </w:r>
            <w:r>
              <w:rPr>
                <w:sz w:val="20"/>
              </w:rPr>
              <w:t>6A — Timing</w:t>
            </w:r>
          </w:p>
        </w:tc>
        <w:tc>
          <w:tcPr>
            <w:tcW w:type="dxa" w:w="3312"/>
          </w:tcPr>
          <w:p>
            <w:r>
              <w:rPr>
                <w:sz w:val="20"/>
              </w:rPr>
            </w:r>
            <w:r>
              <w:rPr>
                <w:sz w:val="20"/>
              </w:rPr>
              <w:t xml:space="preserve">Relies on </w:t>
            </w:r>
            <w:r>
              <w:rPr>
                <w:i/>
                <w:sz w:val="20"/>
              </w:rPr>
              <w:t>Mickey</w:t>
            </w:r>
            <w:r>
              <w:rPr>
                <w:sz w:val="20"/>
              </w:rPr>
              <w:t>, which does not say what the Brief says. One-sided.</w:t>
            </w:r>
          </w:p>
        </w:tc>
        <w:tc>
          <w:tcPr>
            <w:tcW w:type="dxa" w:w="3312"/>
          </w:tcPr>
          <w:p>
            <w:r>
              <w:rPr>
                <w:sz w:val="20"/>
              </w:rPr>
            </w:r>
            <w:r>
              <w:rPr>
                <w:sz w:val="20"/>
              </w:rPr>
              <w:t>Replace with a balanced version.</w:t>
            </w:r>
          </w:p>
        </w:tc>
        <w:tc>
          <w:tcPr>
            <w:tcW w:type="dxa" w:w="1008"/>
          </w:tcPr>
          <w:p>
            <w:r>
              <w:rPr>
                <w:sz w:val="20"/>
              </w:rPr>
            </w:r>
            <w:r>
              <w:rPr>
                <w:sz w:val="20"/>
              </w:rPr>
              <w:t>4</w:t>
            </w:r>
          </w:p>
        </w:tc>
      </w:tr>
      <w:tr>
        <w:tc>
          <w:tcPr>
            <w:tcW w:type="dxa" w:w="1728"/>
          </w:tcPr>
          <w:p>
            <w:r>
              <w:rPr>
                <w:sz w:val="20"/>
              </w:rPr>
            </w:r>
            <w:r>
              <w:rPr>
                <w:sz w:val="20"/>
              </w:rPr>
              <w:t>7 — Contributing factor</w:t>
            </w:r>
          </w:p>
        </w:tc>
        <w:tc>
          <w:tcPr>
            <w:tcW w:type="dxa" w:w="3312"/>
          </w:tcPr>
          <w:p>
            <w:r>
              <w:rPr>
                <w:sz w:val="20"/>
              </w:rPr>
            </w:r>
            <w:r>
              <w:rPr>
                <w:sz w:val="20"/>
              </w:rPr>
              <w:t>Uses the broadest, most plaintiff-friendly definition ("tends to affect in any way").</w:t>
            </w:r>
          </w:p>
        </w:tc>
        <w:tc>
          <w:tcPr>
            <w:tcW w:type="dxa" w:w="3312"/>
          </w:tcPr>
          <w:p>
            <w:r>
              <w:rPr>
                <w:sz w:val="20"/>
              </w:rPr>
            </w:r>
            <w:r>
              <w:rPr>
                <w:sz w:val="20"/>
              </w:rPr>
              <w:t>Replace with an "actually played a part" definition. Preserve the objection to the standard.</w:t>
            </w:r>
          </w:p>
        </w:tc>
        <w:tc>
          <w:tcPr>
            <w:tcW w:type="dxa" w:w="1008"/>
          </w:tcPr>
          <w:p>
            <w:r>
              <w:rPr>
                <w:sz w:val="20"/>
              </w:rPr>
            </w:r>
            <w:r>
              <w:rPr>
                <w:sz w:val="20"/>
              </w:rPr>
              <w:t>9</w:t>
            </w:r>
          </w:p>
        </w:tc>
      </w:tr>
      <w:tr>
        <w:tc>
          <w:tcPr>
            <w:tcW w:type="dxa" w:w="1728"/>
          </w:tcPr>
          <w:p>
            <w:r>
              <w:rPr>
                <w:sz w:val="20"/>
              </w:rPr>
            </w:r>
            <w:r>
              <w:rPr>
                <w:sz w:val="20"/>
              </w:rPr>
              <w:t>8 — Kolstad</w:t>
            </w:r>
          </w:p>
        </w:tc>
        <w:tc>
          <w:tcPr>
            <w:tcW w:type="dxa" w:w="3312"/>
          </w:tcPr>
          <w:p>
            <w:r>
              <w:rPr>
                <w:sz w:val="20"/>
              </w:rPr>
            </w:r>
            <w:r>
              <w:rPr>
                <w:sz w:val="20"/>
              </w:rPr>
              <w:t>Leaves out Plaintiff's threshold burden, the managerial-agent requirement, and the implementation requirement.</w:t>
            </w:r>
          </w:p>
        </w:tc>
        <w:tc>
          <w:tcPr>
            <w:tcW w:type="dxa" w:w="3312"/>
          </w:tcPr>
          <w:p>
            <w:r>
              <w:rPr>
                <w:sz w:val="20"/>
              </w:rPr>
            </w:r>
            <w:r>
              <w:rPr>
                <w:sz w:val="20"/>
              </w:rPr>
              <w:t>Restructure.</w:t>
            </w:r>
          </w:p>
        </w:tc>
        <w:tc>
          <w:tcPr>
            <w:tcW w:type="dxa" w:w="1008"/>
          </w:tcPr>
          <w:p>
            <w:r>
              <w:rPr>
                <w:sz w:val="20"/>
              </w:rPr>
            </w:r>
            <w:r>
              <w:rPr>
                <w:sz w:val="20"/>
              </w:rPr>
              <w:t>16</w:t>
            </w:r>
          </w:p>
        </w:tc>
      </w:tr>
      <w:tr>
        <w:tc>
          <w:tcPr>
            <w:tcW w:type="dxa" w:w="1728"/>
          </w:tcPr>
          <w:p>
            <w:r>
              <w:rPr>
                <w:sz w:val="20"/>
              </w:rPr>
            </w:r>
            <w:r>
              <w:rPr>
                <w:sz w:val="20"/>
              </w:rPr>
              <w:t>9 — At-will disclaimer</w:t>
            </w:r>
          </w:p>
        </w:tc>
        <w:tc>
          <w:tcPr>
            <w:tcW w:type="dxa" w:w="3312"/>
          </w:tcPr>
          <w:p>
            <w:r>
              <w:rPr>
                <w:sz w:val="20"/>
              </w:rPr>
            </w:r>
            <w:r>
              <w:rPr>
                <w:sz w:val="20"/>
              </w:rPr>
              <w:t>Directs a defense verdict if the disclaimer is clear. This conflicts with the multi-factor jury question in Order § IV.D.</w:t>
            </w:r>
          </w:p>
        </w:tc>
        <w:tc>
          <w:tcPr>
            <w:tcW w:type="dxa" w:w="3312"/>
          </w:tcPr>
          <w:p>
            <w:r>
              <w:rPr>
                <w:sz w:val="20"/>
              </w:rPr>
            </w:r>
            <w:r>
              <w:rPr>
                <w:sz w:val="20"/>
              </w:rPr>
              <w:t>Replace with the Order's factors plus the Handbook's discretion and reservation language and a separate scope (RIF) element.</w:t>
            </w:r>
          </w:p>
        </w:tc>
        <w:tc>
          <w:tcPr>
            <w:tcW w:type="dxa" w:w="1008"/>
          </w:tcPr>
          <w:p>
            <w:r>
              <w:rPr>
                <w:sz w:val="20"/>
              </w:rPr>
            </w:r>
            <w:r>
              <w:rPr>
                <w:sz w:val="20"/>
              </w:rPr>
              <w:t>10</w:t>
            </w:r>
          </w:p>
        </w:tc>
      </w:tr>
      <w:tr>
        <w:tc>
          <w:tcPr>
            <w:tcW w:type="dxa" w:w="1728"/>
          </w:tcPr>
          <w:p>
            <w:r>
              <w:rPr>
                <w:sz w:val="20"/>
              </w:rPr>
            </w:r>
            <w:r>
              <w:rPr>
                <w:sz w:val="20"/>
              </w:rPr>
              <w:t>10 — Pre-existing condition</w:t>
            </w:r>
          </w:p>
        </w:tc>
        <w:tc>
          <w:tcPr>
            <w:tcW w:type="dxa" w:w="3312"/>
          </w:tcPr>
          <w:p>
            <w:r>
              <w:rPr>
                <w:sz w:val="20"/>
              </w:rPr>
            </w:r>
            <w:r>
              <w:rPr>
                <w:sz w:val="20"/>
              </w:rPr>
              <w:t>Rejects any eggshell-plaintiff language. That position is unlikely to prevail.</w:t>
            </w:r>
          </w:p>
        </w:tc>
        <w:tc>
          <w:tcPr>
            <w:tcW w:type="dxa" w:w="3312"/>
          </w:tcPr>
          <w:p>
            <w:r>
              <w:rPr>
                <w:sz w:val="20"/>
              </w:rPr>
            </w:r>
            <w:r>
              <w:rPr>
                <w:sz w:val="20"/>
              </w:rPr>
              <w:t>Replace with a balanced aggravation instruction.</w:t>
            </w:r>
          </w:p>
        </w:tc>
        <w:tc>
          <w:tcPr>
            <w:tcW w:type="dxa" w:w="1008"/>
          </w:tcPr>
          <w:p>
            <w:r>
              <w:rPr>
                <w:sz w:val="20"/>
              </w:rPr>
            </w:r>
            <w:r>
              <w:rPr>
                <w:sz w:val="20"/>
              </w:rPr>
              <w:t>15</w:t>
            </w:r>
          </w:p>
        </w:tc>
      </w:tr>
      <w:tr>
        <w:tc>
          <w:tcPr>
            <w:tcW w:type="dxa" w:w="1728"/>
          </w:tcPr>
          <w:p>
            <w:r>
              <w:rPr>
                <w:sz w:val="20"/>
              </w:rPr>
            </w:r>
            <w:r>
              <w:rPr>
                <w:sz w:val="20"/>
              </w:rPr>
              <w:t>— (new)</w:t>
            </w:r>
          </w:p>
        </w:tc>
        <w:tc>
          <w:tcPr>
            <w:tcW w:type="dxa" w:w="3312"/>
          </w:tcPr>
          <w:p>
            <w:r>
              <w:rPr>
                <w:sz w:val="20"/>
              </w:rPr>
            </w:r>
            <w:r>
              <w:rPr>
                <w:sz w:val="20"/>
              </w:rPr>
              <w:t>No instructions limiting protected activity to the correct claim.</w:t>
            </w:r>
          </w:p>
        </w:tc>
        <w:tc>
          <w:tcPr>
            <w:tcW w:type="dxa" w:w="3312"/>
          </w:tcPr>
          <w:p>
            <w:r>
              <w:rPr>
                <w:sz w:val="20"/>
              </w:rPr>
            </w:r>
            <w:r>
              <w:rPr>
                <w:sz w:val="20"/>
              </w:rPr>
              <w:t>Add limiting paragraphs.</w:t>
            </w:r>
          </w:p>
        </w:tc>
        <w:tc>
          <w:tcPr>
            <w:tcW w:type="dxa" w:w="1008"/>
          </w:tcPr>
          <w:p>
            <w:r>
              <w:rPr>
                <w:sz w:val="20"/>
              </w:rPr>
            </w:r>
            <w:r>
              <w:rPr>
                <w:sz w:val="20"/>
              </w:rPr>
              <w:t>2, 7</w:t>
            </w:r>
          </w:p>
        </w:tc>
      </w:tr>
      <w:tr>
        <w:tc>
          <w:tcPr>
            <w:tcW w:type="dxa" w:w="1728"/>
          </w:tcPr>
          <w:p>
            <w:r>
              <w:rPr>
                <w:sz w:val="20"/>
              </w:rPr>
            </w:r>
            <w:r>
              <w:rPr>
                <w:sz w:val="20"/>
              </w:rPr>
              <w:t>— (new)</w:t>
            </w:r>
          </w:p>
        </w:tc>
        <w:tc>
          <w:tcPr>
            <w:tcW w:type="dxa" w:w="3312"/>
          </w:tcPr>
          <w:p>
            <w:r>
              <w:rPr>
                <w:sz w:val="20"/>
              </w:rPr>
            </w:r>
            <w:r>
              <w:rPr>
                <w:sz w:val="20"/>
              </w:rPr>
              <w:t>No business-judgment, cat's-paw, general damages, or back-pay instructions. No verdict form.</w:t>
            </w:r>
          </w:p>
        </w:tc>
        <w:tc>
          <w:tcPr>
            <w:tcW w:type="dxa" w:w="3312"/>
          </w:tcPr>
          <w:p>
            <w:r>
              <w:rPr>
                <w:sz w:val="20"/>
              </w:rPr>
            </w:r>
            <w:r>
              <w:rPr>
                <w:sz w:val="20"/>
              </w:rPr>
              <w:t>Add.</w:t>
            </w:r>
          </w:p>
        </w:tc>
        <w:tc>
          <w:tcPr>
            <w:tcW w:type="dxa" w:w="1008"/>
          </w:tcPr>
          <w:p>
            <w:r>
              <w:rPr>
                <w:sz w:val="20"/>
              </w:rPr>
            </w:r>
            <w:r>
              <w:rPr>
                <w:sz w:val="20"/>
              </w:rPr>
              <w:t>1, 5, 6, 11, 12, form</w:t>
            </w:r>
          </w:p>
        </w:tc>
      </w:tr>
    </w:tbl>
    <w:p/>
    <w:p>
      <w:pPr>
        <w:pStyle w:val="Heading1"/>
      </w:pPr>
      <w:r>
        <w:t>3. Principal Issues</w:t>
      </w:r>
    </w:p>
    <w:p>
      <w:pPr>
        <w:pStyle w:val="Heading2"/>
      </w:pPr>
      <w:r>
        <w:t>3.1 Faragher/Ellerth (Brief § II) — withdraw</w:t>
      </w:r>
    </w:p>
    <w:p>
      <w:pPr>
        <w:spacing w:after="120"/>
        <w:jc w:val="both"/>
      </w:pPr>
      <w:r>
        <w:t>The Order addresses this defense twice. Section IV.A calls it "inapposite to the retaliation claim." Section V.A, written "[t]o avoid any confusion at trial," states that it "has no application to the Title VII retaliation claim" and that "[t]he Court will not entertain a Faragher/Ellerth jury instruction in connection with the retaliation claim." The Brief quotes only the first passage and says the Court "left the door open." The Order does not support that reading.</w:t>
      </w:r>
    </w:p>
    <w:p>
      <w:pPr>
        <w:spacing w:after="120"/>
        <w:jc w:val="both"/>
      </w:pPr>
      <w:r>
        <w:t xml:space="preserve">The defense also does not fit on the merits. It applies to supervisor harassment where no tangible employment action was taken, and a termination is a tangible employment action. Pressing it is a candor problem and will color how the Court reads the rest of our submissions. The same policy evidence (Handbook §4.5, training, reporting channels) is properly presented under </w:t>
      </w:r>
      <w:r>
        <w:rPr>
          <w:i/>
        </w:rPr>
        <w:t>Kolstad</w:t>
      </w:r>
      <w:r>
        <w:t xml:space="preserve"> (No. 16), which the Order expressly invited.</w:t>
      </w:r>
    </w:p>
    <w:p>
      <w:pPr>
        <w:pStyle w:val="Heading2"/>
      </w:pPr>
      <w:r>
        <w:t>3.2 After-acquired evidence (Brief § III) — not a complete defense</w:t>
      </w:r>
    </w:p>
    <w:p>
      <w:pPr>
        <w:spacing w:after="120"/>
        <w:jc w:val="both"/>
      </w:pPr>
      <w:r>
        <w:rPr>
          <w:i/>
        </w:rPr>
        <w:t>McKennon v. Nashville Banner</w:t>
      </w:r>
      <w:r>
        <w:t xml:space="preserve">, 513 U.S. 352 (1995), holds that after-acquired evidence of wrongdoing does </w:t>
      </w:r>
      <w:r>
        <w:rPr>
          <w:b/>
        </w:rPr>
        <w:t>not</w:t>
      </w:r>
      <w:r>
        <w:t xml:space="preserve"> bar liability. If the employer proves the wrongdoing "was of such severity that the employee in fact would have been terminated on those grounds alone if the employer had known of it," then (i) reinstatement and front pay are unavailable, and (ii) back pay ordinarily runs from discharge to the date the employer discovered the information. The Brief cites </w:t>
      </w:r>
      <w:r>
        <w:rPr>
          <w:i/>
        </w:rPr>
        <w:t>McKennon</w:t>
      </w:r>
      <w:r>
        <w:t xml:space="preserve"> for the opposite rule. Plaintiff will point that out, and the Court will reject the instruction.</w:t>
      </w:r>
    </w:p>
    <w:p>
      <w:pPr>
        <w:spacing w:after="120"/>
        <w:jc w:val="both"/>
      </w:pPr>
      <w:r>
        <w:t>Problems to fix in how we present this:</w:t>
      </w:r>
    </w:p>
    <w:p>
      <w:pPr>
        <w:pStyle w:val="ListBullet"/>
        <w:spacing w:after="80"/>
      </w:pPr>
      <w:r>
        <w:rPr>
          <w:b/>
        </w:rPr>
        <w:t>Wrong test.</w:t>
      </w:r>
      <w:r>
        <w:t xml:space="preserve"> Oshiro's anticipated testimony that the MBA was "a significant factor" in hiring and that he "would have recommended against hiring her" is beside the point. We need testimony that Creston </w:t>
      </w:r>
      <w:r>
        <w:rPr>
          <w:i/>
        </w:rPr>
        <w:t>would have terminated</w:t>
      </w:r>
      <w:r>
        <w:t xml:space="preserve"> her on discovery. Helpful support: Handbook p. 28 lists "[f]alsification of ... employment applications" as gross misconduct warranting immediate termination. We should find comparators who were actually terminated for application falsification. Also confirm that Oshiro was in his role in 2016.</w:t>
      </w:r>
    </w:p>
    <w:p>
      <w:pPr>
        <w:pStyle w:val="ListBullet"/>
        <w:spacing w:after="80"/>
      </w:pPr>
      <w:r>
        <w:rPr>
          <w:b/>
        </w:rPr>
        <w:t>Factual error.</w:t>
      </w:r>
      <w:r>
        <w:t xml:space="preserve"> The Brief says Plaintiff applied for and was hired into the Senior Account Manager position. The Order (§ II.A) says she was hired March 14, 2016 as an </w:t>
      </w:r>
      <w:r>
        <w:rPr>
          <w:i/>
        </w:rPr>
        <w:t>Account Manager</w:t>
      </w:r>
      <w:r>
        <w:t xml:space="preserve"> and promoted in 2019. Under the hiring policy described in the Brief, a bachelor's degree was required and the MBA only "preferred," so she met the minimum qualifications. That weakens a materiality-to-hiring theory and is another reason to argue the termination test.</w:t>
      </w:r>
    </w:p>
    <w:p>
      <w:pPr>
        <w:pStyle w:val="ListBullet"/>
        <w:spacing w:after="80"/>
      </w:pPr>
      <w:r>
        <w:rPr>
          <w:b/>
        </w:rPr>
        <w:t>Value.</w:t>
      </w:r>
      <w:r>
        <w:t xml:space="preserve"> The defense still matters. If we can establish a discovery date during 2024 discovery, it could cut off a large part of the back pay claim and remove the $210,000 front-pay claim. We need the exact discovery date (e.g., the date of Plaintiff's deposition or the date the transcript was received).</w:t>
      </w:r>
    </w:p>
    <w:p>
      <w:pPr>
        <w:pStyle w:val="ListBullet"/>
        <w:spacing w:after="80"/>
      </w:pPr>
      <w:r>
        <w:rPr>
          <w:b/>
        </w:rPr>
        <w:t>Pleading.</w:t>
      </w:r>
      <w:r>
        <w:t xml:space="preserve"> Confirm the defense is in the Answer or was timely added (Rule 8(c)). If not, consider moving to amend now.</w:t>
      </w:r>
    </w:p>
    <w:p>
      <w:pPr>
        <w:pStyle w:val="ListBullet"/>
        <w:spacing w:after="80"/>
      </w:pPr>
      <w:r>
        <w:rPr>
          <w:b/>
        </w:rPr>
        <w:t>State-law claims.</w:t>
      </w:r>
      <w:r>
        <w:t xml:space="preserve"> Confirm how Ohio courts apply after-acquired evidence to R.C. 4113.52 and implied-contract claims. For the contract claim, resume fraud may support a broader argument, such as rescission or fraud in the inducement. That needs research before we assert it.</w:t>
      </w:r>
    </w:p>
    <w:p>
      <w:pPr>
        <w:pStyle w:val="Heading2"/>
      </w:pPr>
      <w:r>
        <w:t>3.3 Mitigation (Brief § IV) — burden is on Creston</w:t>
      </w:r>
    </w:p>
    <w:p>
      <w:pPr>
        <w:spacing w:after="120"/>
        <w:jc w:val="both"/>
      </w:pPr>
      <w:r>
        <w:t xml:space="preserve">In the Sixth Circuit, the employer bears the burden of proving failure to mitigate. It must show that substantially equivalent positions were available and that the plaintiff did not use reasonable diligence. </w:t>
      </w:r>
      <w:r>
        <w:rPr>
          <w:i/>
        </w:rPr>
        <w:t>Rasimas v. Mich. Dep't of Mental Health</w:t>
      </w:r>
      <w:r>
        <w:t xml:space="preserve">, 714 F.2d 614, 623–24 (6th Cir. 1983); see </w:t>
      </w:r>
      <w:r>
        <w:rPr>
          <w:i/>
        </w:rPr>
        <w:t>Ford Motor Co. v. EEOC</w:t>
      </w:r>
      <w:r>
        <w:t>, 458 U.S. 219, 231–32 (1982). Brief No. 4 places the burden on Plaintiff. That is legal error and should be corrected. Our facts are good under the correct standard:</w:t>
      </w:r>
    </w:p>
    <w:p>
      <w:pPr>
        <w:pStyle w:val="ListBullet"/>
        <w:spacing w:after="80"/>
      </w:pPr>
      <w:r>
        <w:rPr>
          <w:b/>
        </w:rPr>
        <w:t>Archer-Lawson (Dec. 2023):</w:t>
      </w:r>
      <w:r>
        <w:t xml:space="preserve"> $89,000 versus $97,200, same industry, comparable duties, same metro area. This is our best mitigation fact. Realistically, if the jury finds the refusal unreasonable, back pay after the Archer-Lawson start date is limited to the ~$8,200/year differential rather than the full salary or the later $23,200/year differential. No. 13 tells the jury exactly that. We need evidence on title, benefits, bonus eligibility and advancement at Archer-Lawson to show substantial equivalence. Plaintiff will argue that 8.4% less pay is not "virtually identical."</w:t>
      </w:r>
    </w:p>
    <w:p>
      <w:pPr>
        <w:pStyle w:val="ListBullet"/>
        <w:spacing w:after="80"/>
      </w:pPr>
      <w:r>
        <w:rPr>
          <w:b/>
        </w:rPr>
        <w:t>Aug.–Nov. 2023 gap:</w:t>
      </w:r>
      <w:r>
        <w:t xml:space="preserve"> Plaintiff's lack of a search helps, but under </w:t>
      </w:r>
      <w:r>
        <w:rPr>
          <w:i/>
        </w:rPr>
        <w:t>Rasimas</w:t>
      </w:r>
      <w:r>
        <w:t xml:space="preserve"> we should also show that equivalent jobs were available (vocational expert, job-posting data). Check whether our vocational expert (if any) covers this. Also check </w:t>
      </w:r>
      <w:r>
        <w:rPr>
          <w:i/>
        </w:rPr>
        <w:t>Killian v. Yorozu</w:t>
      </w:r>
      <w:r>
        <w:t>, 454 F.3d 549 (6th Cir. 2006), on whether availability must be shown when the plaintiff made no effort at all.</w:t>
      </w:r>
    </w:p>
    <w:p>
      <w:pPr>
        <w:pStyle w:val="ListBullet"/>
        <w:spacing w:after="80"/>
      </w:pPr>
      <w:r>
        <w:rPr>
          <w:b/>
        </w:rPr>
        <w:t>Numbers.</w:t>
      </w:r>
      <w:r>
        <w:t xml:space="preserve"> Base back pay for 193 days at $97,200 is about $51,396. The Brief says $51,398, a trivial difference but worth correcting. The components listed in the Brief do sum to $485,000. The $354,312 "compounding effects" item (73% of the claim) should be attacked by a Rule 702 motion or motion in limine. Jury instructions cannot remove it. The $32,000 bonus should be tested against the "reasonably certain" language in No. 12.</w:t>
      </w:r>
    </w:p>
    <w:p>
      <w:pPr>
        <w:pStyle w:val="Heading2"/>
      </w:pPr>
      <w:r>
        <w:t>3.4 Ohio Whistleblower prerequisites (Brief § V) — use the statute; significant (A)(2) risk</w:t>
      </w:r>
    </w:p>
    <w:p>
      <w:pPr>
        <w:spacing w:after="120"/>
        <w:jc w:val="both"/>
      </w:pPr>
      <w:r>
        <w:t xml:space="preserve">R.C. 4113.52(A)(1)(a) requires the employee to (1) orally notify a supervisor or responsible officer, (2) </w:t>
      </w:r>
      <w:r>
        <w:rPr>
          <w:i/>
        </w:rPr>
        <w:t>subsequently file a written report</w:t>
      </w:r>
      <w:r>
        <w:t xml:space="preserve"> with that person giving sufficient detail, and (3) give the employer 24 hours after the oral notice or written report, whichever is earlier, to correct or make a good-faith effort to correct. </w:t>
      </w:r>
      <w:r>
        <w:rPr>
          <w:i/>
        </w:rPr>
        <w:t>Contreras v. Ferro Corp.</w:t>
      </w:r>
      <w:r>
        <w:t>, 73 Ohio St. 3d 244 (1995), requires strict compliance. Brief No. 5 leaves out the written-report requirement. That requirement is our best argument: even on Plaintiff's account, she made only an oral statement to Felton and a private calendar note, and Felton testified that no written report exists anywhere. The Brief's "nine days is insufficient" argument works against us, because the statute sets a 24-hour period. No. 8 tracks the statute. I dropped the requested sub-instruction telling the jury to "carefully assess" credibility on the Felton conversation. It singles out one witness and would likely be refused as argumentative.</w:t>
      </w:r>
    </w:p>
    <w:p>
      <w:pPr>
        <w:spacing w:after="120"/>
        <w:jc w:val="both"/>
      </w:pPr>
      <w:r>
        <w:rPr>
          <w:b/>
        </w:rPr>
        <w:t>Risk — R.C. 4113.52(A)(2).</w:t>
      </w:r>
      <w:r>
        <w:t xml:space="preserve"> My understanding is that subsection (A)(2) lets an employee who learns of a violation of R.C. Chapters 3704, 3734, 3745, 6109 or 6111 that is a criminal offense report directly to the regulating agency, orally or in writing, with no internal report required. Ohio's hazardous-waste program (OAC 3745-55 and related rules) is implemented under Chapter 3734. If (A)(2) applies, Plaintiff may argue that the internal-reporting fight is irrelevant. Two things work against her: the Order treats internal reporting as a jury question, and the Court may view the point as waived. We should (i) check the current text of (A)(2) and the case law on it, (ii) check whether Plaintiff has ever invoked it, and (iii) prepare a response, for example that the reported conduct was not a criminal offense, that she did not reasonably believe it was, and that the argument was waived. Do not raise (A)(2) ourselves. We also should not argue that Felton was not a "responsible officer": he testified that he is the plant's environmental compliance lead and that his name appears on the permits.</w:t>
      </w:r>
    </w:p>
    <w:p>
      <w:pPr>
        <w:spacing w:after="120"/>
        <w:jc w:val="both"/>
      </w:pPr>
      <w:r>
        <w:rPr>
          <w:b/>
        </w:rPr>
        <w:t>Record discrepancies to reconcile before trial:</w:t>
      </w:r>
    </w:p>
    <w:p>
      <w:pPr>
        <w:pStyle w:val="ListBullet"/>
        <w:spacing w:after="80"/>
      </w:pPr>
      <w:r>
        <w:t>The Order quotes Felton as testifying "I have no recollection of any conversation ..." at 72:8–12. The certified excerpt we have covers pp. 47–68 and contains a firmer denial ("No. Never."; "Nobody came to me about chromium ... I would remember something like that."). Confirm the full transcript. The Brief quotes only the firmer language. Felton should be prepared on "no recollection" versus "it did not happen."</w:t>
      </w:r>
    </w:p>
    <w:p>
      <w:pPr>
        <w:pStyle w:val="ListBullet"/>
        <w:spacing w:after="80"/>
      </w:pPr>
      <w:r>
        <w:t>Felton testified he was off only Sunday–Monday, Feb. 26–27 ("a long weekend"). The Order describes a "week-long vacation" based on attendance records (Pl.'s Ex. 13). Check Ex. 13.</w:t>
      </w:r>
    </w:p>
    <w:p>
      <w:pPr>
        <w:pStyle w:val="ListBullet"/>
        <w:spacing w:after="80"/>
      </w:pPr>
      <w:r>
        <w:t>The Brief says the 2022 Bellweather audit "identified no violations of the type alleged." Felton said the audit found "substantial compliance," and the later Ohio EPA inspection found incomplete hazardous-waste manifests. Do not overstate the audit. Remember too that whether a violation actually occurred is not an element; the jury should not be told Plaintiff had to be right.</w:t>
      </w:r>
    </w:p>
    <w:p>
      <w:pPr>
        <w:pStyle w:val="Heading2"/>
      </w:pPr>
      <w:r>
        <w:t>3.5 Causation instructions (Brief §§ VI–VII)</w:t>
      </w:r>
    </w:p>
    <w:p>
      <w:pPr>
        <w:pStyle w:val="ListBullet"/>
        <w:spacing w:after="80"/>
      </w:pPr>
      <w:r>
        <w:rPr>
          <w:b/>
        </w:rPr>
        <w:t>Limiting instructions (Nos. 2 and 7).</w:t>
      </w:r>
      <w:r>
        <w:t xml:space="preserve"> This is the most important addition. Exhibit 14 refers to both "HR" (the EEO complaint) and "outside agencies" (the EPA complaint). Title VII does not protect the EPA complaint, and the WPA does not protect the pay complaint. Without limiting instructions, the jury may find Title VII liability, with punitive exposure, based on the EPA complaint under a blended standard.</w:t>
      </w:r>
    </w:p>
    <w:p>
      <w:pPr>
        <w:pStyle w:val="ListBullet"/>
        <w:spacing w:after="80"/>
      </w:pPr>
      <w:r>
        <w:rPr>
          <w:b/>
        </w:rPr>
        <w:t>Mickey mis-citation.</w:t>
      </w:r>
      <w:r>
        <w:t xml:space="preserve"> The Brief cites </w:t>
      </w:r>
      <w:r>
        <w:rPr>
          <w:i/>
        </w:rPr>
        <w:t>Mickey v. Zeidler Tool &amp; Die</w:t>
      </w:r>
      <w:r>
        <w:t xml:space="preserve">, 516 F.3d 516, 525 (6th Cir. 2008), for the proposition that proximity beyond "a few weeks" is insufficient. </w:t>
      </w:r>
      <w:r>
        <w:rPr>
          <w:i/>
        </w:rPr>
        <w:t>Mickey</w:t>
      </w:r>
      <w:r>
        <w:t xml:space="preserve"> is generally cited for the opposite: very close proximity can alone establish the causal element, and where time has passed the plaintiff needs other evidence. The Order cites it for that point. No. 4 is balanced.</w:t>
      </w:r>
    </w:p>
    <w:p>
      <w:pPr>
        <w:pStyle w:val="ListBullet"/>
        <w:spacing w:after="80"/>
      </w:pPr>
      <w:r>
        <w:rPr>
          <w:b/>
        </w:rPr>
        <w:t>Contributing factor (No. 9).</w:t>
      </w:r>
      <w:r>
        <w:t xml:space="preserve"> The Brief's definition comes from federal whistleblower statutes and is the most favorable to Plaintiff. Our version ("actually played a part") is accurate and narrower. We should preserve, outside the instruction itself, any objection that Ohio law does not adopt this standard for § 4113.52, and check whether </w:t>
      </w:r>
      <w:r>
        <w:rPr>
          <w:i/>
        </w:rPr>
        <w:t>Contreras</w:t>
      </w:r>
      <w:r>
        <w:t xml:space="preserve"> at 248 actually states it as the Order says.</w:t>
      </w:r>
    </w:p>
    <w:p>
      <w:pPr>
        <w:pStyle w:val="ListBullet"/>
        <w:spacing w:after="80"/>
      </w:pPr>
      <w:r>
        <w:rPr>
          <w:b/>
        </w:rPr>
        <w:t>RIF timing.</w:t>
      </w:r>
      <w:r>
        <w:t xml:space="preserve"> The Brief says the cost-reduction initiative was "already in development" when Cavender wrote Exhibit 14 on March 22, 2023. The Order records CEO approval on April 15 and the final RIF plan on May 10. Unless we have documents from before March 22, drop this assertion.</w:t>
      </w:r>
    </w:p>
    <w:p>
      <w:pPr>
        <w:pStyle w:val="Heading2"/>
      </w:pPr>
      <w:r>
        <w:t>3.6 Exhibit 14 is worse than the Order suggests; cat's paw</w:t>
      </w:r>
    </w:p>
    <w:p>
      <w:pPr>
        <w:spacing w:after="120"/>
        <w:jc w:val="both"/>
      </w:pPr>
      <w:r>
        <w:t xml:space="preserve">The Order quotes Exhibit 14 as the email "in its entirety," but the produced exhibit contains two more paragraphs. One proposes consolidating Plaintiff's accounts "across Kyle Henning and Marcus DeLuca," the two highest-paid male Senior Account Managers named in her pay complaint. The other closes: "I don't want to put too much in writing." Plaintiff will use both, and the Court may not yet have seen the full text. Plaintiff will also rely on the fact that she was the only Senior Account Manager eliminated. Given this, Plaintiff will surely request a cat's-paw instruction under </w:t>
      </w:r>
      <w:r>
        <w:rPr>
          <w:i/>
        </w:rPr>
        <w:t>Staub</w:t>
      </w:r>
      <w:r>
        <w:t>. No. 6 is a precise, element-by-element version for us to offer. Before filing, we need facts on who selected Plaintiff's position for the RIF and what role Cavender played. If Cavender made the selection, No. 6 should be revised or dropped.</w:t>
      </w:r>
    </w:p>
    <w:p>
      <w:pPr>
        <w:pStyle w:val="Heading2"/>
      </w:pPr>
      <w:r>
        <w:t>3.7 Implied contract (Brief § IX)</w:t>
      </w:r>
    </w:p>
    <w:p>
      <w:pPr>
        <w:spacing w:after="120"/>
        <w:jc w:val="both"/>
      </w:pPr>
      <w:r>
        <w:t xml:space="preserve">Brief No. 9 would be refused because it conflicts with the Order's multi-factor framing. It also cites </w:t>
      </w:r>
      <w:r>
        <w:rPr>
          <w:i/>
        </w:rPr>
        <w:t>Mers</w:t>
      </w:r>
      <w:r>
        <w:t xml:space="preserve"> as holding that clear disclaimers negate implied contracts. </w:t>
      </w:r>
      <w:r>
        <w:rPr>
          <w:i/>
        </w:rPr>
        <w:t>Mers</w:t>
      </w:r>
      <w:r>
        <w:t xml:space="preserve"> actually recognized that handbooks </w:t>
      </w:r>
      <w:r>
        <w:rPr>
          <w:i/>
        </w:rPr>
        <w:t>can</w:t>
      </w:r>
      <w:r>
        <w:t xml:space="preserve"> create implied terms. No. 10 accepts the Order's framework and adds material the Brief left out:</w:t>
      </w:r>
    </w:p>
    <w:p>
      <w:pPr>
        <w:pStyle w:val="ListBullet"/>
        <w:spacing w:after="80"/>
      </w:pPr>
      <w:r>
        <w:t>Handbook p. 28 "Discretion in Application": Creston "reserves the right to determine the appropriate level of discipline," and steps "may be repeated, combined, or skipped." This directly undercuts the mandatory "will be given" language.</w:t>
      </w:r>
    </w:p>
    <w:p>
      <w:pPr>
        <w:pStyle w:val="ListBullet"/>
        <w:spacing w:after="80"/>
      </w:pPr>
      <w:r>
        <w:t>Handbook p. 3: only the CEO, in a signed writing, can alter at-will status, and Creston reserves the right to revise any policy.</w:t>
      </w:r>
    </w:p>
    <w:p>
      <w:pPr>
        <w:pStyle w:val="ListBullet"/>
        <w:spacing w:after="80"/>
      </w:pPr>
      <w:r>
        <w:t xml:space="preserve">Stipulation ¶ 13: Plaintiff signed the acknowledgment on </w:t>
      </w:r>
      <w:r>
        <w:rPr>
          <w:b/>
        </w:rPr>
        <w:t>September 14, 2021</w:t>
      </w:r>
      <w:r>
        <w:t>. The Brief says September 15, and the error should be corrected.</w:t>
      </w:r>
    </w:p>
    <w:p>
      <w:pPr>
        <w:pStyle w:val="ListBullet"/>
        <w:spacing w:after="80"/>
      </w:pPr>
      <w:r>
        <w:t>A separate scope element. § 7.2 is framed around "performance deficiencies and violations of company policy," and it is undisputed that the termination was not performance- or conduct-based. This gives the jury an independent path to a defense verdict.</w:t>
      </w:r>
    </w:p>
    <w:p>
      <w:pPr>
        <w:spacing w:after="120"/>
        <w:jc w:val="both"/>
      </w:pPr>
      <w:r>
        <w:rPr>
          <w:b/>
        </w:rPr>
        <w:t>Preserve the Karnes point.</w:t>
      </w:r>
      <w:r>
        <w:t xml:space="preserve"> The Order describes </w:t>
      </w:r>
      <w:r>
        <w:rPr>
          <w:i/>
        </w:rPr>
        <w:t>Karnes v. Doctors Hospital</w:t>
      </w:r>
      <w:r>
        <w:t xml:space="preserve">, 51 Ohio St. 3d 139 (1990), as holding that a general disclaimer may be insufficient. My understanding is that </w:t>
      </w:r>
      <w:r>
        <w:rPr>
          <w:i/>
        </w:rPr>
        <w:t>Karnes</w:t>
      </w:r>
      <w:r>
        <w:t xml:space="preserve"> held that, absent fraud in the inducement, a handbook disclaimer stating that employment is at will </w:t>
      </w:r>
      <w:r>
        <w:rPr>
          <w:i/>
        </w:rPr>
        <w:t>precludes</w:t>
      </w:r>
      <w:r>
        <w:t xml:space="preserve"> a non-at-will contract based on the handbook. If a check of the opinion confirms that, we should raise it respectfully in our Rule 50(a) motion and charge-conference objection to preserve it for appeal, rather than through an instruction that contradicts the Order.</w:t>
      </w:r>
    </w:p>
    <w:p>
      <w:pPr>
        <w:pStyle w:val="Heading2"/>
      </w:pPr>
      <w:r>
        <w:t>3.8 Damages, punitive damages, and remedies</w:t>
      </w:r>
    </w:p>
    <w:p>
      <w:pPr>
        <w:pStyle w:val="ListBullet"/>
        <w:spacing w:after="80"/>
      </w:pPr>
      <w:r>
        <w:rPr>
          <w:b/>
        </w:rPr>
        <w:t>Kolstad (No. 16).</w:t>
      </w:r>
      <w:r>
        <w:t xml:space="preserve"> This instruction is proper and invited by the Order, but the record has weaknesses. The Order notes no evidence that the EEO investigation Oshiro promised within 60 days was ever completed. Exhibit 14 was sent to Oshiro, the VP of HR, which undercuts the claim that Cavender acted without senior leadership's knowledge. The Brief cites Oshiro's acknowledgment memo as good-faith evidence; used alone, that invites cross-examination about the stalled investigation. The Sixth Circuit requires proof that the policy was implemented, not just adopted (</w:t>
      </w:r>
      <w:r>
        <w:rPr>
          <w:i/>
        </w:rPr>
        <w:t>Parker v. General Extrusions</w:t>
      </w:r>
      <w:r>
        <w:t>), and No. 16 says so. We need the training records the Brief promised and an explanation of what happened to the investigation.</w:t>
      </w:r>
    </w:p>
    <w:p>
      <w:pPr>
        <w:pStyle w:val="ListBullet"/>
        <w:spacing w:after="80"/>
      </w:pPr>
      <w:r>
        <w:rPr>
          <w:b/>
        </w:rPr>
        <w:t>Statutory cap.</w:t>
      </w:r>
      <w:r>
        <w:t xml:space="preserve"> With about 312 employees, Creston falls in the 201–500 tier of 42 U.S.C. § 1981a(b)(3): $200,000 combined for Title VII compensatory and punitive damages. The jury may not be told (§ 1981a(c)(2)). The claim-by-claim, category-by-category verdict form is what protects the cap. Otherwise Plaintiff will try to put emotional-distress damages under the uncapped state claim. Confirm whether R.C. 4113.52(E) permits emotional-distress and punitive damages (bracketed in Nos. 15 and 16 and the form).</w:t>
      </w:r>
    </w:p>
    <w:p>
      <w:pPr>
        <w:pStyle w:val="ListBullet"/>
        <w:spacing w:after="80"/>
      </w:pPr>
      <w:r>
        <w:rPr>
          <w:b/>
        </w:rPr>
        <w:t>Front pay and reinstatement are for the Court</w:t>
      </w:r>
      <w:r>
        <w:t xml:space="preserve"> (</w:t>
      </w:r>
      <w:r>
        <w:rPr>
          <w:i/>
        </w:rPr>
        <w:t>Roush</w:t>
      </w:r>
      <w:r>
        <w:t xml:space="preserve">; </w:t>
      </w:r>
      <w:r>
        <w:rPr>
          <w:i/>
        </w:rPr>
        <w:t>Pollard</w:t>
      </w:r>
      <w:r>
        <w:t>). Back pay under Title VII is equitable as well, so we should confirm how the Court will handle it.</w:t>
      </w:r>
    </w:p>
    <w:p>
      <w:pPr>
        <w:pStyle w:val="ListBullet"/>
        <w:spacing w:after="80"/>
      </w:pPr>
      <w:r>
        <w:rPr>
          <w:b/>
        </w:rPr>
        <w:t>Inconsistent positions on reinstatement.</w:t>
      </w:r>
      <w:r>
        <w:t xml:space="preserve"> The Brief (§ IV) argues that reinstatement, not front pay, is the proper remedy because the Senior Account Manager position "has since been restructured and refilled." This creates two serious problems. (1) Saying the position was "refilled" contradicts our core defense that it was </w:t>
      </w:r>
      <w:r>
        <w:rPr>
          <w:i/>
        </w:rPr>
        <w:t>eliminated</w:t>
      </w:r>
      <w:r>
        <w:t xml:space="preserve"> in a RIF. That statement is essentially a pretext admission, and Plaintiff will use it. (2) Offering reinstatement conflicts with our after-acquired evidence defense, which under </w:t>
      </w:r>
      <w:r>
        <w:rPr>
          <w:i/>
        </w:rPr>
        <w:t>McKennon</w:t>
      </w:r>
      <w:r>
        <w:t xml:space="preserve"> bars reinstatement. I recommend not repeating the statement. We should also find out the facts: were her accounts absorbed by Henning and DeLuca, as Exhibit 14 proposed, or was someone hired?</w:t>
      </w:r>
    </w:p>
    <w:p>
      <w:pPr>
        <w:pStyle w:val="ListBullet"/>
        <w:spacing w:after="80"/>
      </w:pPr>
      <w:r>
        <w:rPr>
          <w:b/>
        </w:rPr>
        <w:t>Eggshell plaintiff (No. 15).</w:t>
      </w:r>
      <w:r>
        <w:t xml:space="preserve"> The Brief rejects any eggshell language. Ohio pattern instructions pair aggravation with the take-the-plaintiff-as-found rule, so the Court is likely to include it. Offering a balanced version keeps our key limits: no recovery for the 2020 baseline condition, and recovery limited to the aggravation. A motion in limine should keep the dismissed hostile-work-environment remarks from being used as a basis for distress damages.</w:t>
      </w:r>
    </w:p>
    <w:p>
      <w:pPr>
        <w:pStyle w:val="Heading1"/>
      </w:pPr>
      <w:r>
        <w:t>4. Items to Verify Before Filing</w:t>
      </w:r>
    </w:p>
    <w:p>
      <w:pPr>
        <w:spacing w:after="120"/>
        <w:jc w:val="both"/>
      </w:pPr>
      <w:r>
        <w:t>Pattern-instruction section numbers (OJI-CV and Seventh and Eleventh Circuit), pin cites, and statutory quotations are marked "[verify]" in the draft and must be cite-checked. Specific items:</w:t>
      </w:r>
    </w:p>
    <w:p>
      <w:pPr>
        <w:pStyle w:val="ListNumber"/>
        <w:spacing w:after="80"/>
      </w:pPr>
      <w:r>
        <w:t xml:space="preserve">Current text of R.C. 4113.52(A)(1)(a), (A)(2) and (E), and whether </w:t>
      </w:r>
      <w:r>
        <w:rPr>
          <w:i/>
        </w:rPr>
        <w:t>Contreras</w:t>
      </w:r>
      <w:r>
        <w:t xml:space="preserve"> supports the "contributing factor" standard and strict compliance at the cited pages.</w:t>
      </w:r>
    </w:p>
    <w:p>
      <w:pPr>
        <w:pStyle w:val="ListNumber"/>
        <w:spacing w:after="80"/>
      </w:pPr>
      <w:r>
        <w:rPr>
          <w:i/>
        </w:rPr>
        <w:t>Karnes</w:t>
      </w:r>
      <w:r>
        <w:t xml:space="preserve">, </w:t>
      </w:r>
      <w:r>
        <w:rPr>
          <w:i/>
        </w:rPr>
        <w:t>Wing</w:t>
      </w:r>
      <w:r>
        <w:t xml:space="preserve"> and </w:t>
      </w:r>
      <w:r>
        <w:rPr>
          <w:i/>
        </w:rPr>
        <w:t>Mers</w:t>
      </w:r>
      <w:r>
        <w:t xml:space="preserve"> holdings (§ 3.7).</w:t>
      </w:r>
    </w:p>
    <w:p>
      <w:pPr>
        <w:pStyle w:val="ListNumber"/>
        <w:spacing w:after="80"/>
      </w:pPr>
      <w:r>
        <w:rPr>
          <w:i/>
        </w:rPr>
        <w:t>Mickey</w:t>
      </w:r>
      <w:r>
        <w:t xml:space="preserve">, </w:t>
      </w:r>
      <w:r>
        <w:rPr>
          <w:i/>
        </w:rPr>
        <w:t>Killian</w:t>
      </w:r>
      <w:r>
        <w:t xml:space="preserve">, </w:t>
      </w:r>
      <w:r>
        <w:rPr>
          <w:i/>
        </w:rPr>
        <w:t>Parker</w:t>
      </w:r>
      <w:r>
        <w:t xml:space="preserve">, </w:t>
      </w:r>
      <w:r>
        <w:rPr>
          <w:i/>
        </w:rPr>
        <w:t>Marshall</w:t>
      </w:r>
      <w:r>
        <w:t xml:space="preserve">, </w:t>
      </w:r>
      <w:r>
        <w:rPr>
          <w:i/>
        </w:rPr>
        <w:t>Chattman</w:t>
      </w:r>
      <w:r>
        <w:t xml:space="preserve"> and </w:t>
      </w:r>
      <w:r>
        <w:rPr>
          <w:i/>
        </w:rPr>
        <w:t>Arban</w:t>
      </w:r>
      <w:r>
        <w:t xml:space="preserve"> pin cites.</w:t>
      </w:r>
    </w:p>
    <w:p>
      <w:pPr>
        <w:pStyle w:val="ListNumber"/>
        <w:spacing w:after="80"/>
      </w:pPr>
      <w:r>
        <w:t>Whether the after-acquired evidence defense was pleaded, and the date Creston learned of the MBA issue.</w:t>
      </w:r>
    </w:p>
    <w:p>
      <w:pPr>
        <w:pStyle w:val="ListNumber"/>
        <w:spacing w:after="80"/>
      </w:pPr>
      <w:r>
        <w:t>Identity of the RIF decision-maker(s) and Cavender's role (No. 6).</w:t>
      </w:r>
    </w:p>
    <w:p>
      <w:pPr>
        <w:pStyle w:val="ListNumber"/>
        <w:spacing w:after="80"/>
      </w:pPr>
      <w:r>
        <w:t>Felton transcript p. 72 and Plaintiff's Exhibit 13 (vacation dates).</w:t>
      </w:r>
    </w:p>
    <w:p>
      <w:pPr>
        <w:pStyle w:val="ListNumber"/>
        <w:spacing w:after="80"/>
      </w:pPr>
      <w:r>
        <w:t>Whether the Court will send back pay to the jury (Nos. 12–14).</w:t>
      </w:r>
    </w:p>
    <w:p>
      <w:pPr>
        <w:pStyle w:val="ListNumber"/>
        <w:spacing w:after="80"/>
      </w:pPr>
      <w:r>
        <w:t>Whether the Senior Account Manager position was "refilled."</w:t>
      </w:r>
    </w:p>
    <w:p>
      <w:pPr>
        <w:pStyle w:val="ListNumber"/>
        <w:spacing w:after="80"/>
      </w:pPr>
      <w:r>
        <w:t>Kolstad training records and the status of the Oshiro investigation.</w:t>
      </w:r>
    </w:p>
    <w:p>
      <w:pPr>
        <w:pStyle w:val="ListNumber"/>
        <w:spacing w:after="80"/>
      </w:pPr>
      <w:r>
        <w:t>Delete all Drafting Notes and brackets, and complete the signature and service dates.</w:t>
      </w:r>
    </w:p>
    <w:p>
      <w:pPr>
        <w:pStyle w:val="Heading1"/>
      </w:pPr>
      <w:r>
        <w:t>5. Next Steps</w:t>
      </w:r>
    </w:p>
    <w:p>
      <w:pPr>
        <w:pStyle w:val="ListNumber"/>
        <w:spacing w:after="80"/>
      </w:pPr>
      <w:r>
        <w:t>Decide how to handle the Brief (revise before filing, or file amended instructions superseding Brief Nos. 2–10), and tell the Court at the conference that No. 2 is withdrawn.</w:t>
      </w:r>
    </w:p>
    <w:p>
      <w:pPr>
        <w:pStyle w:val="ListNumber"/>
        <w:spacing w:after="80"/>
      </w:pPr>
      <w:r>
        <w:t>Meet and confer with Mr. Vasquez on agreed causation instructions (Nos. 3, 4 and 9), as Order § V.B directs, and on the joint special verdict form (Order ¶ 6).</w:t>
      </w:r>
    </w:p>
    <w:p>
      <w:pPr>
        <w:pStyle w:val="ListNumber"/>
        <w:spacing w:after="80"/>
      </w:pPr>
      <w:r>
        <w:t>File motions in limine on: (a) the "compounding effects" damages component (Rule 702); (b) Cavender's hostile-work-environment remarks; and (c) keeping the statutory cap and front pay away from the jury.</w:t>
      </w:r>
    </w:p>
    <w:p>
      <w:pPr>
        <w:pStyle w:val="ListNumber"/>
        <w:spacing w:after="80"/>
      </w:pPr>
      <w:r>
        <w:t>Prepare Oshiro (termination-not-hiring test for after-acquired evidence; the investigation's status), Felton ("no recollection" versus a firm denial), and our mitigation witness (Archer-Lawson equivalence; job availability for Aug.–Nov. 2023).</w:t>
      </w:r>
    </w:p>
    <w:p>
      <w:pPr>
        <w:pStyle w:val="ListNumber"/>
        <w:spacing w:after="80"/>
      </w:pPr>
      <w:r>
        <w:t xml:space="preserve">Prepare Rule 50(a) arguments preserving (i) the </w:t>
      </w:r>
      <w:r>
        <w:rPr>
          <w:i/>
        </w:rPr>
        <w:t>Karnes</w:t>
      </w:r>
      <w:r>
        <w:t xml:space="preserve"> point on Count IV, (ii) the Count II causation standard, and (iii) Plaintiff's failure to file a written internal report.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