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4"/>
        </w:rPr>
        <w:t>UNITED STATES DISTRICT COURT</w:t>
      </w:r>
    </w:p>
    <w:p>
      <w:pPr>
        <w:spacing w:after="40"/>
        <w:jc w:val="center"/>
      </w:pPr>
      <w:r>
        <w:rPr>
          <w:rFonts w:ascii="Times New Roman" w:hAnsi="Times New Roman"/>
          <w:b/>
          <w:sz w:val="24"/>
        </w:rPr>
        <w:t>DISTRICT OF COLORADO</w:t>
      </w:r>
    </w:p>
    <w:p>
      <w:pPr>
        <w:spacing w:after="200"/>
        <w:jc w:val="center"/>
      </w:pPr>
      <w:r>
        <w:rPr>
          <w:rFonts w:ascii="Times New Roman" w:hAnsi="Times New Roman"/>
          <w:b w:val="0"/>
          <w:sz w:val="20"/>
        </w:rPr>
        <w:t>Civil Action No. 1:25-cv-00412-PAB-STV</w:t>
      </w:r>
    </w:p>
    <w:p>
      <w:pPr>
        <w:spacing w:after="60"/>
        <w:jc w:val="center"/>
      </w:pPr>
      <w:r>
        <w:rPr>
          <w:rFonts w:ascii="Times New Roman" w:hAnsi="Times New Roman"/>
          <w:b/>
          <w:color w:val="17365D"/>
          <w:sz w:val="34"/>
        </w:rPr>
        <w:t>DISCOVERY STRATEGY MEMORANDUM</w:t>
      </w:r>
    </w:p>
    <w:p>
      <w:pPr>
        <w:spacing w:after="200"/>
        <w:jc w:val="center"/>
      </w:pPr>
      <w:r>
        <w:rPr>
          <w:rFonts w:ascii="Times New Roman" w:hAnsi="Times New Roman"/>
          <w:b w:val="0"/>
          <w:sz w:val="24"/>
        </w:rPr>
        <w:t>Greenleaf Organics, Inc. v. Prismavale Chemical Solutions, LLC</w:t>
      </w:r>
    </w:p>
    <w:tbl>
      <w:tblPr>
        <w:tblW w:type="auto" w:w="0"/>
        <w:jc w:val="center"/>
        <w:tblLook w:firstColumn="1" w:firstRow="1" w:lastColumn="0" w:lastRow="0" w:noHBand="0" w:noVBand="1" w:val="04A0"/>
      </w:tblPr>
      <w:tblGrid>
        <w:gridCol w:w="9648"/>
      </w:tblGrid>
      <w:tr>
        <w:tc>
          <w:tcPr>
            <w:tcW w:type="dxa" w:w="9648"/>
            <w:shd w:fill="FFF2CC"/>
            <w:tcMar>
              <w:top w:w="120" w:type="dxa"/>
              <w:start w:w="150" w:type="dxa"/>
              <w:bottom w:w="120" w:type="dxa"/>
              <w:end w:w="150" w:type="dxa"/>
            </w:tcMar>
          </w:tcPr>
          <w:p>
            <w:pPr>
              <w:jc w:val="center"/>
            </w:pPr>
            <w:r>
              <w:rPr>
                <w:rFonts w:ascii="Times New Roman" w:hAnsi="Times New Roman"/>
                <w:b/>
                <w:color w:val="7F6000"/>
                <w:sz w:val="20"/>
              </w:rPr>
              <w:t>ATTORNEY WORK PRODUCT — PREPARED FROM PROVIDED FILES ONLY; VERIFY DOCKET, FACTS, AND CLIENT RECORDS</w:t>
            </w:r>
          </w:p>
        </w:tc>
      </w:tr>
    </w:tbl>
    <w:tbl>
      <w:tblPr>
        <w:tblW w:type="auto" w:w="0"/>
        <w:jc w:val="center"/>
        <w:tblLayout w:type="fixed"/>
        <w:tblLook w:firstColumn="1" w:firstRow="1" w:lastColumn="0" w:lastRow="0" w:noHBand="0" w:noVBand="1" w:val="04A0"/>
      </w:tblPr>
      <w:tblGrid>
        <w:gridCol w:w="4824"/>
        <w:gridCol w:w="4824"/>
      </w:tblGrid>
      <w:tr>
        <w:tc>
          <w:tcPr>
            <w:tcW w:type="dxa" w:w="2088"/>
            <w:tcMar>
              <w:top w:w="90" w:type="dxa"/>
              <w:start w:w="100" w:type="dxa"/>
              <w:bottom w:w="90" w:type="dxa"/>
              <w:end w:w="100" w:type="dxa"/>
            </w:tcMar>
          </w:tcPr>
          <w:p>
            <w:r>
              <w:rPr>
                <w:b/>
              </w:rPr>
              <w:t>To</w:t>
            </w:r>
          </w:p>
        </w:tc>
        <w:tc>
          <w:tcPr>
            <w:tcW w:type="dxa" w:w="8280"/>
            <w:tcMar>
              <w:top w:w="90" w:type="dxa"/>
              <w:start w:w="100" w:type="dxa"/>
              <w:bottom w:w="90" w:type="dxa"/>
              <w:end w:w="100" w:type="dxa"/>
            </w:tcMar>
          </w:tcPr>
          <w:p>
            <w:r>
              <w:t>Prismavale case team</w:t>
            </w:r>
          </w:p>
        </w:tc>
      </w:tr>
      <w:tr>
        <w:tc>
          <w:tcPr>
            <w:tcW w:type="dxa" w:w="2088"/>
            <w:tcMar>
              <w:top w:w="90" w:type="dxa"/>
              <w:start w:w="100" w:type="dxa"/>
              <w:bottom w:w="90" w:type="dxa"/>
              <w:end w:w="100" w:type="dxa"/>
            </w:tcMar>
          </w:tcPr>
          <w:p>
            <w:r>
              <w:rPr>
                <w:b/>
              </w:rPr>
              <w:t>From</w:t>
            </w:r>
          </w:p>
        </w:tc>
        <w:tc>
          <w:tcPr>
            <w:tcW w:type="dxa" w:w="8280"/>
            <w:tcMar>
              <w:top w:w="90" w:type="dxa"/>
              <w:start w:w="100" w:type="dxa"/>
              <w:bottom w:w="90" w:type="dxa"/>
              <w:end w:w="100" w:type="dxa"/>
            </w:tcMar>
          </w:tcPr>
          <w:p>
            <w:r>
              <w:t>Hollister &amp; Marsh LLP — defense counsel (draft)</w:t>
            </w:r>
          </w:p>
        </w:tc>
      </w:tr>
      <w:tr>
        <w:tc>
          <w:tcPr>
            <w:tcW w:type="dxa" w:w="2088"/>
            <w:tcMar>
              <w:top w:w="90" w:type="dxa"/>
              <w:start w:w="100" w:type="dxa"/>
              <w:bottom w:w="90" w:type="dxa"/>
              <w:end w:w="100" w:type="dxa"/>
            </w:tcMar>
          </w:tcPr>
          <w:p>
            <w:r>
              <w:rPr>
                <w:b/>
              </w:rPr>
              <w:t>Re</w:t>
            </w:r>
          </w:p>
        </w:tc>
        <w:tc>
          <w:tcPr>
            <w:tcW w:type="dxa" w:w="8280"/>
            <w:tcMar>
              <w:top w:w="90" w:type="dxa"/>
              <w:start w:w="100" w:type="dxa"/>
              <w:bottom w:w="90" w:type="dxa"/>
              <w:end w:w="100" w:type="dxa"/>
            </w:tcMar>
          </w:tcPr>
          <w:p>
            <w:r>
              <w:t>Discovery plan and response strategy for Plaintiff’s May 5, 2025 first RFAs (Nos. 1–25) and RFPs (Nos. 1–30)</w:t>
            </w:r>
          </w:p>
        </w:tc>
      </w:tr>
      <w:tr>
        <w:tc>
          <w:tcPr>
            <w:tcW w:type="dxa" w:w="2088"/>
            <w:tcMar>
              <w:top w:w="90" w:type="dxa"/>
              <w:start w:w="100" w:type="dxa"/>
              <w:bottom w:w="90" w:type="dxa"/>
              <w:end w:w="100" w:type="dxa"/>
            </w:tcMar>
          </w:tcPr>
          <w:p>
            <w:r>
              <w:rPr>
                <w:b/>
              </w:rPr>
              <w:t>Key response date</w:t>
            </w:r>
          </w:p>
        </w:tc>
        <w:tc>
          <w:tcPr>
            <w:tcW w:type="dxa" w:w="8280"/>
            <w:tcMar>
              <w:top w:w="90" w:type="dxa"/>
              <w:start w:w="100" w:type="dxa"/>
              <w:bottom w:w="90" w:type="dxa"/>
              <w:end w:w="100" w:type="dxa"/>
            </w:tcMar>
          </w:tcPr>
          <w:p>
            <w:r>
              <w:t>June 9, 2025, assuming the stipulated 35-calendar-day response period applies</w:t>
            </w:r>
          </w:p>
        </w:tc>
      </w:tr>
    </w:tbl>
    <w:p>
      <w:r>
        <w:rPr>
          <w:i w:val="0"/>
        </w:rPr>
      </w:r>
    </w:p>
    <w:p>
      <w:pPr>
        <w:pStyle w:val="Heading1"/>
      </w:pPr>
      <w:r>
        <w:t>Executive assessment</w:t>
      </w:r>
    </w:p>
    <w:p>
      <w:r>
        <w:rPr>
          <w:i w:val="0"/>
        </w:rPr>
        <w:t>The central defense is factual, not semantic: Prismavale admits the MSA, shipment dates/quantities, specifications, COA requirements, and that each COA reported conformance at the time of testing; it denies that either batch was out of specification when shipped, that a COA was inaccurate, that Prismavale caused the later test findings or recalls, and that Greenleaf’s claimed losses are proven. Discovery must test the reliability and chain of custody of Greenleaf’s retained-sample testing and the possibility of post-delivery contamination, while candidly investigating the highly adverse alleged quality records—CAR-2024-019, the February 2024 cleaning validation event, the June 10, 2024 environmental alert, release decisions, and the timing/content of root-cause investigations.</w:t>
      </w:r>
    </w:p>
    <w:p>
      <w:r>
        <w:rPr>
          <w:i w:val="0"/>
        </w:rPr>
        <w:t>There are two separate incidents and different alleged mechanisms (1,4-dioxane in SB-102; Pseudomonas / elevated bioburden in PS-302). Avoid collapsing them into a single generalized quality narrative. The most promising defenses and leverage points are: (1) origin and timing of contamination; (2) actual testing and release records; (3) Greenleaf’s handling, storage, manufacturing, sampling, and recall decisions; (4) notice and the MSA’s 14-day inspection/rejection clause, particularly its application to latent defects; (5) whether PS-302 was included in the pre-suit notice and mediation; and (6) the characterization and contractual treatment of each damages category, including Section 12.4.</w:t>
      </w:r>
    </w:p>
    <w:p>
      <w:r>
        <w:rPr>
          <w:i w:val="0"/>
        </w:rPr>
        <w:t>The attached response set is a counsel draft, not a representation that Prismavale has completed a reasonable inquiry, searched every source, or made a production. No response should be served until the named custodians and business owners verify facts, counsel tests factual positions against underlying records, privilege is reviewed, and production commitments are achievable. The answer was filed April 7, 2025; supplementation under Rule 26(e) remains important.</w:t>
      </w:r>
    </w:p>
    <w:p>
      <w:pPr>
        <w:pStyle w:val="Heading1"/>
      </w:pPr>
      <w:r>
        <w:t>1. Case posture and governing discovery constraints</w:t>
      </w:r>
    </w:p>
    <w:p>
      <w:pPr>
        <w:pStyle w:val="ListBullet"/>
        <w:spacing w:after="60"/>
      </w:pPr>
      <w:r>
        <w:t>Plaintiff alleges two contaminated shipments under the January 15, 2020 MSA and approximately $14.7 million in damages: $2.3 million recall costs; $8.9 million lost retail revenue; $2.5 million brand/reputation harm; and $1.0 million increased insurance/regulatory costs. Defendant denies breach, contamination at shipment, causation, and damages, and asserts defenses concerning rejection/notice, pre-suit mediation as to PS-302, a consequential-damages cap, post-delivery conditions, mitigation, comparative fault, and speculative damages.</w:t>
      </w:r>
    </w:p>
    <w:p>
      <w:pPr>
        <w:pStyle w:val="ListBullet"/>
        <w:spacing w:after="60"/>
      </w:pPr>
      <w:r>
        <w:t>Fact discovery closes October 31, 2025. Plaintiff served 25 RFAs and 30 RFPs on May 5, 2025. The Joint Discovery Stipulation provides 35 calendar days for written responses; on that assumption, responses and production are due June 9, 2025. Confirm actual service date and docket entry/order status before calendaring or asserting the extension.</w:t>
      </w:r>
    </w:p>
    <w:p>
      <w:pPr>
        <w:pStyle w:val="ListBullet"/>
        <w:spacing w:after="60"/>
      </w:pPr>
      <w:r>
        <w:t>The stipulated limits are 30 RFAs, 50 RFPs inclusive of distinct subparts, and 25 interrogatories per side. The RFAs are numbered 1–25, but Nos. 14, 15, and 16 contain 3, 3, and 4 distinct factual propositions, respectively. If each discrete subpart is counted separately, the set comprises 32 matters. Section 2(a) permits the receiving party to count compound RFAs as multiple requests at its discretion, but does not automatically disqualify a request. Preserve a narrow numerical-limit objection, respond on the merits to avoid deemed-admission exposure, and promptly meet and confer.</w:t>
      </w:r>
    </w:p>
    <w:p>
      <w:pPr>
        <w:pStyle w:val="ListBullet"/>
        <w:spacing w:after="60"/>
      </w:pPr>
      <w:r>
        <w:t>RFP numerical-limit review: the 30 numbered requests appear below the 50-request ceiling even counting the most clearly distinct categories in Nos. 4 and 15 separately. Maintain an internal count under Section 2(b), which counts only subparts seeking documents on a subject distinct from the other subparts; do not make an unsupported across-the-board numerical objection.</w:t>
      </w:r>
    </w:p>
    <w:p>
      <w:pPr>
        <w:pStyle w:val="ListBullet"/>
        <w:spacing w:after="60"/>
      </w:pPr>
      <w:r>
        <w:t>Fact discovery must be served sufficiently early for responses and depositions to be completed by October 31. Written discovery responses cannot substitute for a timely third-party subpoena or deposition of Thornfield Analytical Labs, Greenleaf personnel, or any carrier with relevant records.</w:t>
      </w:r>
    </w:p>
    <w:p>
      <w:pPr>
        <w:pStyle w:val="Heading1"/>
      </w:pPr>
      <w:r>
        <w:t>2. Issue-focused strategy and evidence map</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088"/>
            <w:shd w:fill="17365D"/>
            <w:tcMar>
              <w:top w:w="100" w:type="dxa"/>
              <w:start w:w="100" w:type="dxa"/>
              <w:bottom w:w="100" w:type="dxa"/>
              <w:end w:w="100" w:type="dxa"/>
            </w:tcMar>
          </w:tcPr>
          <w:p>
            <w:r>
              <w:rPr>
                <w:b/>
                <w:color w:val="FFFFFF"/>
                <w:sz w:val="18"/>
              </w:rPr>
              <w:t>Issue</w:t>
            </w:r>
          </w:p>
        </w:tc>
        <w:tc>
          <w:tcPr>
            <w:tcW w:type="dxa" w:w="3672"/>
            <w:shd w:fill="17365D"/>
            <w:tcMar>
              <w:top w:w="100" w:type="dxa"/>
              <w:start w:w="100" w:type="dxa"/>
              <w:bottom w:w="100" w:type="dxa"/>
              <w:end w:w="100" w:type="dxa"/>
            </w:tcMar>
          </w:tcPr>
          <w:p>
            <w:r>
              <w:rPr>
                <w:b/>
                <w:color w:val="FFFFFF"/>
                <w:sz w:val="18"/>
              </w:rPr>
              <w:t>Current posture / risk</w:t>
            </w:r>
          </w:p>
        </w:tc>
        <w:tc>
          <w:tcPr>
            <w:tcW w:type="dxa" w:w="4752"/>
            <w:shd w:fill="17365D"/>
            <w:tcMar>
              <w:top w:w="100" w:type="dxa"/>
              <w:start w:w="100" w:type="dxa"/>
              <w:bottom w:w="100" w:type="dxa"/>
              <w:end w:w="100" w:type="dxa"/>
            </w:tcMar>
          </w:tcPr>
          <w:p>
            <w:r>
              <w:rPr>
                <w:b/>
                <w:color w:val="FFFFFF"/>
                <w:sz w:val="18"/>
              </w:rPr>
              <w:t>Priority evidence and action</w:t>
            </w:r>
          </w:p>
        </w:tc>
      </w:tr>
      <w:tr>
        <w:tc>
          <w:tcPr>
            <w:tcW w:type="dxa" w:w="2088"/>
            <w:tcMar>
              <w:top w:w="85" w:type="dxa"/>
              <w:start w:w="95" w:type="dxa"/>
              <w:bottom w:w="85" w:type="dxa"/>
              <w:end w:w="95" w:type="dxa"/>
            </w:tcMar>
            <w:vAlign w:val="top"/>
            <w:shd w:fill="D9EAF7"/>
          </w:tcPr>
          <w:p>
            <w:pPr>
              <w:spacing w:after="20" w:line="240" w:lineRule="auto"/>
            </w:pPr>
            <w:r>
              <w:rPr>
                <w:rFonts w:ascii="Times New Roman" w:hAnsi="Times New Roman"/>
                <w:sz w:val="17"/>
              </w:rPr>
              <w:t>Contamination at shipment / testing</w:t>
            </w:r>
          </w:p>
        </w:tc>
        <w:tc>
          <w:tcPr>
            <w:tcW w:type="dxa" w:w="3672"/>
            <w:tcMar>
              <w:top w:w="85" w:type="dxa"/>
              <w:start w:w="95" w:type="dxa"/>
              <w:bottom w:w="85" w:type="dxa"/>
              <w:end w:w="95" w:type="dxa"/>
            </w:tcMar>
            <w:vAlign w:val="top"/>
          </w:tcPr>
          <w:p>
            <w:pPr>
              <w:spacing w:after="20" w:line="240" w:lineRule="auto"/>
            </w:pPr>
            <w:r>
              <w:rPr>
                <w:rFonts w:ascii="Times New Roman" w:hAnsi="Times New Roman"/>
                <w:sz w:val="17"/>
              </w:rPr>
              <w:t>Answer admits each COA reported conformance at the time of testing; denies that later Thornfield results establish contamination at shipment or Prismavale as source.</w:t>
            </w:r>
          </w:p>
        </w:tc>
        <w:tc>
          <w:tcPr>
            <w:tcW w:type="dxa" w:w="4752"/>
            <w:tcMar>
              <w:top w:w="85" w:type="dxa"/>
              <w:start w:w="95" w:type="dxa"/>
              <w:bottom w:w="85" w:type="dxa"/>
              <w:end w:w="95" w:type="dxa"/>
            </w:tcMar>
            <w:vAlign w:val="top"/>
          </w:tcPr>
          <w:p>
            <w:pPr>
              <w:spacing w:after="20" w:line="240" w:lineRule="auto"/>
            </w:pPr>
            <w:r>
              <w:rPr>
                <w:rFonts w:ascii="Times New Roman" w:hAnsi="Times New Roman"/>
                <w:sz w:val="17"/>
              </w:rPr>
              <w:t>Obtain complete COA support and raw data; analytical method validation, GC-MS chromatograms and blanks for dioxane; microbial culture/identification methods, sample handling and incubation records; retained-sample identity, seals, storage, chain of custody, splits, and laboratory accreditation/QC. Depose Thornfield analyst(s) and Greenleaf sampler(s).</w:t>
            </w:r>
          </w:p>
        </w:tc>
      </w:tr>
      <w:tr>
        <w:tc>
          <w:tcPr>
            <w:tcW w:type="dxa" w:w="2088"/>
            <w:tcMar>
              <w:top w:w="85" w:type="dxa"/>
              <w:start w:w="95" w:type="dxa"/>
              <w:bottom w:w="85" w:type="dxa"/>
              <w:end w:w="95" w:type="dxa"/>
            </w:tcMar>
            <w:vAlign w:val="top"/>
            <w:shd w:fill="D9EAF7"/>
          </w:tcPr>
          <w:p>
            <w:pPr>
              <w:spacing w:after="20" w:line="240" w:lineRule="auto"/>
            </w:pPr>
            <w:r>
              <w:rPr>
                <w:rFonts w:ascii="Times New Roman" w:hAnsi="Times New Roman"/>
                <w:sz w:val="17"/>
              </w:rPr>
              <w:t>SB-102 Line 3 / CAR-2024-019</w:t>
            </w:r>
          </w:p>
        </w:tc>
        <w:tc>
          <w:tcPr>
            <w:tcW w:type="dxa" w:w="3672"/>
            <w:tcMar>
              <w:top w:w="85" w:type="dxa"/>
              <w:start w:w="95" w:type="dxa"/>
              <w:bottom w:w="85" w:type="dxa"/>
              <w:end w:w="95" w:type="dxa"/>
            </w:tcMar>
            <w:vAlign w:val="top"/>
          </w:tcPr>
          <w:p>
            <w:pPr>
              <w:spacing w:after="20" w:line="240" w:lineRule="auto"/>
            </w:pPr>
            <w:r>
              <w:rPr>
                <w:rFonts w:ascii="Times New Roman" w:hAnsi="Times New Roman"/>
                <w:sz w:val="17"/>
              </w:rPr>
              <w:t>Plaintiff alleges a February 28 cleaning validation failure, Ortiz signature, and root-cause completion April 30 after complaints. High exposure if internal records confirm.</w:t>
            </w:r>
          </w:p>
        </w:tc>
        <w:tc>
          <w:tcPr>
            <w:tcW w:type="dxa" w:w="4752"/>
            <w:tcMar>
              <w:top w:w="85" w:type="dxa"/>
              <w:start w:w="95" w:type="dxa"/>
              <w:bottom w:w="85" w:type="dxa"/>
              <w:end w:w="95" w:type="dxa"/>
            </w:tcMar>
            <w:vAlign w:val="top"/>
          </w:tcPr>
          <w:p>
            <w:pPr>
              <w:spacing w:after="20" w:line="240" w:lineRule="auto"/>
            </w:pPr>
            <w:r>
              <w:rPr>
                <w:rFonts w:ascii="Times New Roman" w:hAnsi="Times New Roman"/>
                <w:sz w:val="17"/>
              </w:rPr>
              <w:t>Preserve and collect CAR, deviations, cleaning validation protocol/results, Line 3 batch genealogy, release checklist, raw-material inputs, adjacent batches, re-cleaning and March 2 validation records, QA communications, CAPA closure and complaint dates. Determine exactly what was known by release and whether any link to 1,4-dioxane is scientifically supported.</w:t>
            </w:r>
          </w:p>
        </w:tc>
      </w:tr>
      <w:tr>
        <w:tc>
          <w:tcPr>
            <w:tcW w:type="dxa" w:w="2088"/>
            <w:tcMar>
              <w:top w:w="85" w:type="dxa"/>
              <w:start w:w="95" w:type="dxa"/>
              <w:bottom w:w="85" w:type="dxa"/>
              <w:end w:w="95" w:type="dxa"/>
            </w:tcMar>
            <w:vAlign w:val="top"/>
            <w:shd w:fill="D9EAF7"/>
          </w:tcPr>
          <w:p>
            <w:pPr>
              <w:spacing w:after="20" w:line="240" w:lineRule="auto"/>
            </w:pPr>
            <w:r>
              <w:rPr>
                <w:rFonts w:ascii="Times New Roman" w:hAnsi="Times New Roman"/>
                <w:sz w:val="17"/>
              </w:rPr>
              <w:t>PS-302 / June 10 environmental alert</w:t>
            </w:r>
          </w:p>
        </w:tc>
        <w:tc>
          <w:tcPr>
            <w:tcW w:type="dxa" w:w="3672"/>
            <w:tcMar>
              <w:top w:w="85" w:type="dxa"/>
              <w:start w:w="95" w:type="dxa"/>
              <w:bottom w:w="85" w:type="dxa"/>
              <w:end w:w="95" w:type="dxa"/>
            </w:tcMar>
            <w:vAlign w:val="top"/>
          </w:tcPr>
          <w:p>
            <w:pPr>
              <w:spacing w:after="20" w:line="240" w:lineRule="auto"/>
            </w:pPr>
            <w:r>
              <w:rPr>
                <w:rFonts w:ascii="Times New Roman" w:hAnsi="Times New Roman"/>
                <w:sz w:val="17"/>
              </w:rPr>
              <w:t>Plaintiff alleges manufacture June 10, elevated clean-room alert, and Ortiz release. Answer denies contamination at shipment and pleads transit/storage/handling alternatives; does not specifically resolve all alleged alert facts.</w:t>
            </w:r>
          </w:p>
        </w:tc>
        <w:tc>
          <w:tcPr>
            <w:tcW w:type="dxa" w:w="4752"/>
            <w:tcMar>
              <w:top w:w="85" w:type="dxa"/>
              <w:start w:w="95" w:type="dxa"/>
              <w:bottom w:w="85" w:type="dxa"/>
              <w:end w:w="95" w:type="dxa"/>
            </w:tcMar>
            <w:vAlign w:val="top"/>
          </w:tcPr>
          <w:p>
            <w:pPr>
              <w:spacing w:after="20" w:line="240" w:lineRule="auto"/>
            </w:pPr>
            <w:r>
              <w:rPr>
                <w:rFonts w:ascii="Times New Roman" w:hAnsi="Times New Roman"/>
                <w:sz w:val="17"/>
              </w:rPr>
              <w:t>Collect batch, room/area, monitoring, alert/action limits, sample locations, organism identification, excursion investigation, hold/release criteria, repeat tests, sanitation and release approval records. Interview QA and manufacturing owners. Determine if alert involved the product-contact environment and whether it was an alert or action-level exceedance under the actual SOP.</w:t>
            </w:r>
          </w:p>
        </w:tc>
      </w:tr>
      <w:tr>
        <w:tc>
          <w:tcPr>
            <w:tcW w:type="dxa" w:w="2088"/>
            <w:tcMar>
              <w:top w:w="85" w:type="dxa"/>
              <w:start w:w="95" w:type="dxa"/>
              <w:bottom w:w="85" w:type="dxa"/>
              <w:end w:w="95" w:type="dxa"/>
            </w:tcMar>
            <w:vAlign w:val="top"/>
            <w:shd w:fill="D9EAF7"/>
          </w:tcPr>
          <w:p>
            <w:pPr>
              <w:spacing w:after="20" w:line="240" w:lineRule="auto"/>
            </w:pPr>
            <w:r>
              <w:rPr>
                <w:rFonts w:ascii="Times New Roman" w:hAnsi="Times New Roman"/>
                <w:sz w:val="17"/>
              </w:rPr>
              <w:t>Post-delivery handling and causation</w:t>
            </w:r>
          </w:p>
        </w:tc>
        <w:tc>
          <w:tcPr>
            <w:tcW w:type="dxa" w:w="3672"/>
            <w:tcMar>
              <w:top w:w="85" w:type="dxa"/>
              <w:start w:w="95" w:type="dxa"/>
              <w:bottom w:w="85" w:type="dxa"/>
              <w:end w:w="95" w:type="dxa"/>
            </w:tcMar>
            <w:vAlign w:val="top"/>
          </w:tcPr>
          <w:p>
            <w:pPr>
              <w:spacing w:after="20" w:line="240" w:lineRule="auto"/>
            </w:pPr>
            <w:r>
              <w:rPr>
                <w:rFonts w:ascii="Times New Roman" w:hAnsi="Times New Roman"/>
                <w:sz w:val="17"/>
              </w:rPr>
              <w:t>Answer asserts possible contamination during transit, storage, handling, or Greenleaf production; Greenleaf pleads latent defects and standard incoming inspection.</w:t>
            </w:r>
          </w:p>
        </w:tc>
        <w:tc>
          <w:tcPr>
            <w:tcW w:type="dxa" w:w="4752"/>
            <w:tcMar>
              <w:top w:w="85" w:type="dxa"/>
              <w:start w:w="95" w:type="dxa"/>
              <w:bottom w:w="85" w:type="dxa"/>
              <w:end w:w="95" w:type="dxa"/>
            </w:tcMar>
            <w:vAlign w:val="top"/>
          </w:tcPr>
          <w:p>
            <w:pPr>
              <w:spacing w:after="20" w:line="240" w:lineRule="auto"/>
            </w:pPr>
            <w:r>
              <w:rPr>
                <w:rFonts w:ascii="Times New Roman" w:hAnsi="Times New Roman"/>
                <w:sz w:val="17"/>
              </w:rPr>
              <w:t>Test the defense rather than assume it: request Greenleaf temperature/storage logs, receiving and sampling SOPs, retain-sample records, cleaning/sterility, batch yields, mixing and packaging logs, deviations, consumer complaint data, stability data, and recall decision records. Establish chain of custody for product and retained samples.</w:t>
            </w:r>
          </w:p>
        </w:tc>
      </w:tr>
      <w:tr>
        <w:tc>
          <w:tcPr>
            <w:tcW w:type="dxa" w:w="2088"/>
            <w:tcMar>
              <w:top w:w="85" w:type="dxa"/>
              <w:start w:w="95" w:type="dxa"/>
              <w:bottom w:w="85" w:type="dxa"/>
              <w:end w:w="95" w:type="dxa"/>
            </w:tcMar>
            <w:vAlign w:val="top"/>
            <w:shd w:fill="D9EAF7"/>
          </w:tcPr>
          <w:p>
            <w:pPr>
              <w:spacing w:after="20" w:line="240" w:lineRule="auto"/>
            </w:pPr>
            <w:r>
              <w:rPr>
                <w:rFonts w:ascii="Times New Roman" w:hAnsi="Times New Roman"/>
                <w:sz w:val="17"/>
              </w:rPr>
              <w:t>Notice / contractual rejection</w:t>
            </w:r>
          </w:p>
        </w:tc>
        <w:tc>
          <w:tcPr>
            <w:tcW w:type="dxa" w:w="3672"/>
            <w:tcMar>
              <w:top w:w="85" w:type="dxa"/>
              <w:start w:w="95" w:type="dxa"/>
              <w:bottom w:w="85" w:type="dxa"/>
              <w:end w:w="95" w:type="dxa"/>
            </w:tcMar>
            <w:vAlign w:val="top"/>
          </w:tcPr>
          <w:p>
            <w:pPr>
              <w:spacing w:after="20" w:line="240" w:lineRule="auto"/>
            </w:pPr>
            <w:r>
              <w:rPr>
                <w:rFonts w:ascii="Times New Roman" w:hAnsi="Times New Roman"/>
                <w:sz w:val="17"/>
              </w:rPr>
              <w:t>MSA §8.1 provides 14 calendar days to inspect and reject; complaint says latent contamination was not detectable through ordinary inspection and notice was prompt after discovery. Answer asserts failure to inspect/reject within the period.</w:t>
            </w:r>
          </w:p>
        </w:tc>
        <w:tc>
          <w:tcPr>
            <w:tcW w:type="dxa" w:w="4752"/>
            <w:tcMar>
              <w:top w:w="85" w:type="dxa"/>
              <w:start w:w="95" w:type="dxa"/>
              <w:bottom w:w="85" w:type="dxa"/>
              <w:end w:w="95" w:type="dxa"/>
            </w:tcMar>
            <w:vAlign w:val="top"/>
          </w:tcPr>
          <w:p>
            <w:pPr>
              <w:spacing w:after="20" w:line="240" w:lineRule="auto"/>
            </w:pPr>
            <w:r>
              <w:rPr>
                <w:rFonts w:ascii="Times New Roman" w:hAnsi="Times New Roman"/>
                <w:sz w:val="17"/>
              </w:rPr>
              <w:t>Review exact MSA text, course of dealing, shipment receipt date, notice letters/emails, when Greenleaf first suspected each defect, when testing was ordered/received, and whether latent-defect reservation or UCC notice principles alter the defense. Avoid equating notice after discovery with contractual rejection within 14 days.</w:t>
            </w:r>
          </w:p>
        </w:tc>
      </w:tr>
      <w:tr>
        <w:tc>
          <w:tcPr>
            <w:tcW w:type="dxa" w:w="2088"/>
            <w:tcMar>
              <w:top w:w="85" w:type="dxa"/>
              <w:start w:w="95" w:type="dxa"/>
              <w:bottom w:w="85" w:type="dxa"/>
              <w:end w:w="95" w:type="dxa"/>
            </w:tcMar>
            <w:vAlign w:val="top"/>
            <w:shd w:fill="D9EAF7"/>
          </w:tcPr>
          <w:p>
            <w:pPr>
              <w:spacing w:after="20" w:line="240" w:lineRule="auto"/>
            </w:pPr>
            <w:r>
              <w:rPr>
                <w:rFonts w:ascii="Times New Roman" w:hAnsi="Times New Roman"/>
                <w:sz w:val="17"/>
              </w:rPr>
              <w:t>Pre-suit mediation—PS-302</w:t>
            </w:r>
          </w:p>
        </w:tc>
        <w:tc>
          <w:tcPr>
            <w:tcW w:type="dxa" w:w="3672"/>
            <w:tcMar>
              <w:top w:w="85" w:type="dxa"/>
              <w:start w:w="95" w:type="dxa"/>
              <w:bottom w:w="85" w:type="dxa"/>
              <w:end w:w="95" w:type="dxa"/>
            </w:tcMar>
            <w:vAlign w:val="top"/>
          </w:tcPr>
          <w:p>
            <w:pPr>
              <w:spacing w:after="20" w:line="240" w:lineRule="auto"/>
            </w:pPr>
            <w:r>
              <w:rPr>
                <w:rFonts w:ascii="Times New Roman" w:hAnsi="Times New Roman"/>
                <w:sz w:val="17"/>
              </w:rPr>
              <w:t>Answer says January 6 notice and February 18 mediation addressed only SB-102; Complaint says notice covered both events. This direct factual dispute affects condition precedent.</w:t>
            </w:r>
          </w:p>
        </w:tc>
        <w:tc>
          <w:tcPr>
            <w:tcW w:type="dxa" w:w="4752"/>
            <w:tcMar>
              <w:top w:w="85" w:type="dxa"/>
              <w:start w:w="95" w:type="dxa"/>
              <w:bottom w:w="85" w:type="dxa"/>
              <w:end w:w="95" w:type="dxa"/>
            </w:tcMar>
            <w:vAlign w:val="top"/>
          </w:tcPr>
          <w:p>
            <w:pPr>
              <w:spacing w:after="20" w:line="240" w:lineRule="auto"/>
            </w:pPr>
            <w:r>
              <w:rPr>
                <w:rFonts w:ascii="Times New Roman" w:hAnsi="Times New Roman"/>
                <w:sz w:val="17"/>
              </w:rPr>
              <w:t>Collect original January 6 notice and attachments, Jan. 27 response, mediator engagement/agreement, submissions, attendance/agenda, and nonconfidential chronology. Confirm confidentiality/privilege rules before producing mediation materials. Assess whether mediation terms or applicable law restrict use; do not invoke FRE 408 alone as a discovery privilege.</w:t>
            </w:r>
          </w:p>
        </w:tc>
      </w:tr>
      <w:tr>
        <w:tc>
          <w:tcPr>
            <w:tcW w:type="dxa" w:w="2088"/>
            <w:tcMar>
              <w:top w:w="85" w:type="dxa"/>
              <w:start w:w="95" w:type="dxa"/>
              <w:bottom w:w="85" w:type="dxa"/>
              <w:end w:w="95" w:type="dxa"/>
            </w:tcMar>
            <w:vAlign w:val="top"/>
            <w:shd w:fill="D9EAF7"/>
          </w:tcPr>
          <w:p>
            <w:pPr>
              <w:spacing w:after="20" w:line="240" w:lineRule="auto"/>
            </w:pPr>
            <w:r>
              <w:rPr>
                <w:rFonts w:ascii="Times New Roman" w:hAnsi="Times New Roman"/>
                <w:sz w:val="17"/>
              </w:rPr>
              <w:t>Damages / cap / mitigation</w:t>
            </w:r>
          </w:p>
        </w:tc>
        <w:tc>
          <w:tcPr>
            <w:tcW w:type="dxa" w:w="3672"/>
            <w:tcMar>
              <w:top w:w="85" w:type="dxa"/>
              <w:start w:w="95" w:type="dxa"/>
              <w:bottom w:w="85" w:type="dxa"/>
              <w:end w:w="95" w:type="dxa"/>
            </w:tcMar>
            <w:vAlign w:val="top"/>
          </w:tcPr>
          <w:p>
            <w:pPr>
              <w:spacing w:after="20" w:line="240" w:lineRule="auto"/>
            </w:pPr>
            <w:r>
              <w:rPr>
                <w:rFonts w:ascii="Times New Roman" w:hAnsi="Times New Roman"/>
                <w:sz w:val="17"/>
              </w:rPr>
              <w:t>Answer asserts §12.4 cap and $5.0m prior-12-month purchases; disputes causation and all damages. Complaint distinguishes direct recall costs from consequential revenue, reputation, premium, and regulatory costs.</w:t>
            </w:r>
          </w:p>
        </w:tc>
        <w:tc>
          <w:tcPr>
            <w:tcW w:type="dxa" w:w="4752"/>
            <w:tcMar>
              <w:top w:w="85" w:type="dxa"/>
              <w:start w:w="95" w:type="dxa"/>
              <w:bottom w:w="85" w:type="dxa"/>
              <w:end w:w="95" w:type="dxa"/>
            </w:tcMar>
            <w:vAlign w:val="top"/>
          </w:tcPr>
          <w:p>
            <w:pPr>
              <w:spacing w:after="20" w:line="240" w:lineRule="auto"/>
            </w:pPr>
            <w:r>
              <w:rPr>
                <w:rFonts w:ascii="Times New Roman" w:hAnsi="Times New Roman"/>
                <w:sz w:val="17"/>
              </w:rPr>
              <w:t>Demand underlying ledgers and source data, customer termination/suspension records, forecasts and historical margins, insurance premium calculations, regulatory consultant invoices, recall vendor invoices, credits/salvage, replacement supply, mitigation, and allocation between events. Analyze cap text against damages classification, scope, enforceability, and any willfulness theory.</w:t>
            </w:r>
          </w:p>
        </w:tc>
      </w:tr>
      <w:tr>
        <w:tc>
          <w:tcPr>
            <w:tcW w:type="dxa" w:w="2088"/>
            <w:tcMar>
              <w:top w:w="85" w:type="dxa"/>
              <w:start w:w="95" w:type="dxa"/>
              <w:bottom w:w="85" w:type="dxa"/>
              <w:end w:w="95" w:type="dxa"/>
            </w:tcMar>
            <w:vAlign w:val="top"/>
            <w:shd w:fill="D9EAF7"/>
          </w:tcPr>
          <w:p>
            <w:pPr>
              <w:spacing w:after="20" w:line="240" w:lineRule="auto"/>
            </w:pPr>
            <w:r>
              <w:rPr>
                <w:rFonts w:ascii="Times New Roman" w:hAnsi="Times New Roman"/>
                <w:sz w:val="17"/>
              </w:rPr>
              <w:t>Warranty / merchantability / negligence</w:t>
            </w:r>
          </w:p>
        </w:tc>
        <w:tc>
          <w:tcPr>
            <w:tcW w:type="dxa" w:w="3672"/>
            <w:tcMar>
              <w:top w:w="85" w:type="dxa"/>
              <w:start w:w="95" w:type="dxa"/>
              <w:bottom w:w="85" w:type="dxa"/>
              <w:end w:w="95" w:type="dxa"/>
            </w:tcMar>
            <w:vAlign w:val="top"/>
          </w:tcPr>
          <w:p>
            <w:pPr>
              <w:spacing w:after="20" w:line="240" w:lineRule="auto"/>
            </w:pPr>
            <w:r>
              <w:rPr>
                <w:rFonts w:ascii="Times New Roman" w:hAnsi="Times New Roman"/>
                <w:sz w:val="17"/>
              </w:rPr>
              <w:t>Answer denies nonconformity, breach, merchantability, and independent duty; pleads Greenleaf fault.</w:t>
            </w:r>
          </w:p>
        </w:tc>
        <w:tc>
          <w:tcPr>
            <w:tcW w:type="dxa" w:w="4752"/>
            <w:tcMar>
              <w:top w:w="85" w:type="dxa"/>
              <w:start w:w="95" w:type="dxa"/>
              <w:bottom w:w="85" w:type="dxa"/>
              <w:end w:w="95" w:type="dxa"/>
            </w:tcMar>
            <w:vAlign w:val="top"/>
          </w:tcPr>
          <w:p>
            <w:pPr>
              <w:spacing w:after="20" w:line="240" w:lineRule="auto"/>
            </w:pPr>
            <w:r>
              <w:rPr>
                <w:rFonts w:ascii="Times New Roman" w:hAnsi="Times New Roman"/>
                <w:sz w:val="17"/>
              </w:rPr>
              <w:t>Develop specifications and ordinary purpose through MSA Exhibit A, product uses, industry standards, technical experts, and parties’ quality practices. Separate any contract-only quality promise from a possible independent tort duty under Colorado law; reserve legal research and expert development.</w:t>
            </w:r>
          </w:p>
        </w:tc>
      </w:tr>
    </w:tbl>
    <w:p>
      <w:pPr>
        <w:pStyle w:val="Heading1"/>
      </w:pPr>
      <w:r>
        <w:t>3. Immediate response and factual verification plan</w:t>
      </w:r>
    </w:p>
    <w:p>
      <w:r>
        <w:rPr>
          <w:i w:val="0"/>
        </w:rPr>
        <w:t>Before the June 9, 2025 assumed deadline, complete these steps in parallel. A response that says “after reasonable inquiry” is proper only after an actual reasonable inquiry of information known or readily obtainable; counsel should not convert an unreviewed allegation into an admission, denial, or unsupported inability to answer.</w:t>
      </w:r>
    </w:p>
    <w:p>
      <w:pPr>
        <w:pStyle w:val="ListNumber"/>
        <w:spacing w:after="60"/>
      </w:pPr>
      <w:r>
        <w:t>Collect the operative MSA, Exhibit A, purchase orders, shipping/receiving records, invoices, all COAs and supporting test records. Confirm specification limits and the exact Section 8.1, 12.4, and 14.3 language from the executed agreement.</w:t>
      </w:r>
    </w:p>
    <w:p>
      <w:pPr>
        <w:pStyle w:val="ListNumber"/>
        <w:spacing w:after="60"/>
      </w:pPr>
      <w:r>
        <w:t>Conduct privileged interviews of Raymond Ortiz, Claudia Ferris, Harold Breckenridge, Timothy Wardell, the SB-102 and PS-302 batch owners, Line 3 sanitation/production personnel, environmental monitoring personnel, the COA signatory, and document/ERP administrators. Keep counsel notes and legal analysis separate from ordinary-course records.</w:t>
      </w:r>
    </w:p>
    <w:p>
      <w:pPr>
        <w:pStyle w:val="ListNumber"/>
        <w:spacing w:after="60"/>
      </w:pPr>
      <w:r>
        <w:t>Review CAR-2024-019, EML-2024-06-10, complete batch files, relevant SOPs, QA hold/release criteria, raw data and full investigation files. Identify whether names, dates, batches, and conclusions match Plaintiff’s allegations. Determine which facts can be admitted, denied, or answered only after inquiry.</w:t>
      </w:r>
    </w:p>
    <w:p>
      <w:pPr>
        <w:pStyle w:val="ListNumber"/>
        <w:spacing w:after="60"/>
      </w:pPr>
      <w:r>
        <w:t>Confirm receipt and contents of Greenleaf notices, Thornfield reports and samples; exact consumer-complaint notice; product recall communications; mediation notice/response/submissions; and the date PS-302 was first raised. Do not assume complaint allegations are established facts.</w:t>
      </w:r>
    </w:p>
    <w:p>
      <w:pPr>
        <w:pStyle w:val="ListNumber"/>
        <w:spacing w:after="60"/>
      </w:pPr>
      <w:r>
        <w:t>Verify insurance coverage and Section 12.4 purchase-price calculations from policies, declarations, endorsements, invoices, and ledger data. Check whether the calendar-year 2024 coverage request asks for product-liability coverage specifically or a broader CGL policy.</w:t>
      </w:r>
    </w:p>
    <w:p>
      <w:pPr>
        <w:pStyle w:val="ListNumber"/>
        <w:spacing w:after="60"/>
      </w:pPr>
      <w:r>
        <w:t>Map responsive sources and custodians; issue/refresh legal hold, suspend deletion and auto-delete, preserve email, Teams/Slack/texts, ERP, QA/QMS, lab systems, shared drives, mobile devices, backup sources as warranted, and third-party materials within control. Record collection dates and custodians.</w:t>
      </w:r>
    </w:p>
    <w:p>
      <w:pPr>
        <w:pStyle w:val="ListNumber"/>
        <w:spacing w:after="60"/>
      </w:pPr>
      <w:r>
        <w:t>Finalize RFA responses request by request. Separate partial admissions from denials; identify exactly what is admitted in compound requests. For an inability to answer, state reasonable inquiry and why information known or readily obtainable remains insufficient. Have client representative review verification of facts, then counsel sign under Rule 26(g).</w:t>
      </w:r>
    </w:p>
    <w:p>
      <w:pPr>
        <w:pStyle w:val="ListNumber"/>
        <w:spacing w:after="60"/>
      </w:pPr>
      <w:r>
        <w:t>Finalize RFP objections with concrete limits and production commitments. Identify records held by carriers/contractors and assess Prismavale’s practical or legal control, rather than categorically treating all third-party records as outside control. Confirm that promised sources can be searched and the June 9 production schedule is feasible.</w:t>
      </w:r>
    </w:p>
    <w:p>
      <w:pPr>
        <w:pStyle w:val="Heading1"/>
      </w:pPr>
      <w:r>
        <w:t>4. RFA response posture</w:t>
      </w:r>
    </w:p>
    <w:p>
      <w:pPr>
        <w:pStyle w:val="ListBullet"/>
        <w:spacing w:after="60"/>
      </w:pPr>
      <w:r>
        <w:t>Admit contract existence, term, contractual specifications/COA obligation, shipment facts that records confirm, and the fact that the COAs reported conformance. Those admissions match the Answer and narrow undisputed issues without admitting actual product condition.</w:t>
      </w:r>
    </w:p>
    <w:p>
      <w:pPr>
        <w:pStyle w:val="ListBullet"/>
        <w:spacing w:after="60"/>
      </w:pPr>
      <w:r>
        <w:t>Deny Requests 9–11, 19–23 insofar as they ask Prismavale to concede accuracy of Greenleaf’s test results, nonconformity at shipment, causation, merchantability, or damages. Where a report’s contents are admitted, distinguish “the report states X” from “X is accurate” or “X existed at shipment.”</w:t>
      </w:r>
    </w:p>
    <w:p>
      <w:pPr>
        <w:pStyle w:val="ListBullet"/>
        <w:spacing w:after="60"/>
      </w:pPr>
      <w:r>
        <w:t>For RFAs 12–13, do not conflate the date Prismavale learned of a complaint with whether notice was “reasonable” or satisfied MSA §8.1. Admit a supported receipt/timing fact, then clearly state the disputed characterization and the contractual defense.</w:t>
      </w:r>
    </w:p>
    <w:p>
      <w:pPr>
        <w:pStyle w:val="ListBullet"/>
        <w:spacing w:after="60"/>
      </w:pPr>
      <w:r>
        <w:t>For compound RFAs 14–16, respond to every subpart separately even while preserving the 32-versus-30 limit issue. If the internal records establish an adverse fact, do not evade it through a compound objection. Address exactly whether a deviation occurred, its classification, batch/line relation, investigation timing, and who approved release.</w:t>
      </w:r>
    </w:p>
    <w:p>
      <w:pPr>
        <w:pStyle w:val="ListBullet"/>
        <w:spacing w:after="60"/>
      </w:pPr>
      <w:r>
        <w:t>For RFA 18, admit the February 18 mediation occurred; maintain the Answer’s position that it addressed SB-102 but not PS-302, subject to checking the original notice and mediation record. For RFA 25, admit the contract language only; do not admit enforceability, application to each damage category, or the amount of any recoverable cap.</w:t>
      </w:r>
    </w:p>
    <w:p>
      <w:pPr>
        <w:pStyle w:val="ListBullet"/>
        <w:spacing w:after="60"/>
      </w:pPr>
      <w:r>
        <w:t>RFA requests do not generally require an oath under Rule 36; they must be signed by counsel under Rule 26(g). The requesting set’s “under oath” instruction does not change the Rules. Use a verification only if counsel elects or a specific rule/order requires it.</w:t>
      </w:r>
    </w:p>
    <w:p>
      <w:pPr>
        <w:pStyle w:val="Heading1"/>
      </w:pPr>
      <w:r>
        <w:t>5. RFP response and production approach</w:t>
      </w:r>
    </w:p>
    <w:p>
      <w:pPr>
        <w:pStyle w:val="ListBullet"/>
        <w:spacing w:after="60"/>
      </w:pPr>
      <w:r>
        <w:t>Produce core case documents early: MSA/Exhibit A, POs, COAs and underlying release data, both batch files, CAR-2024-019 and related Line 3 records, June 2024 environmental monitoring/batch records, Greenleaf communications, relevant customer complaints for the same codes, and insurance materials. Do not bury likely adverse quality documents in a late rolling production.</w:t>
      </w:r>
    </w:p>
    <w:p>
      <w:pPr>
        <w:pStyle w:val="ListBullet"/>
        <w:spacing w:after="60"/>
      </w:pPr>
      <w:r>
        <w:t>Narrow broad company-wide requests to the facility, process, product code, contaminant, and time period that bear on the claims and defenses. State the narrowing in each response, and produce non-objectionable responsive material. For RFP 12, 14, 25, 27 and 29, use product/facility-specific limits and evaluate similar-product relevance rather than a categorical no.</w:t>
      </w:r>
    </w:p>
    <w:p>
      <w:pPr>
        <w:pStyle w:val="ListBullet"/>
        <w:spacing w:after="60"/>
      </w:pPr>
      <w:r>
        <w:t>Use the agreed ESI protocol: native format where practicable; spreadsheets, ERP exports, databases and structured data native; email as .msg/.eml or TIFF with complete load-file fields; non-native ESI as single-page TIFF with extracted text/OCR as applicable and available metadata. Unique PRISMAVALE Bates numbers; native-file placeholder/cover sheet with matching Bates range; de-duplicate by MD5/SHA-1 and identify all source custodians.</w:t>
      </w:r>
    </w:p>
    <w:p>
      <w:pPr>
        <w:pStyle w:val="ListBullet"/>
        <w:spacing w:after="60"/>
      </w:pPr>
      <w:r>
        <w:t>Log withheld material under the agreed two-tier protocol: Category A document-by-document entries; Category B categorical entries for attorney email domains, subject to challenges. Serve logs within 30 days after each production. Apply the stipulated FRE 502(d) clawback only after confirming the stipulation was entered as an order; otherwise seek/confirm an effective order.</w:t>
      </w:r>
    </w:p>
    <w:p>
      <w:pPr>
        <w:pStyle w:val="ListBullet"/>
        <w:spacing w:after="60"/>
      </w:pPr>
      <w:r>
        <w:t>RFP 18: review the parties’ mediation agreement and applicable confidentiality law. FRE 408 governs admissibility, not a stand-alone privilege. Produce separable nonconfidential notices and administrative documents if appropriate; withhold only material protected by an applicable privilege, work product, statute, court order, or agreement, and describe the basis accurately.</w:t>
      </w:r>
    </w:p>
    <w:p>
      <w:pPr>
        <w:pStyle w:val="ListBullet"/>
        <w:spacing w:after="60"/>
      </w:pPr>
      <w:r>
        <w:t>RFP 22 and 26: distinguish nonprivileged preservation facts and administrative billing/engagement records from counsel’s legal advice, mental impressions, and litigation strategy. Do not claim that every engagement or invoice is categorically privileged. Redact only where justified and log withheld material under the protocol.</w:t>
      </w:r>
    </w:p>
    <w:p>
      <w:pPr>
        <w:pStyle w:val="ListBullet"/>
        <w:spacing w:after="60"/>
      </w:pPr>
      <w:r>
        <w:t>RFP 30 is a broad catch-all. Object as vague, overbroad, duplicative, and not a substitute for targeted discovery; after reasonable search, produce nonprivileged material relevant to the claims/defenses not already produced. Identify the specific scope of the objection and production.</w:t>
      </w:r>
    </w:p>
    <w:p>
      <w:pPr>
        <w:pStyle w:val="Heading1"/>
      </w:pPr>
      <w:r>
        <w:t>6. Preservation, custodian map, and targeted discovery</w:t>
      </w:r>
    </w:p>
    <w:p>
      <w:r>
        <w:rPr>
          <w:i w:val="0"/>
        </w:rPr>
        <w:t>Initial custodian set (confirm names, roles, and dates with client): Raymond Ortiz; Claudia Ferris; Harold “Hal” Breckenridge; Timothy Wardell; SB-102/PS-302 manufacturing and batch-record owners; Line 3 cleaning validation personnel; environmental-monitoring owner; QA release approver and COA signatory; ERP/QMS administrators; customer-service/complaint personnel; logistics staff; and the business owner for Greenleaf account communications. Include shared mailboxes, QMS/ERP data, and mobile or messaging sources used for business. Avoid overcollection from uninvolved staff.</w:t>
      </w:r>
    </w:p>
    <w:p>
      <w:r>
        <w:rPr>
          <w:i w:val="0"/>
        </w:rPr>
        <w:t>Proposed opposing-party discovery priorities: (1) requests for Greenleaf’s full Thornfield file, retained sample chain of custody, raw data and method validation; (2) Greenleaf’s incoming/finished-goods testing, storage/temperature, manufacturing and sanitation records; (3) consumer complaints, recall decision chronology and unit-level traceability; (4) retailer termination/suspension communications and damages calculations; (5) insurance/regulatory cost source data; and (6) original pre-suit dispute notice and mediation scope documents. Use focused interrogatories for identification and contention foundations, then depositions.</w:t>
      </w:r>
    </w:p>
    <w:p>
      <w:r>
        <w:rPr>
          <w:i w:val="0"/>
        </w:rPr>
        <w:t>Third-party discovery: subpoena Thornfield for sample receipt, chain-of-custody, methods, raw data, lab QA and analysts; subpoena carrier(s) for route, custody and available temperature/handling records; consider recall vendor and affected retailer discovery only after evaluating damages source records and proportionality. Serve subpoenas early enough to resolve objections and complete compliance before October 31, 2025.</w:t>
      </w:r>
    </w:p>
    <w:p>
      <w:pPr>
        <w:pStyle w:val="Heading1"/>
      </w:pPr>
      <w:r>
        <w:t>7. Calendar and decision gates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17365D"/>
            <w:tcMar>
              <w:top w:w="90" w:type="dxa"/>
              <w:start w:w="100" w:type="dxa"/>
              <w:bottom w:w="90" w:type="dxa"/>
              <w:end w:w="100" w:type="dxa"/>
            </w:tcMar>
          </w:tcPr>
          <w:p>
            <w:r>
              <w:rPr>
                <w:b/>
                <w:color w:val="FFFFFF"/>
              </w:rPr>
              <w:t>Date</w:t>
            </w:r>
          </w:p>
        </w:tc>
        <w:tc>
          <w:tcPr>
            <w:tcW w:type="dxa" w:w="4824"/>
            <w:shd w:fill="17365D"/>
            <w:tcMar>
              <w:top w:w="90" w:type="dxa"/>
              <w:start w:w="100" w:type="dxa"/>
              <w:bottom w:w="90" w:type="dxa"/>
              <w:end w:w="100" w:type="dxa"/>
            </w:tcMar>
          </w:tcPr>
          <w:p>
            <w:r>
              <w:rPr>
                <w:b/>
                <w:color w:val="FFFFFF"/>
              </w:rPr>
              <w:t>Action / deadline</w:t>
            </w:r>
          </w:p>
        </w:tc>
      </w:tr>
      <w:tr>
        <w:tc>
          <w:tcPr>
            <w:tcW w:type="dxa" w:w="2376"/>
            <w:tcMar>
              <w:top w:w="80" w:type="dxa"/>
              <w:start w:w="100" w:type="dxa"/>
              <w:bottom w:w="80" w:type="dxa"/>
              <w:end w:w="100" w:type="dxa"/>
            </w:tcMar>
          </w:tcPr>
          <w:p>
            <w:r>
              <w:rPr>
                <w:b/>
              </w:rPr>
              <w:t>May 5, 2025</w:t>
            </w:r>
          </w:p>
        </w:tc>
        <w:tc>
          <w:tcPr>
            <w:tcW w:type="dxa" w:w="7992"/>
            <w:tcMar>
              <w:top w:w="80" w:type="dxa"/>
              <w:start w:w="100" w:type="dxa"/>
              <w:bottom w:w="80" w:type="dxa"/>
              <w:end w:w="100" w:type="dxa"/>
            </w:tcMar>
          </w:tcPr>
          <w:p>
            <w:r>
              <w:t>Plaintiff serves first RFAs/RFPs.</w:t>
            </w:r>
          </w:p>
        </w:tc>
      </w:tr>
      <w:tr>
        <w:tc>
          <w:tcPr>
            <w:tcW w:type="dxa" w:w="2376"/>
            <w:tcMar>
              <w:top w:w="80" w:type="dxa"/>
              <w:start w:w="100" w:type="dxa"/>
              <w:bottom w:w="80" w:type="dxa"/>
              <w:end w:w="100" w:type="dxa"/>
            </w:tcMar>
          </w:tcPr>
          <w:p>
            <w:r>
              <w:rPr>
                <w:b/>
              </w:rPr>
              <w:t>June 9, 2025</w:t>
            </w:r>
          </w:p>
        </w:tc>
        <w:tc>
          <w:tcPr>
            <w:tcW w:type="dxa" w:w="7992"/>
            <w:tcMar>
              <w:top w:w="80" w:type="dxa"/>
              <w:start w:w="100" w:type="dxa"/>
              <w:bottom w:w="80" w:type="dxa"/>
              <w:end w:w="100" w:type="dxa"/>
            </w:tcMar>
          </w:tcPr>
          <w:p>
            <w:r>
              <w:t>Assumed 35-day response/production deadline under stipulation. Confirm actual court approval and service computation; serve responses and a concrete rolling-production schedule.</w:t>
            </w:r>
          </w:p>
        </w:tc>
      </w:tr>
      <w:tr>
        <w:tc>
          <w:tcPr>
            <w:tcW w:type="dxa" w:w="2376"/>
            <w:tcMar>
              <w:top w:w="80" w:type="dxa"/>
              <w:start w:w="100" w:type="dxa"/>
              <w:bottom w:w="80" w:type="dxa"/>
              <w:end w:w="100" w:type="dxa"/>
            </w:tcMar>
          </w:tcPr>
          <w:p>
            <w:r>
              <w:rPr>
                <w:b/>
              </w:rPr>
              <w:t>June–July 2025</w:t>
            </w:r>
          </w:p>
        </w:tc>
        <w:tc>
          <w:tcPr>
            <w:tcW w:type="dxa" w:w="7992"/>
            <w:tcMar>
              <w:top w:w="80" w:type="dxa"/>
              <w:start w:w="100" w:type="dxa"/>
              <w:bottom w:w="80" w:type="dxa"/>
              <w:end w:w="100" w:type="dxa"/>
            </w:tcMar>
          </w:tcPr>
          <w:p>
            <w:r>
              <w:t>Complete custodian collection, initial core production, privilege logging cadence, meet-and-confer on RFA subpart count, ESI searches, protective order, and any categorical privilege-log issues.</w:t>
            </w:r>
          </w:p>
        </w:tc>
      </w:tr>
      <w:tr>
        <w:tc>
          <w:tcPr>
            <w:tcW w:type="dxa" w:w="2376"/>
            <w:tcMar>
              <w:top w:w="80" w:type="dxa"/>
              <w:start w:w="100" w:type="dxa"/>
              <w:bottom w:w="80" w:type="dxa"/>
              <w:end w:w="100" w:type="dxa"/>
            </w:tcMar>
          </w:tcPr>
          <w:p>
            <w:r>
              <w:rPr>
                <w:b/>
              </w:rPr>
              <w:t>July 14, 2025</w:t>
            </w:r>
          </w:p>
        </w:tc>
        <w:tc>
          <w:tcPr>
            <w:tcW w:type="dxa" w:w="7992"/>
            <w:tcMar>
              <w:top w:w="80" w:type="dxa"/>
              <w:start w:w="100" w:type="dxa"/>
              <w:bottom w:w="80" w:type="dxa"/>
              <w:end w:w="100" w:type="dxa"/>
            </w:tcMar>
          </w:tcPr>
          <w:p>
            <w:r>
              <w:t>Deadline to amend pleadings/join parties absent Rule 16(b)(4) good cause.</w:t>
            </w:r>
          </w:p>
        </w:tc>
      </w:tr>
      <w:tr>
        <w:tc>
          <w:tcPr>
            <w:tcW w:type="dxa" w:w="2376"/>
            <w:tcMar>
              <w:top w:w="80" w:type="dxa"/>
              <w:start w:w="100" w:type="dxa"/>
              <w:bottom w:w="80" w:type="dxa"/>
              <w:end w:w="100" w:type="dxa"/>
            </w:tcMar>
          </w:tcPr>
          <w:p>
            <w:r>
              <w:rPr>
                <w:b/>
              </w:rPr>
              <w:t>By early/mid-2025, then rolling</w:t>
            </w:r>
          </w:p>
        </w:tc>
        <w:tc>
          <w:tcPr>
            <w:tcW w:type="dxa" w:w="7992"/>
            <w:tcMar>
              <w:top w:w="80" w:type="dxa"/>
              <w:start w:w="100" w:type="dxa"/>
              <w:bottom w:w="80" w:type="dxa"/>
              <w:end w:w="100" w:type="dxa"/>
            </w:tcMar>
          </w:tcPr>
          <w:p>
            <w:r>
              <w:t>Propound any defense written discovery early enough for answers before October 31; take key fact depositions and third-party subpoenas.</w:t>
            </w:r>
          </w:p>
        </w:tc>
      </w:tr>
      <w:tr>
        <w:tc>
          <w:tcPr>
            <w:tcW w:type="dxa" w:w="2376"/>
            <w:tcMar>
              <w:top w:w="80" w:type="dxa"/>
              <w:start w:w="100" w:type="dxa"/>
              <w:bottom w:w="80" w:type="dxa"/>
              <w:end w:w="100" w:type="dxa"/>
            </w:tcMar>
          </w:tcPr>
          <w:p>
            <w:r>
              <w:rPr>
                <w:b/>
              </w:rPr>
              <w:t>October 31, 2025</w:t>
            </w:r>
          </w:p>
        </w:tc>
        <w:tc>
          <w:tcPr>
            <w:tcW w:type="dxa" w:w="7992"/>
            <w:tcMar>
              <w:top w:w="80" w:type="dxa"/>
              <w:start w:w="100" w:type="dxa"/>
              <w:bottom w:w="80" w:type="dxa"/>
              <w:end w:w="100" w:type="dxa"/>
            </w:tcMar>
          </w:tcPr>
          <w:p>
            <w:r>
              <w:t>Fact discovery closes; all fact depositions and written responses must be complete.</w:t>
            </w:r>
          </w:p>
        </w:tc>
      </w:tr>
      <w:tr>
        <w:tc>
          <w:tcPr>
            <w:tcW w:type="dxa" w:w="2376"/>
            <w:tcMar>
              <w:top w:w="80" w:type="dxa"/>
              <w:start w:w="100" w:type="dxa"/>
              <w:bottom w:w="80" w:type="dxa"/>
              <w:end w:w="100" w:type="dxa"/>
            </w:tcMar>
          </w:tcPr>
          <w:p>
            <w:r>
              <w:rPr>
                <w:b/>
              </w:rPr>
              <w:t>December 15, 2025</w:t>
            </w:r>
          </w:p>
        </w:tc>
        <w:tc>
          <w:tcPr>
            <w:tcW w:type="dxa" w:w="7992"/>
            <w:tcMar>
              <w:top w:w="80" w:type="dxa"/>
              <w:start w:w="100" w:type="dxa"/>
              <w:bottom w:w="80" w:type="dxa"/>
              <w:end w:w="100" w:type="dxa"/>
            </w:tcMar>
          </w:tcPr>
          <w:p>
            <w:r>
              <w:t>Plaintiff initial expert disclosures/reports due.</w:t>
            </w:r>
          </w:p>
        </w:tc>
      </w:tr>
      <w:tr>
        <w:tc>
          <w:tcPr>
            <w:tcW w:type="dxa" w:w="2376"/>
            <w:tcMar>
              <w:top w:w="80" w:type="dxa"/>
              <w:start w:w="100" w:type="dxa"/>
              <w:bottom w:w="80" w:type="dxa"/>
              <w:end w:w="100" w:type="dxa"/>
            </w:tcMar>
          </w:tcPr>
          <w:p>
            <w:r>
              <w:rPr>
                <w:b/>
              </w:rPr>
              <w:t>January 15, 2026</w:t>
            </w:r>
          </w:p>
        </w:tc>
        <w:tc>
          <w:tcPr>
            <w:tcW w:type="dxa" w:w="7992"/>
            <w:tcMar>
              <w:top w:w="80" w:type="dxa"/>
              <w:start w:w="100" w:type="dxa"/>
              <w:bottom w:w="80" w:type="dxa"/>
              <w:end w:w="100" w:type="dxa"/>
            </w:tcMar>
          </w:tcPr>
          <w:p>
            <w:r>
              <w:t>Defendant rebuttal expert disclosures/reports due.</w:t>
            </w:r>
          </w:p>
        </w:tc>
      </w:tr>
      <w:tr>
        <w:tc>
          <w:tcPr>
            <w:tcW w:type="dxa" w:w="2376"/>
            <w:tcMar>
              <w:top w:w="80" w:type="dxa"/>
              <w:start w:w="100" w:type="dxa"/>
              <w:bottom w:w="80" w:type="dxa"/>
              <w:end w:w="100" w:type="dxa"/>
            </w:tcMar>
          </w:tcPr>
          <w:p>
            <w:r>
              <w:rPr>
                <w:b/>
              </w:rPr>
              <w:t>Approximately February 14, 2026</w:t>
            </w:r>
          </w:p>
        </w:tc>
        <w:tc>
          <w:tcPr>
            <w:tcW w:type="dxa" w:w="7992"/>
            <w:tcMar>
              <w:top w:w="80" w:type="dxa"/>
              <w:start w:w="100" w:type="dxa"/>
              <w:bottom w:w="80" w:type="dxa"/>
              <w:end w:w="100" w:type="dxa"/>
            </w:tcMar>
          </w:tcPr>
          <w:p>
            <w:r>
              <w:t>Expert depositions complete (30 days after rebuttal reports).</w:t>
            </w:r>
          </w:p>
        </w:tc>
      </w:tr>
      <w:tr>
        <w:tc>
          <w:tcPr>
            <w:tcW w:type="dxa" w:w="2376"/>
            <w:tcMar>
              <w:top w:w="80" w:type="dxa"/>
              <w:start w:w="100" w:type="dxa"/>
              <w:bottom w:w="80" w:type="dxa"/>
              <w:end w:w="100" w:type="dxa"/>
            </w:tcMar>
          </w:tcPr>
          <w:p>
            <w:r>
              <w:rPr>
                <w:b/>
              </w:rPr>
              <w:t>February 28, 2026</w:t>
            </w:r>
          </w:p>
        </w:tc>
        <w:tc>
          <w:tcPr>
            <w:tcW w:type="dxa" w:w="7992"/>
            <w:tcMar>
              <w:top w:w="80" w:type="dxa"/>
              <w:start w:w="100" w:type="dxa"/>
              <w:bottom w:w="80" w:type="dxa"/>
              <w:end w:w="100" w:type="dxa"/>
            </w:tcMar>
          </w:tcPr>
          <w:p>
            <w:r>
              <w:t>Dispositive and Daubert motions due.</w:t>
            </w:r>
          </w:p>
        </w:tc>
      </w:tr>
      <w:tr>
        <w:tc>
          <w:tcPr>
            <w:tcW w:type="dxa" w:w="2376"/>
            <w:tcMar>
              <w:top w:w="80" w:type="dxa"/>
              <w:start w:w="100" w:type="dxa"/>
              <w:bottom w:w="80" w:type="dxa"/>
              <w:end w:w="100" w:type="dxa"/>
            </w:tcMar>
          </w:tcPr>
          <w:p>
            <w:r>
              <w:rPr>
                <w:b/>
              </w:rPr>
              <w:t>June 1, 2026</w:t>
            </w:r>
          </w:p>
        </w:tc>
        <w:tc>
          <w:tcPr>
            <w:tcW w:type="dxa" w:w="7992"/>
            <w:tcMar>
              <w:top w:w="80" w:type="dxa"/>
              <w:start w:w="100" w:type="dxa"/>
              <w:bottom w:w="80" w:type="dxa"/>
              <w:end w:w="100" w:type="dxa"/>
            </w:tcMar>
          </w:tcPr>
          <w:p>
            <w:r>
              <w:t>Jury trial set to commence; estimated 5–7 court days.</w:t>
            </w:r>
          </w:p>
        </w:tc>
      </w:tr>
    </w:tbl>
    <w:p>
      <w:pPr>
        <w:pStyle w:val="Heading1"/>
      </w:pPr>
      <w:r>
        <w:t>8. Record inconsistencies and counsel checks</w:t>
      </w:r>
    </w:p>
    <w:p>
      <w:pPr>
        <w:pStyle w:val="ListBullet"/>
        <w:spacing w:after="60"/>
      </w:pPr>
      <w:r>
        <w:t>Docket/order status and discovery judge: the Scheduling Order identifies Magistrate Judge Scott T. Vanderholt for discovery referrals in §3.2, but §3.4 refers to Magistrate Judge Varholak. The stipulation text has a proposed order with a blank date; the RFA and RFP cover pages cite inconsistent ECF/Dkt. numbers (ECF 24 versus Dkt. 32). Confirm the actual docket, entered stipulation/order, controlling response extension, correct discovery judge, and operative case caption before service or motion practice.</w:t>
      </w:r>
    </w:p>
    <w:p>
      <w:pPr>
        <w:pStyle w:val="ListBullet"/>
        <w:spacing w:after="60"/>
      </w:pPr>
      <w:r>
        <w:t>Counsel credentials and contact details are inconsistent across provided filings (bar numbers, phone numbers, and some names/addresses). Use current court CM/ECF counsel-of-record data and the firm’s approved signature block, not blindly copied historical blocks.</w:t>
      </w:r>
    </w:p>
    <w:p>
      <w:pPr>
        <w:pStyle w:val="ListBullet"/>
        <w:spacing w:after="60"/>
      </w:pPr>
      <w:r>
        <w:t>Complaint and Answer conflict over whether the January 6, 2025 dispute notice included PS-302; they also differ on how Section 8.1 applies to latent defects. Review the executed MSA, notice, mediation materials, and evidence before finalizing admissions or legal arguments.</w:t>
      </w:r>
    </w:p>
    <w:p>
      <w:pPr>
        <w:pStyle w:val="ListBullet"/>
        <w:spacing w:after="60"/>
      </w:pPr>
      <w:r>
        <w:t>The supplied file set contains no actual COAs, CAR, environmental log, raw lab data, carrier records, insurance policies, discovery production, or initial disclosures. The memo and response drafts do not establish those documents’ contents or that any search has occurred.</w:t>
      </w:r>
    </w:p>
    <w:p>
      <w:r>
        <w:rPr>
          <w:b/>
          <w:i w:val="0"/>
        </w:rPr>
        <w:t>Practical recommendation:</w:t>
      </w:r>
      <w:r>
        <w:t xml:space="preserve"> serve accurate, qualified responses by the deadline, avoid blanket objections, and make early targeted production. Simultaneously test the technical evidence and damages rather than allowing the case to turn solely on a binary “bad batch” narrative. Reassess settlement exposure after the adverse internal quality records, retained-sample testing, notice/mediation record, and Greenleaf damages support are verified.</w:t>
      </w:r>
    </w:p>
    <w:sectPr w:rsidR="00FC693F" w:rsidRPr="0006063C" w:rsidSect="00034616">
      <w:headerReference w:type="default" r:id="rId9"/>
      <w:footerReference w:type="default" r:id="rId10"/>
      <w:pgSz w:w="12240" w:h="15840"/>
      <w:pgMar w:top="1123"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16"/>
      </w:rPr>
      <w:t xml:space="preserve">CONFIDENTIAL – ATTORNEY WORK PRODUCT /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66666"/>
        <w:sz w:val="16"/>
      </w:rPr>
      <w:t>PRISMAVALE CHEMICAL SOLUTIONS, LLC  |  DISCOVERY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