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&amp;</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p>
      <w:pPr>
        <w:pStyle w:val="FirstParagraph"/>
      </w:pPr>
      <w:r>
        <w:rPr>
          <w:b/>
          <w:bCs/>
        </w:rPr>
        <w:t xml:space="preserve">HOLLISTER &amp; MARSH LLP —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Kessler; Brian Aldridge; Emily Tanaka</w:t>
            </w:r>
          </w:p>
        </w:tc>
      </w:tr>
      <w:tr>
        <w:tc>
          <w:tcPr/>
          <w:p>
            <w:pPr>
              <w:pStyle w:val="Compact"/>
              <w:jc w:val="left"/>
            </w:pPr>
            <w:r>
              <w:rPr>
                <w:b/>
                <w:bCs/>
              </w:rPr>
              <w:t xml:space="preserve">From:</w:t>
            </w:r>
          </w:p>
        </w:tc>
        <w:tc>
          <w:tcPr/>
          <w:p>
            <w:pPr>
              <w:pStyle w:val="Compact"/>
              <w:jc w:val="left"/>
            </w:pPr>
            <w:r>
              <w:t xml:space="preserve">[Drafting Attorney]</w:t>
            </w:r>
          </w:p>
        </w:tc>
      </w:tr>
      <w:tr>
        <w:tc>
          <w:tcPr/>
          <w:p>
            <w:pPr>
              <w:pStyle w:val="Compact"/>
              <w:jc w:val="left"/>
            </w:pPr>
            <w:r>
              <w:rPr>
                <w:b/>
                <w:bCs/>
              </w:rPr>
              <w:t xml:space="preserve">Date:</w:t>
            </w:r>
          </w:p>
        </w:tc>
        <w:tc>
          <w:tcPr/>
          <w:p>
            <w:pPr>
              <w:pStyle w:val="Compact"/>
              <w:jc w:val="left"/>
            </w:pPr>
            <w:r>
              <w:t xml:space="preserve">May 16, 2025</w:t>
            </w:r>
          </w:p>
        </w:tc>
      </w:tr>
      <w:tr>
        <w:tc>
          <w:tcPr/>
          <w:p>
            <w:pPr>
              <w:pStyle w:val="Compact"/>
              <w:jc w:val="left"/>
            </w:pPr>
            <w:r>
              <w:rPr>
                <w:b/>
                <w:bCs/>
              </w:rPr>
              <w:t xml:space="preserve">Re:</w:t>
            </w:r>
          </w:p>
        </w:tc>
        <w:tc>
          <w:tcPr/>
          <w:p>
            <w:pPr>
              <w:pStyle w:val="Compact"/>
              <w:jc w:val="left"/>
            </w:pPr>
            <w:r>
              <w:rPr>
                <w:i/>
                <w:iCs/>
              </w:rPr>
              <w:t xml:space="preserve">Greenleaf Organics, Inc. v. Prismavale Chemical Solutions, LLC</w:t>
            </w:r>
            <w:r>
              <w:t xml:space="preserve">, No. 1:25-cv-00412-PAB-STV (D. Colo.). Plan for responding to Plaintiff’s First RFAs (Nos. 1–25) and First RFPs (Nos. 1–30)</w:t>
            </w:r>
          </w:p>
        </w:tc>
      </w:tr>
    </w:tbl>
    <w:bookmarkStart w:id="20" w:name="bottom-line"/>
    <w:p>
      <w:pPr>
        <w:pStyle w:val="Heading1"/>
      </w:pPr>
      <w:r>
        <w:t xml:space="preserve">1. Bottom Line</w:t>
      </w:r>
    </w:p>
    <w:p>
      <w:pPr>
        <w:pStyle w:val="Compact"/>
        <w:numPr>
          <w:ilvl w:val="0"/>
          <w:numId w:val="1001"/>
        </w:numPr>
      </w:pPr>
      <w:r>
        <w:rPr>
          <w:b/>
          <w:bCs/>
        </w:rPr>
        <w:t xml:space="preserve">Responses to both sets are due Monday, June 9, 2025.</w:t>
      </w:r>
      <w:r>
        <w:t xml:space="preserve"> </w:t>
      </w:r>
      <w:r>
        <w:t xml:space="preserve">That is 35 days after service on May 5, 2025 under Stipulation § 1. No 3-day mail extension applies to electronic service (Fed. R. Civ. P. 6(d)). If we miss the RFA deadline, every RFA is</w:t>
      </w:r>
      <w:r>
        <w:t xml:space="preserve"> </w:t>
      </w:r>
      <w:r>
        <w:rPr>
          <w:b/>
          <w:bCs/>
        </w:rPr>
        <w:t xml:space="preserve">deemed admitted</w:t>
      </w:r>
      <w:r>
        <w:t xml:space="preserve"> </w:t>
      </w:r>
      <w:r>
        <w:t xml:space="preserve">(Rule 36(a)(3)). That includes RFA 9–11 (the COAs were inaccurate and the batch did not conform), RFA 20 (not merchantable), and RFA 22 (damages over $10M). Treat this as a hard deadline. Do not rely on getting an extension.</w:t>
      </w:r>
    </w:p>
    <w:p>
      <w:pPr>
        <w:pStyle w:val="Compact"/>
        <w:numPr>
          <w:ilvl w:val="0"/>
          <w:numId w:val="1001"/>
        </w:numPr>
      </w:pPr>
      <w:r>
        <w:rPr>
          <w:b/>
          <w:bCs/>
        </w:rPr>
        <w:t xml:space="preserve">We need to confirm the facts with the client before we send any RFA response.</w:t>
      </w:r>
      <w:r>
        <w:t xml:space="preserve"> </w:t>
      </w:r>
      <w:r>
        <w:t xml:space="preserve">Greenleaf pleads unusually specific internal facts</w:t>
      </w:r>
      <w:r>
        <w:t xml:space="preserve"> </w:t>
      </w:r>
      <w:r>
        <w:t xml:space="preserve">“</w:t>
      </w:r>
      <w:r>
        <w:t xml:space="preserve">on information and belief</w:t>
      </w:r>
      <w:r>
        <w:t xml:space="preserve">”</w:t>
      </w:r>
      <w:r>
        <w:t xml:space="preserve">: CAR-2024-019, the Line 3 cleaning-validation failure on Feb. 28, the Mar. 2 re-validation, the Apr. 30 root-cause closure, Ferris’s Apr. 25 email to Breckenridge, and EML-2024-06-10. It also names</w:t>
      </w:r>
      <w:r>
        <w:t xml:space="preserve"> </w:t>
      </w:r>
      <w:r>
        <w:rPr>
          <w:b/>
          <w:bCs/>
        </w:rPr>
        <w:t xml:space="preserve">Timothy Wardell</w:t>
      </w:r>
      <w:r>
        <w:t xml:space="preserve"> </w:t>
      </w:r>
      <w:r>
        <w:t xml:space="preserve">(RFP 19), who does not appear in the pleadings. This suggests Greenleaf has an inside source. If we deny facts that Prismavale’s own records confirm, we face Rule 26(g) sanctions and Rule 37(c)(2) cost-shifting, and we damage our credibility on the issues that matter most: willfulness and the damages cap. The draft responses admit the verifiable historical facts and deny Greenleaf’s characterizations. Bracketed items must be confirmed with Ray Ortiz and QA before service.</w:t>
      </w:r>
    </w:p>
    <w:p>
      <w:pPr>
        <w:pStyle w:val="Compact"/>
        <w:numPr>
          <w:ilvl w:val="0"/>
          <w:numId w:val="1001"/>
        </w:numPr>
      </w:pPr>
      <w:r>
        <w:rPr>
          <w:b/>
          <w:bCs/>
        </w:rPr>
        <w:t xml:space="preserve">The Answer has a structural defect that the RFA responses must not make worse.</w:t>
      </w:r>
      <w:r>
        <w:t xml:space="preserve"> </w:t>
      </w:r>
      <w:r>
        <w:t xml:space="preserve">The Answer’s paragraph numbers do not match the Complaint. For example, Answer ¶ 1 responds to what is Complaint ¶ 5, and Answer ¶ 26 addresses the shipment while Complaint ¶ 26 alleges CAR-2024-019. As a result, several key allegations never get a specific response: the CAR (Compl. ¶¶ 26–28), the Ferris email (¶ 33), the EML alert and Ortiz release (¶¶ 39–40), and ¶¶ 99–102. Only the catch-all general denial covers them, and Rule 8(b)(3)/(6) makes that a real deemed-admission risk.</w:t>
      </w:r>
      <w:r>
        <w:t xml:space="preserve"> </w:t>
      </w:r>
      <w:r>
        <w:rPr>
          <w:b/>
          <w:bCs/>
        </w:rPr>
        <w:t xml:space="preserve">Recommendation:</w:t>
      </w:r>
      <w:r>
        <w:t xml:space="preserve"> </w:t>
      </w:r>
      <w:r>
        <w:t xml:space="preserve">move to amend the Answer by the</w:t>
      </w:r>
      <w:r>
        <w:t xml:space="preserve"> </w:t>
      </w:r>
      <w:r>
        <w:rPr>
          <w:b/>
          <w:bCs/>
        </w:rPr>
        <w:t xml:space="preserve">July 14, 2025</w:t>
      </w:r>
      <w:r>
        <w:t xml:space="preserve"> </w:t>
      </w:r>
      <w:r>
        <w:t xml:space="preserve">deadline for amending pleadings. The amendment should (a) respond paragraph by paragraph using the Complaint’s actual numbering and (b) add the defenses discussed in § 6. The RFA responses are drafted to match the positions an amended Answer would take.</w:t>
      </w:r>
    </w:p>
    <w:p>
      <w:pPr>
        <w:pStyle w:val="Compact"/>
        <w:numPr>
          <w:ilvl w:val="0"/>
          <w:numId w:val="1001"/>
        </w:numPr>
      </w:pPr>
      <w:r>
        <w:rPr>
          <w:b/>
          <w:bCs/>
        </w:rPr>
        <w:t xml:space="preserve">Discovery posture.</w:t>
      </w:r>
      <w:r>
        <w:t xml:space="preserve"> </w:t>
      </w:r>
      <w:r>
        <w:t xml:space="preserve">Produce the core batch, COA, CAR/EML, shipping, and communications records promptly and completely. The damaging documents (CAR-2024-019, EML-2024-06-10, the Ferris email) are ordinary-course business records. They are not privileged, and Greenleaf already knows they exist. Trying to withhold or bury them would be the worst outcome. Our leverage is narrowing the peripheral requests: RFPs 4, 7, 12, 13, 14, 22, 24, 25, 26, 27, and 30.</w:t>
      </w:r>
    </w:p>
    <w:bookmarkEnd w:id="20"/>
    <w:bookmarkStart w:id="21" w:name="key-dates-and-calendar"/>
    <w:p>
      <w:pPr>
        <w:pStyle w:val="Heading1"/>
      </w:pPr>
      <w:r>
        <w:t xml:space="preserve">2. Key Dates and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 / Note</w:t>
            </w:r>
          </w:p>
        </w:tc>
      </w:tr>
      <w:tr>
        <w:tc>
          <w:tcPr/>
          <w:p>
            <w:pPr>
              <w:pStyle w:val="Compact"/>
              <w:jc w:val="left"/>
            </w:pPr>
            <w:r>
              <w:t xml:space="preserve">May 5, 2025</w:t>
            </w:r>
          </w:p>
        </w:tc>
        <w:tc>
          <w:tcPr/>
          <w:p>
            <w:pPr>
              <w:pStyle w:val="Compact"/>
              <w:jc w:val="left"/>
            </w:pPr>
            <w:r>
              <w:t xml:space="preserve">RFAs and RFPs served (via CM/ECF)</w:t>
            </w:r>
          </w:p>
        </w:tc>
        <w:tc>
          <w:tcPr/>
          <w:p>
            <w:pPr>
              <w:pStyle w:val="Compact"/>
              <w:jc w:val="left"/>
            </w:pPr>
            <w:r>
              <w:t xml:space="preserve">Discovery ordinarily is not filed (Rule 5(d)(1)(A)). We do not recommend contesting service; calendar from May 5.</w:t>
            </w:r>
          </w:p>
        </w:tc>
      </w:tr>
      <w:tr>
        <w:tc>
          <w:tcPr/>
          <w:p>
            <w:pPr>
              <w:pStyle w:val="Compact"/>
              <w:jc w:val="left"/>
            </w:pPr>
            <w:r>
              <w:t xml:space="preserve">May 23, 2025</w:t>
            </w:r>
          </w:p>
        </w:tc>
        <w:tc>
          <w:tcPr/>
          <w:p>
            <w:pPr>
              <w:pStyle w:val="Compact"/>
              <w:jc w:val="left"/>
            </w:pPr>
            <w:r>
              <w:t xml:space="preserve">Draft responses sent to client; fact-verification call with Ortiz, Ferris, Breckenridge, and the logistics lead</w:t>
            </w:r>
          </w:p>
        </w:tc>
        <w:tc>
          <w:tcPr/>
          <w:p>
            <w:pPr>
              <w:pStyle w:val="Compact"/>
              <w:jc w:val="left"/>
            </w:pPr>
            <w:r>
              <w:t xml:space="preserve">Internal</w:t>
            </w:r>
          </w:p>
        </w:tc>
      </w:tr>
      <w:tr>
        <w:tc>
          <w:tcPr/>
          <w:p>
            <w:pPr>
              <w:pStyle w:val="Compact"/>
              <w:jc w:val="left"/>
            </w:pPr>
            <w:r>
              <w:t xml:space="preserve">May 30, 2025</w:t>
            </w:r>
          </w:p>
        </w:tc>
        <w:tc>
          <w:tcPr/>
          <w:p>
            <w:pPr>
              <w:pStyle w:val="Compact"/>
              <w:jc w:val="left"/>
            </w:pPr>
            <w:r>
              <w:t xml:space="preserve">Collection complete for the core custodians and categories</w:t>
            </w:r>
          </w:p>
        </w:tc>
        <w:tc>
          <w:tcPr/>
          <w:p>
            <w:pPr>
              <w:pStyle w:val="Compact"/>
              <w:jc w:val="left"/>
            </w:pPr>
            <w:r>
              <w:t xml:space="preserve">Internal</w:t>
            </w:r>
          </w:p>
        </w:tc>
      </w:tr>
      <w:tr>
        <w:tc>
          <w:tcPr/>
          <w:p>
            <w:pPr>
              <w:pStyle w:val="Compact"/>
              <w:jc w:val="left"/>
            </w:pPr>
            <w:r>
              <w:rPr>
                <w:b/>
                <w:bCs/>
              </w:rPr>
              <w:t xml:space="preserve">June 9, 2025</w:t>
            </w:r>
          </w:p>
        </w:tc>
        <w:tc>
          <w:tcPr/>
          <w:p>
            <w:pPr>
              <w:pStyle w:val="Compact"/>
              <w:jc w:val="left"/>
            </w:pPr>
            <w:r>
              <w:rPr>
                <w:b/>
                <w:bCs/>
              </w:rPr>
              <w:t xml:space="preserve">RFA and RFP responses due; first rolling production</w:t>
            </w:r>
          </w:p>
        </w:tc>
        <w:tc>
          <w:tcPr/>
          <w:p>
            <w:pPr>
              <w:pStyle w:val="Compact"/>
              <w:jc w:val="left"/>
            </w:pPr>
            <w:r>
              <w:t xml:space="preserve">Stip. § 1(a)–(b); Rule 36(a)(3)</w:t>
            </w:r>
          </w:p>
        </w:tc>
      </w:tr>
      <w:tr>
        <w:tc>
          <w:tcPr/>
          <w:p>
            <w:pPr>
              <w:pStyle w:val="Compact"/>
              <w:jc w:val="left"/>
            </w:pPr>
            <w:r>
              <w:t xml:space="preserve">July 9, 2025</w:t>
            </w:r>
          </w:p>
        </w:tc>
        <w:tc>
          <w:tcPr/>
          <w:p>
            <w:pPr>
              <w:pStyle w:val="Compact"/>
              <w:jc w:val="left"/>
            </w:pPr>
            <w:r>
              <w:t xml:space="preserve">Privilege log due for the June 9 production (30 days after)</w:t>
            </w:r>
          </w:p>
        </w:tc>
        <w:tc>
          <w:tcPr/>
          <w:p>
            <w:pPr>
              <w:pStyle w:val="Compact"/>
              <w:jc w:val="left"/>
            </w:pPr>
            <w:r>
              <w:t xml:space="preserve">Stip. § 4(b)</w:t>
            </w:r>
          </w:p>
        </w:tc>
      </w:tr>
      <w:tr>
        <w:tc>
          <w:tcPr/>
          <w:p>
            <w:pPr>
              <w:pStyle w:val="Compact"/>
              <w:jc w:val="left"/>
            </w:pPr>
            <w:r>
              <w:rPr>
                <w:b/>
                <w:bCs/>
              </w:rPr>
              <w:t xml:space="preserve">July 14, 2025</w:t>
            </w:r>
          </w:p>
        </w:tc>
        <w:tc>
          <w:tcPr/>
          <w:p>
            <w:pPr>
              <w:pStyle w:val="Compact"/>
              <w:jc w:val="left"/>
            </w:pPr>
            <w:r>
              <w:rPr>
                <w:b/>
                <w:bCs/>
              </w:rPr>
              <w:t xml:space="preserve">Deadline to amend pleadings, join parties, and file a third-party complaint (e.g., Oakvale Freight Services)</w:t>
            </w:r>
          </w:p>
        </w:tc>
        <w:tc>
          <w:tcPr/>
          <w:p>
            <w:pPr>
              <w:pStyle w:val="Compact"/>
              <w:jc w:val="left"/>
            </w:pPr>
            <w:r>
              <w:t xml:space="preserve">Sched. Order § 2</w:t>
            </w:r>
          </w:p>
        </w:tc>
      </w:tr>
      <w:tr>
        <w:tc>
          <w:tcPr/>
          <w:p>
            <w:pPr>
              <w:pStyle w:val="Compact"/>
              <w:jc w:val="left"/>
            </w:pPr>
            <w:r>
              <w:t xml:space="preserve">July 25, 2025</w:t>
            </w:r>
          </w:p>
        </w:tc>
        <w:tc>
          <w:tcPr/>
          <w:p>
            <w:pPr>
              <w:pStyle w:val="Compact"/>
              <w:jc w:val="left"/>
            </w:pPr>
            <w:r>
              <w:t xml:space="preserve">Target date for substantial completion of production</w:t>
            </w:r>
          </w:p>
        </w:tc>
        <w:tc>
          <w:tcPr/>
          <w:p>
            <w:pPr>
              <w:pStyle w:val="Compact"/>
              <w:jc w:val="left"/>
            </w:pPr>
            <w:r>
              <w:t xml:space="preserve">Proposed in the RFP responses</w:t>
            </w:r>
          </w:p>
        </w:tc>
      </w:tr>
      <w:tr>
        <w:tc>
          <w:tcPr/>
          <w:p>
            <w:pPr>
              <w:pStyle w:val="Compact"/>
              <w:jc w:val="left"/>
            </w:pPr>
            <w:r>
              <w:t xml:space="preserve">Sept. 26, 2025</w:t>
            </w:r>
          </w:p>
        </w:tc>
        <w:tc>
          <w:tcPr/>
          <w:p>
            <w:pPr>
              <w:pStyle w:val="Compact"/>
              <w:jc w:val="left"/>
            </w:pPr>
            <w:r>
              <w:t xml:space="preserve">Last day to serve written discovery that must be answered before the discovery cutoff (35-day response period)</w:t>
            </w:r>
          </w:p>
        </w:tc>
        <w:tc>
          <w:tcPr/>
          <w:p>
            <w:pPr>
              <w:pStyle w:val="Compact"/>
              <w:jc w:val="left"/>
            </w:pPr>
            <w:r>
              <w:t xml:space="preserve">Sched. Order § 3.2 + Stip. § 1</w:t>
            </w:r>
          </w:p>
        </w:tc>
      </w:tr>
      <w:tr>
        <w:tc>
          <w:tcPr/>
          <w:p>
            <w:pPr>
              <w:pStyle w:val="Compact"/>
              <w:jc w:val="left"/>
            </w:pPr>
            <w:r>
              <w:t xml:space="preserve">Oct. 31, 2025</w:t>
            </w:r>
          </w:p>
        </w:tc>
        <w:tc>
          <w:tcPr/>
          <w:p>
            <w:pPr>
              <w:pStyle w:val="Compact"/>
              <w:jc w:val="left"/>
            </w:pPr>
            <w:r>
              <w:t xml:space="preserve">Fact discovery closes</w:t>
            </w:r>
          </w:p>
        </w:tc>
        <w:tc>
          <w:tcPr/>
          <w:p>
            <w:pPr>
              <w:pStyle w:val="Compact"/>
              <w:jc w:val="left"/>
            </w:pPr>
            <w:r>
              <w:t xml:space="preserve">Sched. Order § 3.2</w:t>
            </w:r>
          </w:p>
        </w:tc>
      </w:tr>
      <w:tr>
        <w:tc>
          <w:tcPr/>
          <w:p>
            <w:pPr>
              <w:pStyle w:val="Compact"/>
              <w:jc w:val="left"/>
            </w:pPr>
            <w:r>
              <w:rPr>
                <w:b/>
                <w:bCs/>
              </w:rPr>
              <w:t xml:space="preserve">Dec. 15, 2025</w:t>
            </w:r>
          </w:p>
        </w:tc>
        <w:tc>
          <w:tcPr/>
          <w:p>
            <w:pPr>
              <w:pStyle w:val="Compact"/>
              <w:jc w:val="left"/>
            </w:pPr>
            <w:r>
              <w:t xml:space="preserve">Plaintiff’s expert disclosures.</w:t>
            </w:r>
            <w:r>
              <w:t xml:space="preserve"> </w:t>
            </w:r>
            <w:r>
              <w:rPr>
                <w:b/>
                <w:bCs/>
              </w:rPr>
              <w:t xml:space="preserve">Also our deadline for any expert on a defense where we bear the burden</w:t>
            </w:r>
            <w:r>
              <w:t xml:space="preserve"> </w:t>
            </w:r>
            <w:r>
              <w:t xml:space="preserve">(post-delivery contamination if framed as an affirmative defense, failure to mitigate, comparative fault)</w:t>
            </w:r>
          </w:p>
        </w:tc>
        <w:tc>
          <w:tcPr/>
          <w:p>
            <w:pPr>
              <w:pStyle w:val="Compact"/>
              <w:jc w:val="left"/>
            </w:pPr>
            <w:r>
              <w:t xml:space="preserve">Sched. Order § 4 (</w:t>
            </w:r>
            <w:r>
              <w:t xml:space="preserve">“</w:t>
            </w:r>
            <w:r>
              <w:t xml:space="preserve">party bearing the burden of proof on a claim or defense</w:t>
            </w:r>
            <w:r>
              <w:t xml:space="preserve">”</w:t>
            </w:r>
            <w:r>
              <w:t xml:space="preserve">)</w:t>
            </w:r>
          </w:p>
        </w:tc>
      </w:tr>
      <w:tr>
        <w:tc>
          <w:tcPr/>
          <w:p>
            <w:pPr>
              <w:pStyle w:val="Compact"/>
              <w:jc w:val="left"/>
            </w:pPr>
            <w:r>
              <w:t xml:space="preserve">Jan. 15, 2026</w:t>
            </w:r>
          </w:p>
        </w:tc>
        <w:tc>
          <w:tcPr/>
          <w:p>
            <w:pPr>
              <w:pStyle w:val="Compact"/>
              <w:jc w:val="left"/>
            </w:pPr>
            <w:r>
              <w:t xml:space="preserve">Rebuttal expert disclosures</w:t>
            </w:r>
          </w:p>
        </w:tc>
        <w:tc>
          <w:tcPr/>
          <w:p>
            <w:pPr>
              <w:pStyle w:val="Compact"/>
              <w:jc w:val="left"/>
            </w:pPr>
            <w:r>
              <w:t xml:space="preserve">Sched. Order § 4</w:t>
            </w:r>
          </w:p>
        </w:tc>
      </w:tr>
      <w:tr>
        <w:tc>
          <w:tcPr/>
          <w:p>
            <w:pPr>
              <w:pStyle w:val="Compact"/>
              <w:jc w:val="left"/>
            </w:pPr>
            <w:r>
              <w:t xml:space="preserve">Feb. 28, 2026</w:t>
            </w:r>
          </w:p>
        </w:tc>
        <w:tc>
          <w:tcPr/>
          <w:p>
            <w:pPr>
              <w:pStyle w:val="Compact"/>
              <w:jc w:val="left"/>
            </w:pPr>
            <w:r>
              <w:t xml:space="preserve">Dispositive and</w:t>
            </w:r>
            <w:r>
              <w:t xml:space="preserve"> </w:t>
            </w:r>
            <w:r>
              <w:rPr>
                <w:i/>
                <w:iCs/>
              </w:rPr>
              <w:t xml:space="preserve">Daubert</w:t>
            </w:r>
            <w:r>
              <w:t xml:space="preserve"> </w:t>
            </w:r>
            <w:r>
              <w:t xml:space="preserve">motions due</w:t>
            </w:r>
          </w:p>
        </w:tc>
        <w:tc>
          <w:tcPr/>
          <w:p>
            <w:pPr>
              <w:pStyle w:val="Compact"/>
              <w:jc w:val="left"/>
            </w:pPr>
            <w:r>
              <w:t xml:space="preserve">Sched. Order § 5</w:t>
            </w:r>
          </w:p>
        </w:tc>
      </w:tr>
      <w:tr>
        <w:tc>
          <w:tcPr/>
          <w:p>
            <w:pPr>
              <w:pStyle w:val="Compact"/>
              <w:jc w:val="left"/>
            </w:pPr>
            <w:r>
              <w:t xml:space="preserve">June 1, 2026</w:t>
            </w:r>
          </w:p>
        </w:tc>
        <w:tc>
          <w:tcPr/>
          <w:p>
            <w:pPr>
              <w:pStyle w:val="Compact"/>
              <w:jc w:val="left"/>
            </w:pPr>
            <w:r>
              <w:t xml:space="preserve">Jury trial (5–7 days)</w:t>
            </w:r>
          </w:p>
        </w:tc>
        <w:tc>
          <w:tcPr/>
          <w:p>
            <w:pPr>
              <w:pStyle w:val="Compact"/>
              <w:jc w:val="left"/>
            </w:pPr>
            <w:r>
              <w:t xml:space="preserve">Sched. Order § 7</w:t>
            </w:r>
          </w:p>
        </w:tc>
      </w:tr>
    </w:tbl>
    <w:p>
      <w:pPr>
        <w:pStyle w:val="BodyText"/>
      </w:pPr>
      <w:r>
        <w:rPr>
          <w:b/>
          <w:bCs/>
        </w:rPr>
        <w:t xml:space="preserve">Expert-timing trap.</w:t>
      </w:r>
      <w:r>
        <w:t xml:space="preserve"> </w:t>
      </w:r>
      <w:r>
        <w:t xml:space="preserve">Our main causation theory is that contamination happened after delivery, during transit or at Greenleaf’s storage and processing. If we treat that only as a rebuttal to Greenleaf’s burden on breach and causation, a January 15 disclosure works. But the Answer pleads it as the Fourth Affirmative Defense, and mitigation and comparative fault are clearly our burden. To avoid a preclusion fight, plan to disclose our causation and QC experts by</w:t>
      </w:r>
      <w:r>
        <w:t xml:space="preserve"> </w:t>
      </w:r>
      <w:r>
        <w:rPr>
          <w:b/>
          <w:bCs/>
        </w:rPr>
        <w:t xml:space="preserve">December 15, 2025</w:t>
      </w:r>
      <w:r>
        <w:t xml:space="preserve">, or get a clarifying stipulation now.</w:t>
      </w:r>
    </w:p>
    <w:bookmarkEnd w:id="21"/>
    <w:bookmarkStart w:id="26" w:name="Xdcfc256fd4b688691140e4954cf21b20d54f77b"/>
    <w:p>
      <w:pPr>
        <w:pStyle w:val="Heading1"/>
      </w:pPr>
      <w:r>
        <w:t xml:space="preserve">3. Procedural Framework and Problems Found in the Documents</w:t>
      </w:r>
    </w:p>
    <w:bookmarkStart w:id="22" w:name="X74f93e214b555ae115f2b8bb2cb99ac547522c2"/>
    <w:p>
      <w:pPr>
        <w:pStyle w:val="Heading2"/>
      </w:pPr>
      <w:r>
        <w:t xml:space="preserve">3.1 Status of the Joint Discovery Stipulation</w:t>
      </w:r>
    </w:p>
    <w:p>
      <w:pPr>
        <w:pStyle w:val="Compact"/>
        <w:numPr>
          <w:ilvl w:val="0"/>
          <w:numId w:val="1002"/>
        </w:numPr>
      </w:pPr>
      <w:r>
        <w:t xml:space="preserve">The copy in our file is a</w:t>
      </w:r>
      <w:r>
        <w:t xml:space="preserve"> </w:t>
      </w:r>
      <w:r>
        <w:t xml:space="preserve">“</w:t>
      </w:r>
      <w:r>
        <w:t xml:space="preserve">[Proposed] Order</w:t>
      </w:r>
      <w:r>
        <w:t xml:space="preserve">”</w:t>
      </w:r>
      <w:r>
        <w:t xml:space="preserve"> </w:t>
      </w:r>
      <w:r>
        <w:t xml:space="preserve">with a</w:t>
      </w:r>
      <w:r>
        <w:t xml:space="preserve"> </w:t>
      </w:r>
      <w:r>
        <w:rPr>
          <w:b/>
          <w:bCs/>
        </w:rPr>
        <w:t xml:space="preserve">blank</w:t>
      </w:r>
      <w:r>
        <w:rPr>
          <w:b/>
          <w:bCs/>
        </w:rPr>
        <w:t xml:space="preserve"> </w:t>
      </w:r>
      <w:r>
        <w:rPr>
          <w:b/>
          <w:bCs/>
        </w:rPr>
        <w:t xml:space="preserve">“</w:t>
      </w:r>
      <w:r>
        <w:rPr>
          <w:b/>
          <w:bCs/>
        </w:rPr>
        <w:t xml:space="preserve">SO ORDERED</w:t>
      </w:r>
      <w:r>
        <w:rPr>
          <w:b/>
          <w:bCs/>
        </w:rPr>
        <w:t xml:space="preserve">”</w:t>
      </w:r>
      <w:r>
        <w:rPr>
          <w:b/>
          <w:bCs/>
        </w:rPr>
        <w:t xml:space="preserve"> </w:t>
      </w:r>
      <w:r>
        <w:rPr>
          <w:b/>
          <w:bCs/>
        </w:rPr>
        <w:t xml:space="preserve">line</w:t>
      </w:r>
      <w:r>
        <w:t xml:space="preserve">. Greenleaf cites it inconsistently:</w:t>
      </w:r>
      <w:r>
        <w:t xml:space="preserve"> </w:t>
      </w:r>
      <w:r>
        <w:t xml:space="preserve">“</w:t>
      </w:r>
      <w:r>
        <w:t xml:space="preserve">ECF No. 24</w:t>
      </w:r>
      <w:r>
        <w:t xml:space="preserve">”</w:t>
      </w:r>
      <w:r>
        <w:t xml:space="preserve"> </w:t>
      </w:r>
      <w:r>
        <w:t xml:space="preserve">in the RFAs and</w:t>
      </w:r>
      <w:r>
        <w:t xml:space="preserve"> </w:t>
      </w:r>
      <w:r>
        <w:t xml:space="preserve">“</w:t>
      </w:r>
      <w:r>
        <w:t xml:space="preserve">Dkt. 32 … entered April 28</w:t>
      </w:r>
      <w:r>
        <w:t xml:space="preserve">”</w:t>
      </w:r>
      <w:r>
        <w:t xml:space="preserve"> </w:t>
      </w:r>
      <w:r>
        <w:t xml:space="preserve">in the RFPs.</w:t>
      </w:r>
      <w:r>
        <w:t xml:space="preserve"> </w:t>
      </w:r>
      <w:r>
        <w:rPr>
          <w:b/>
          <w:bCs/>
        </w:rPr>
        <w:t xml:space="preserve">Check the docket.</w:t>
      </w:r>
    </w:p>
    <w:p>
      <w:pPr>
        <w:pStyle w:val="Compact"/>
        <w:numPr>
          <w:ilvl w:val="0"/>
          <w:numId w:val="1002"/>
        </w:numPr>
      </w:pPr>
      <w:r>
        <w:t xml:space="preserve">If the stipulation has not been entered, the 35-day extension still holds under Rule 29(b), because it does not interfere with any court deadline. The</w:t>
      </w:r>
      <w:r>
        <w:t xml:space="preserve"> </w:t>
      </w:r>
      <w:r>
        <w:rPr>
          <w:b/>
          <w:bCs/>
        </w:rPr>
        <w:t xml:space="preserve">FRE 502(d) non-waiver protection (§ 5), however, applies only once the Court enters it as an order.</w:t>
      </w:r>
      <w:r>
        <w:t xml:space="preserve"> </w:t>
      </w:r>
      <w:r>
        <w:t xml:space="preserve">Without entry, we have only Rule 502(b)’s inadvertence test for any disclosure in another proceeding.</w:t>
      </w:r>
      <w:r>
        <w:t xml:space="preserve"> </w:t>
      </w:r>
      <w:r>
        <w:rPr>
          <w:b/>
          <w:bCs/>
        </w:rPr>
        <w:t xml:space="preserve">We should not make a large ESI production until the 502(d) order is entered.</w:t>
      </w:r>
      <w:r>
        <w:t xml:space="preserve"> </w:t>
      </w:r>
      <w:r>
        <w:t xml:space="preserve">If needed, file a short joint motion to enter it.</w:t>
      </w:r>
    </w:p>
    <w:p>
      <w:pPr>
        <w:pStyle w:val="Compact"/>
        <w:numPr>
          <w:ilvl w:val="0"/>
          <w:numId w:val="1002"/>
        </w:numPr>
      </w:pPr>
      <w:r>
        <w:t xml:space="preserve">The Scheduling Order § 3.4 says discovery motions go to</w:t>
      </w:r>
      <w:r>
        <w:t xml:space="preserve"> </w:t>
      </w:r>
      <w:r>
        <w:t xml:space="preserve">“</w:t>
      </w:r>
      <w:r>
        <w:t xml:space="preserve">Magistrate Judge Varholak.</w:t>
      </w:r>
      <w:r>
        <w:t xml:space="preserve">”</w:t>
      </w:r>
      <w:r>
        <w:t xml:space="preserve"> </w:t>
      </w:r>
      <w:r>
        <w:t xml:space="preserve">That is a scrivener’s error; the assigned magistrate judge is Hon. Scott T. Vanderholt. Direct any motion to Judge Vanderholt.</w:t>
      </w:r>
    </w:p>
    <w:bookmarkEnd w:id="22"/>
    <w:bookmarkStart w:id="23" w:name="no-protective-order"/>
    <w:p>
      <w:pPr>
        <w:pStyle w:val="Heading2"/>
      </w:pPr>
      <w:r>
        <w:t xml:space="preserve">3.2 No Protective Order</w:t>
      </w:r>
    </w:p>
    <w:p>
      <w:pPr>
        <w:pStyle w:val="FirstParagraph"/>
      </w:pPr>
      <w:r>
        <w:t xml:space="preserve">Stipulation § 6(c) only limits use to this litigation. The RFPs call for SOPs, batch formulas, cleaning validation protocols, ERP data, other customers’ complaints (RFPs 17, 29), and insurance terms.</w:t>
      </w:r>
      <w:r>
        <w:t xml:space="preserve"> </w:t>
      </w:r>
      <w:r>
        <w:rPr>
          <w:b/>
          <w:bCs/>
        </w:rPr>
        <w:t xml:space="preserve">Recommendation:</w:t>
      </w:r>
      <w:r>
        <w:t xml:space="preserve"> </w:t>
      </w:r>
      <w:r>
        <w:t xml:space="preserve">send Greenleaf a proposed two-tier stipulated protective order (Confidential / Highly Confidential–Attorneys’ Eyes Only) this week, following the D. Colo. model form, so it is on file before June 9. The RFP responses state that sensitive material will be produced once the order is entered or, in the meantime, on an agreed AEO-interim basis. The core batch documents will not be delayed.</w:t>
      </w:r>
    </w:p>
    <w:bookmarkEnd w:id="23"/>
    <w:bookmarkStart w:id="24" w:name="numerical-limits"/>
    <w:p>
      <w:pPr>
        <w:pStyle w:val="Heading2"/>
      </w:pPr>
      <w:r>
        <w:t xml:space="preserve">3.3 Numerical Limits</w:t>
      </w:r>
    </w:p>
    <w:p>
      <w:pPr>
        <w:pStyle w:val="FirstParagraph"/>
      </w:pPr>
      <w:r>
        <w:rPr>
          <w:b/>
          <w:bCs/>
        </w:rPr>
        <w:t xml:space="preserve">RFAs (limit of 30 per side, Stip. § 2(a)).</w:t>
      </w:r>
      <w:r>
        <w:t xml:space="preserve"> </w:t>
      </w:r>
      <w:r>
        <w:t xml:space="preserve">Greenleaf served 25 numbered RFAs. Four of them contain enumerated subparts that are separate propositions: RFA 14 (3), RFA 15 (3), and RFA 16 (4). Counting those subparts separately gives</w:t>
      </w:r>
      <w:r>
        <w:t xml:space="preserve"> </w:t>
      </w:r>
      <w:r>
        <w:rPr>
          <w:b/>
          <w:bCs/>
        </w:rPr>
        <w:t xml:space="preserve">32 RFAs, over the limit.</w:t>
      </w:r>
      <w:r>
        <w:t xml:space="preserve"> </w:t>
      </w:r>
      <w:r>
        <w:t xml:space="preserve">RFAs 6, 8, 9, and 10 are also compound. The stipulation lets the receiving party count subparts separately, but it says requests are not automatically disqualified and sends disputes to meet-and-confer.</w:t>
      </w:r>
      <w:r>
        <w:t xml:space="preserve"> </w:t>
      </w:r>
      <w:r>
        <w:rPr>
          <w:b/>
          <w:bCs/>
        </w:rPr>
        <w:t xml:space="preserve">Recommendation:</w:t>
      </w:r>
      <w:r>
        <w:t xml:space="preserve"> </w:t>
      </w:r>
      <w:r>
        <w:t xml:space="preserve">assert the objection, then answer each subpart anyway. Refusing to answer risks a deemed-admission fight over the most sensitive RFAs. Take the position that Greenleaf has used up its RFA allotment and cannot serve more without leave (Stip. § 2(d)).</w:t>
      </w:r>
    </w:p>
    <w:p>
      <w:pPr>
        <w:pStyle w:val="BodyText"/>
      </w:pPr>
      <w:r>
        <w:rPr>
          <w:b/>
          <w:bCs/>
        </w:rPr>
        <w:t xml:space="preserve">RFPs (limit of 50 per side, including subparts, Stip. § 2(b)).</w:t>
      </w:r>
      <w:r>
        <w:t xml:space="preserve"> </w:t>
      </w:r>
      <w:r>
        <w:t xml:space="preserve">Greenleaf’s Instruction 8 says subparts are</w:t>
      </w:r>
      <w:r>
        <w:t xml:space="preserve"> </w:t>
      </w:r>
      <w:r>
        <w:t xml:space="preserve">“</w:t>
      </w:r>
      <w:r>
        <w:t xml:space="preserve">not … separate Request[s].</w:t>
      </w:r>
      <w:r>
        <w:t xml:space="preserve">”</w:t>
      </w:r>
      <w:r>
        <w:t xml:space="preserve"> </w:t>
      </w:r>
      <w:r>
        <w:t xml:space="preserve">That directly contradicts the stipulation, which requires uniform counting of subparts that address distinct subjects. An instruction in a discovery request cannot override it. Here is how the count comes 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RFP</w:t>
            </w:r>
          </w:p>
        </w:tc>
        <w:tc>
          <w:tcPr/>
          <w:p>
            <w:pPr>
              <w:pStyle w:val="Compact"/>
              <w:jc w:val="left"/>
            </w:pPr>
            <w:r>
              <w:t xml:space="preserve">Subparts</w:t>
            </w:r>
          </w:p>
        </w:tc>
        <w:tc>
          <w:tcPr/>
          <w:p>
            <w:pPr>
              <w:pStyle w:val="Compact"/>
              <w:jc w:val="left"/>
            </w:pPr>
            <w:r>
              <w:t xml:space="preserve">Our count</w:t>
            </w:r>
          </w:p>
        </w:tc>
        <w:tc>
          <w:tcPr/>
          <w:p>
            <w:pPr>
              <w:pStyle w:val="Compact"/>
              <w:jc w:val="left"/>
            </w:pPr>
            <w:r>
              <w:t xml:space="preserve">Reason</w:t>
            </w:r>
          </w:p>
        </w:tc>
      </w:tr>
      <w:tr>
        <w:tc>
          <w:tcPr/>
          <w:p>
            <w:pPr>
              <w:pStyle w:val="Compact"/>
              <w:jc w:val="left"/>
            </w:pPr>
            <w:r>
              <w:t xml:space="preserve">4</w:t>
            </w:r>
          </w:p>
        </w:tc>
        <w:tc>
          <w:tcPr/>
          <w:p>
            <w:pPr>
              <w:pStyle w:val="Compact"/>
              <w:jc w:val="left"/>
            </w:pPr>
            <w:r>
              <w:t xml:space="preserve">(a)–(d)</w:t>
            </w:r>
          </w:p>
        </w:tc>
        <w:tc>
          <w:tcPr/>
          <w:p>
            <w:pPr>
              <w:pStyle w:val="Compact"/>
              <w:jc w:val="left"/>
            </w:pPr>
            <w:r>
              <w:t xml:space="preserve">4</w:t>
            </w:r>
          </w:p>
        </w:tc>
        <w:tc>
          <w:tcPr/>
          <w:p>
            <w:pPr>
              <w:pStyle w:val="Compact"/>
              <w:jc w:val="left"/>
            </w:pPr>
            <w:r>
              <w:t xml:space="preserve">SOPs, quality manuals, GMP records, and audit reports are separate subjects</w:t>
            </w:r>
          </w:p>
        </w:tc>
      </w:tr>
      <w:tr>
        <w:tc>
          <w:tcPr/>
          <w:p>
            <w:pPr>
              <w:pStyle w:val="Compact"/>
              <w:jc w:val="left"/>
            </w:pPr>
            <w:r>
              <w:t xml:space="preserve">12</w:t>
            </w:r>
          </w:p>
        </w:tc>
        <w:tc>
          <w:tcPr/>
          <w:p>
            <w:pPr>
              <w:pStyle w:val="Compact"/>
              <w:jc w:val="left"/>
            </w:pPr>
            <w:r>
              <w:t xml:space="preserve">(a)–(d)</w:t>
            </w:r>
          </w:p>
        </w:tc>
        <w:tc>
          <w:tcPr/>
          <w:p>
            <w:pPr>
              <w:pStyle w:val="Compact"/>
              <w:jc w:val="left"/>
            </w:pPr>
            <w:r>
              <w:t xml:space="preserve">4</w:t>
            </w:r>
          </w:p>
        </w:tc>
        <w:tc>
          <w:tcPr/>
          <w:p>
            <w:pPr>
              <w:pStyle w:val="Compact"/>
              <w:jc w:val="left"/>
            </w:pPr>
            <w:r>
              <w:t xml:space="preserve">Customers, regulators, insurers, and internal analyses</w:t>
            </w:r>
          </w:p>
        </w:tc>
      </w:tr>
      <w:tr>
        <w:tc>
          <w:tcPr/>
          <w:p>
            <w:pPr>
              <w:pStyle w:val="Compact"/>
              <w:jc w:val="left"/>
            </w:pPr>
            <w:r>
              <w:t xml:space="preserve">15</w:t>
            </w:r>
          </w:p>
        </w:tc>
        <w:tc>
          <w:tcPr/>
          <w:p>
            <w:pPr>
              <w:pStyle w:val="Compact"/>
              <w:jc w:val="left"/>
            </w:pPr>
            <w:r>
              <w:t xml:space="preserve">(a)–(d)</w:t>
            </w:r>
          </w:p>
        </w:tc>
        <w:tc>
          <w:tcPr/>
          <w:p>
            <w:pPr>
              <w:pStyle w:val="Compact"/>
              <w:jc w:val="left"/>
            </w:pPr>
            <w:r>
              <w:t xml:space="preserve">4</w:t>
            </w:r>
          </w:p>
        </w:tc>
        <w:tc>
          <w:tcPr/>
          <w:p>
            <w:pPr>
              <w:pStyle w:val="Compact"/>
              <w:jc w:val="left"/>
            </w:pPr>
            <w:r>
              <w:t xml:space="preserve">Scheduling, inventory, lot tracking, and QMS/CAPA</w:t>
            </w:r>
          </w:p>
        </w:tc>
      </w:tr>
      <w:tr>
        <w:tc>
          <w:tcPr/>
          <w:p>
            <w:pPr>
              <w:pStyle w:val="Compact"/>
              <w:jc w:val="left"/>
            </w:pPr>
            <w:r>
              <w:t xml:space="preserve">21</w:t>
            </w:r>
          </w:p>
        </w:tc>
        <w:tc>
          <w:tcPr/>
          <w:p>
            <w:pPr>
              <w:pStyle w:val="Compact"/>
              <w:jc w:val="left"/>
            </w:pPr>
            <w:r>
              <w:t xml:space="preserve">(a)–(d)</w:t>
            </w:r>
          </w:p>
        </w:tc>
        <w:tc>
          <w:tcPr/>
          <w:p>
            <w:pPr>
              <w:pStyle w:val="Compact"/>
              <w:jc w:val="left"/>
            </w:pPr>
            <w:r>
              <w:t xml:space="preserve">2</w:t>
            </w:r>
          </w:p>
        </w:tc>
        <w:tc>
          <w:tcPr/>
          <w:p>
            <w:pPr>
              <w:pStyle w:val="Compact"/>
              <w:jc w:val="left"/>
            </w:pPr>
            <w:r>
              <w:t xml:space="preserve">Root-cause/CAPA and the EM alert are separate subjects</w:t>
            </w:r>
          </w:p>
        </w:tc>
      </w:tr>
      <w:tr>
        <w:tc>
          <w:tcPr/>
          <w:p>
            <w:pPr>
              <w:pStyle w:val="Compact"/>
              <w:jc w:val="left"/>
            </w:pPr>
            <w:r>
              <w:t xml:space="preserve">23</w:t>
            </w:r>
          </w:p>
        </w:tc>
        <w:tc>
          <w:tcPr/>
          <w:p>
            <w:pPr>
              <w:pStyle w:val="Compact"/>
              <w:jc w:val="left"/>
            </w:pPr>
            <w:r>
              <w:t xml:space="preserve">(a)–(d)</w:t>
            </w:r>
          </w:p>
        </w:tc>
        <w:tc>
          <w:tcPr/>
          <w:p>
            <w:pPr>
              <w:pStyle w:val="Compact"/>
              <w:jc w:val="left"/>
            </w:pPr>
            <w:r>
              <w:t xml:space="preserve">2 (arguable)</w:t>
            </w:r>
          </w:p>
        </w:tc>
        <w:tc>
          <w:tcPr/>
          <w:p>
            <w:pPr>
              <w:pStyle w:val="Compact"/>
              <w:jc w:val="left"/>
            </w:pPr>
            <w:r>
              <w:t xml:space="preserve">Invoices/AR versus revenue/ERP reporting</w:t>
            </w:r>
          </w:p>
        </w:tc>
      </w:tr>
      <w:tr>
        <w:tc>
          <w:tcPr/>
          <w:p>
            <w:pPr>
              <w:pStyle w:val="Compact"/>
              <w:jc w:val="left"/>
            </w:pPr>
            <w:r>
              <w:t xml:space="preserve">26</w:t>
            </w:r>
          </w:p>
        </w:tc>
        <w:tc>
          <w:tcPr/>
          <w:p>
            <w:pPr>
              <w:pStyle w:val="Compact"/>
              <w:jc w:val="left"/>
            </w:pPr>
            <w:r>
              <w:t xml:space="preserve">(a)–(d)</w:t>
            </w:r>
          </w:p>
        </w:tc>
        <w:tc>
          <w:tcPr/>
          <w:p>
            <w:pPr>
              <w:pStyle w:val="Compact"/>
              <w:jc w:val="left"/>
            </w:pPr>
            <w:r>
              <w:t xml:space="preserve">2 (arguable)</w:t>
            </w:r>
          </w:p>
        </w:tc>
        <w:tc>
          <w:tcPr/>
          <w:p>
            <w:pPr>
              <w:pStyle w:val="Compact"/>
              <w:jc w:val="left"/>
            </w:pPr>
            <w:r>
              <w:t xml:space="preserve">Legal communications versus billing records</w:t>
            </w:r>
          </w:p>
        </w:tc>
      </w:tr>
      <w:tr>
        <w:tc>
          <w:tcPr/>
          <w:p>
            <w:pPr>
              <w:pStyle w:val="Compact"/>
              <w:jc w:val="left"/>
            </w:pPr>
            <w:r>
              <w:t xml:space="preserve">8, 19, 28</w:t>
            </w:r>
          </w:p>
        </w:tc>
        <w:tc>
          <w:tcPr/>
          <w:p>
            <w:pPr>
              <w:pStyle w:val="Compact"/>
              <w:jc w:val="left"/>
            </w:pPr>
            <w:r>
              <w:t xml:space="preserve">various</w:t>
            </w:r>
          </w:p>
        </w:tc>
        <w:tc>
          <w:tcPr/>
          <w:p>
            <w:pPr>
              <w:pStyle w:val="Compact"/>
              <w:jc w:val="left"/>
            </w:pPr>
            <w:r>
              <w:t xml:space="preserve">1 each</w:t>
            </w:r>
          </w:p>
        </w:tc>
        <w:tc>
          <w:tcPr/>
          <w:p>
            <w:pPr>
              <w:pStyle w:val="Compact"/>
              <w:jc w:val="left"/>
            </w:pPr>
            <w:r>
              <w:t xml:space="preserve">Subparts only list document types or recipients</w:t>
            </w:r>
          </w:p>
        </w:tc>
      </w:tr>
      <w:tr>
        <w:tc>
          <w:tcPr/>
          <w:p>
            <w:pPr>
              <w:pStyle w:val="Compact"/>
              <w:jc w:val="left"/>
            </w:pPr>
            <w:r>
              <w:t xml:space="preserve">Other 21 RFPs</w:t>
            </w:r>
          </w:p>
        </w:tc>
        <w:tc>
          <w:tcPr/>
          <w:p>
            <w:pPr>
              <w:pStyle w:val="Compact"/>
              <w:jc w:val="left"/>
            </w:pPr>
            <w:r>
              <w:t xml:space="preserve">—</w:t>
            </w:r>
          </w:p>
        </w:tc>
        <w:tc>
          <w:tcPr/>
          <w:p>
            <w:pPr>
              <w:pStyle w:val="Compact"/>
              <w:jc w:val="left"/>
            </w:pPr>
            <w:r>
              <w:t xml:space="preserve">21</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~42–56</w:t>
            </w:r>
          </w:p>
        </w:tc>
        <w:tc>
          <w:tcPr/>
          <w:p>
            <w:pPr>
              <w:pStyle w:val="Compact"/>
              <w:jc w:val="left"/>
            </w:pPr>
            <w:r>
              <w:rPr>
                <w:b/>
                <w:bCs/>
              </w:rPr>
              <w:t xml:space="preserve">Conservative count ≈ 42; aggressive count ≈ 56</w:t>
            </w:r>
          </w:p>
        </w:tc>
      </w:tr>
    </w:tbl>
    <w:p>
      <w:pPr>
        <w:pStyle w:val="BodyText"/>
      </w:pPr>
      <w:r>
        <w:rPr>
          <w:b/>
          <w:bCs/>
        </w:rPr>
        <w:t xml:space="preserve">Recommendation:</w:t>
      </w:r>
      <w:r>
        <w:t xml:space="preserve"> </w:t>
      </w:r>
      <w:r>
        <w:t xml:space="preserve">object, answer every request, and state in writing that by our count Greenleaf has used at least 42 of its 50 requests. That keeps a strong position against any second set.</w:t>
      </w:r>
    </w:p>
    <w:bookmarkEnd w:id="24"/>
    <w:bookmarkStart w:id="25" w:name="Xcfd174b25f7dcf9576454aa4be6ffa54fa54e0e"/>
    <w:p>
      <w:pPr>
        <w:pStyle w:val="Heading2"/>
      </w:pPr>
      <w:r>
        <w:t xml:space="preserve">3.4 Mandatory Content of Our Written Responses</w:t>
      </w:r>
    </w:p>
    <w:p>
      <w:pPr>
        <w:pStyle w:val="FirstParagraph"/>
      </w:pPr>
      <w:r>
        <w:t xml:space="preserve">The precedent (</w:t>
      </w:r>
      <w:r>
        <w:rPr>
          <w:i/>
          <w:iCs/>
        </w:rPr>
        <w:t xml:space="preserve">Westbrook v. Harborline</w:t>
      </w:r>
      <w:r>
        <w:t xml:space="preserve">, S.D. Tex. 2023) is a useful template, but</w:t>
      </w:r>
      <w:r>
        <w:t xml:space="preserve"> </w:t>
      </w:r>
      <w:r>
        <w:rPr>
          <w:b/>
          <w:bCs/>
        </w:rPr>
        <w:t xml:space="preserve">it falls short of the current Rules and our stipulation in several ways.</w:t>
      </w:r>
      <w:r>
        <w:t xml:space="preserve"> </w:t>
      </w:r>
      <w:r>
        <w:t xml:space="preserve">The draft responses fix each of these:</w:t>
      </w:r>
    </w:p>
    <w:p>
      <w:pPr>
        <w:pStyle w:val="Compact"/>
        <w:numPr>
          <w:ilvl w:val="0"/>
          <w:numId w:val="1003"/>
        </w:numPr>
      </w:pPr>
      <w:r>
        <w:rPr>
          <w:b/>
          <w:bCs/>
        </w:rPr>
        <w:t xml:space="preserve">Rule 34(b)(2)(C) withholding statement.</w:t>
      </w:r>
      <w:r>
        <w:t xml:space="preserve"> </w:t>
      </w:r>
      <w:r>
        <w:t xml:space="preserve">Every objection must say whether responsive material is being withheld because of it. The precedent never does. D. Colo. judges regularly treat objections without that statement as waived.</w:t>
      </w:r>
    </w:p>
    <w:p>
      <w:pPr>
        <w:pStyle w:val="Compact"/>
        <w:numPr>
          <w:ilvl w:val="0"/>
          <w:numId w:val="1003"/>
        </w:numPr>
      </w:pPr>
      <w:r>
        <w:rPr>
          <w:b/>
          <w:bCs/>
        </w:rPr>
        <w:t xml:space="preserve">Rule 34(b)(2)(B) timing.</w:t>
      </w:r>
      <w:r>
        <w:t xml:space="preserve"> </w:t>
      </w:r>
      <w:r>
        <w:t xml:space="preserve">When we say we will produce, we must give a completion date. We propose rolling production beginning June 9, with substantial completion by July 25, 2025.</w:t>
      </w:r>
    </w:p>
    <w:p>
      <w:pPr>
        <w:pStyle w:val="Compact"/>
        <w:numPr>
          <w:ilvl w:val="0"/>
          <w:numId w:val="1003"/>
        </w:numPr>
      </w:pPr>
      <w:r>
        <w:rPr>
          <w:b/>
          <w:bCs/>
        </w:rPr>
        <w:t xml:space="preserve">Stipulation § 3(a) format designation.</w:t>
      </w:r>
      <w:r>
        <w:t xml:space="preserve"> </w:t>
      </w:r>
      <w:r>
        <w:t xml:space="preserve">For each RFP, we must state whether ESI will be produced native or as TIFF, and if TIFF, why native is not practicable. Spreadsheets, SAP/ERP exports, and structured data must be native. The precedent has no such designations. Each draft response includes a</w:t>
      </w:r>
      <w:r>
        <w:t xml:space="preserve"> </w:t>
      </w:r>
      <w:r>
        <w:t xml:space="preserve">“</w:t>
      </w:r>
      <w:r>
        <w:t xml:space="preserve">Form of production</w:t>
      </w:r>
      <w:r>
        <w:t xml:space="preserve">”</w:t>
      </w:r>
      <w:r>
        <w:t xml:space="preserve"> </w:t>
      </w:r>
      <w:r>
        <w:t xml:space="preserve">line.</w:t>
      </w:r>
    </w:p>
    <w:p>
      <w:pPr>
        <w:pStyle w:val="Compact"/>
        <w:numPr>
          <w:ilvl w:val="0"/>
          <w:numId w:val="1003"/>
        </w:numPr>
      </w:pPr>
      <w:r>
        <w:rPr>
          <w:b/>
          <w:bCs/>
        </w:rPr>
        <w:t xml:space="preserve">Boilerplate general objections.</w:t>
      </w:r>
      <w:r>
        <w:t xml:space="preserve"> </w:t>
      </w:r>
      <w:r>
        <w:t xml:space="preserve">D. Colo. disfavors them. The drafts keep a short preliminary statement but make every operative objection specifically in the individual response.</w:t>
      </w:r>
    </w:p>
    <w:p>
      <w:pPr>
        <w:pStyle w:val="Compact"/>
        <w:numPr>
          <w:ilvl w:val="0"/>
          <w:numId w:val="1003"/>
        </w:numPr>
      </w:pPr>
      <w:r>
        <w:rPr>
          <w:b/>
          <w:bCs/>
        </w:rPr>
        <w:t xml:space="preserve">Rule 36(a)(4) reasonable inquiry.</w:t>
      </w:r>
      <w:r>
        <w:t xml:space="preserve"> </w:t>
      </w:r>
      <w:r>
        <w:t xml:space="preserve">A party may claim lack of knowledge only if it states that it made a reasonable inquiry and the information it knows or can readily obtain is not enough. Precedent RFA 7 (</w:t>
      </w:r>
      <w:r>
        <w:t xml:space="preserve">“</w:t>
      </w:r>
      <w:r>
        <w:t xml:space="preserve">Denied … lacks sufficient knowledge</w:t>
      </w:r>
      <w:r>
        <w:t xml:space="preserve">”</w:t>
      </w:r>
      <w:r>
        <w:t xml:space="preserve">) would be defective here. Our drafts use the correct formulation.</w:t>
      </w:r>
    </w:p>
    <w:p>
      <w:pPr>
        <w:pStyle w:val="Compact"/>
        <w:numPr>
          <w:ilvl w:val="0"/>
          <w:numId w:val="1003"/>
        </w:numPr>
      </w:pPr>
      <w:r>
        <w:rPr>
          <w:b/>
          <w:bCs/>
        </w:rPr>
        <w:t xml:space="preserve">Oath.</w:t>
      </w:r>
      <w:r>
        <w:t xml:space="preserve"> </w:t>
      </w:r>
      <w:r>
        <w:t xml:space="preserve">Greenleaf’s RFA Instruction 1 demands answers</w:t>
      </w:r>
      <w:r>
        <w:t xml:space="preserve"> </w:t>
      </w:r>
      <w:r>
        <w:t xml:space="preserve">“</w:t>
      </w:r>
      <w:r>
        <w:t xml:space="preserve">under oath.</w:t>
      </w:r>
      <w:r>
        <w:t xml:space="preserve">”</w:t>
      </w:r>
      <w:r>
        <w:t xml:space="preserve"> </w:t>
      </w:r>
      <w:r>
        <w:t xml:space="preserve">Rule 36(a)(3) requires only a writing signed by the party or its attorney, so we object to that instruction. Nothing else in these sets requires a verification. (Interrogatories would.)</w:t>
      </w:r>
    </w:p>
    <w:p>
      <w:pPr>
        <w:pStyle w:val="Compact"/>
        <w:numPr>
          <w:ilvl w:val="0"/>
          <w:numId w:val="1003"/>
        </w:numPr>
      </w:pPr>
      <w:r>
        <w:rPr>
          <w:b/>
          <w:bCs/>
        </w:rPr>
        <w:t xml:space="preserve">Caption and signature details.</w:t>
      </w:r>
      <w:r>
        <w:t xml:space="preserve"> </w:t>
      </w:r>
      <w:r>
        <w:t xml:space="preserve">Do not carry over anything from the precedent: the S.D. Tex. caption,</w:t>
      </w:r>
      <w:r>
        <w:t xml:space="preserve"> </w:t>
      </w:r>
      <w:r>
        <w:t xml:space="preserve">“</w:t>
      </w:r>
      <w:r>
        <w:t xml:space="preserve">Dkt. No. 22,</w:t>
      </w:r>
      <w:r>
        <w:t xml:space="preserve">”</w:t>
      </w:r>
      <w:r>
        <w:t xml:space="preserve"> </w:t>
      </w:r>
      <w:r>
        <w:t xml:space="preserve">Harborline’s 200% cap, Tidewater, and so on.</w:t>
      </w:r>
      <w:r>
        <w:t xml:space="preserve"> </w:t>
      </w:r>
      <w:r>
        <w:rPr>
          <w:b/>
          <w:bCs/>
        </w:rPr>
        <w:t xml:space="preserve">Bar numbers and phone numbers conflict across our own filings.</w:t>
      </w:r>
      <w:r>
        <w:t xml:space="preserve"> </w:t>
      </w:r>
      <w:r>
        <w:t xml:space="preserve">The Answer lists Kessler as TX 24078391, Aldridge as 24103856, and (713) 555-0140; the precedent lists 24078653, 24102987, and (713) 555-4200. Confirm the correct figures before signing. Also confirm that Kessler, Aldridge, and Tanaka are admitted to the D. Colo. bar or have pro hac vice status.</w:t>
      </w:r>
    </w:p>
    <w:bookmarkEnd w:id="25"/>
    <w:bookmarkEnd w:id="26"/>
    <w:bookmarkStart w:id="32" w:name="substantive-strategy-by-issue"/>
    <w:p>
      <w:pPr>
        <w:pStyle w:val="Heading1"/>
      </w:pPr>
      <w:r>
        <w:t xml:space="preserve">4. Substantive Strategy by Issue</w:t>
      </w:r>
    </w:p>
    <w:bookmarkStart w:id="27" w:name="X6fbe0ad5ff7ceda203a6005baaf79614a592d18"/>
    <w:p>
      <w:pPr>
        <w:pStyle w:val="Heading2"/>
      </w:pPr>
      <w:r>
        <w:t xml:space="preserve">4.1 Causation:</w:t>
      </w:r>
      <w:r>
        <w:t xml:space="preserve"> </w:t>
      </w:r>
      <w:r>
        <w:t xml:space="preserve">“</w:t>
      </w:r>
      <w:r>
        <w:t xml:space="preserve">Conforming When Shipped</w:t>
      </w:r>
      <w:r>
        <w:t xml:space="preserve">”</w:t>
      </w:r>
      <w:r>
        <w:t xml:space="preserve"> </w:t>
      </w:r>
      <w:r>
        <w:t xml:space="preserve">(Fourth Affirmative Defense)</w:t>
      </w:r>
    </w:p>
    <w:p>
      <w:pPr>
        <w:pStyle w:val="Compact"/>
        <w:numPr>
          <w:ilvl w:val="0"/>
          <w:numId w:val="1004"/>
        </w:numPr>
      </w:pPr>
      <w:r>
        <w:t xml:space="preserve">Our strongest defense is that the COAs accurately reported release testing, and any non-conformity arose after delivery. The weakest link is chain of custody for the</w:t>
      </w:r>
      <w:r>
        <w:t xml:space="preserve"> </w:t>
      </w:r>
      <w:r>
        <w:rPr>
          <w:b/>
          <w:bCs/>
        </w:rPr>
        <w:t xml:space="preserve">“</w:t>
      </w:r>
      <w:r>
        <w:rPr>
          <w:b/>
          <w:bCs/>
        </w:rPr>
        <w:t xml:space="preserve">retained samples</w:t>
      </w:r>
      <w:r>
        <w:rPr>
          <w:b/>
          <w:bCs/>
        </w:rPr>
        <w:t xml:space="preserve">”</w:t>
      </w:r>
      <w:r>
        <w:t xml:space="preserve"> </w:t>
      </w:r>
      <w:r>
        <w:t xml:space="preserve">Thornfield tested. We need to know whose samples they were, how they were stored, how long they sat, and whether they came from sealed drums or from Greenleaf’s in-process tanks.</w:t>
      </w:r>
    </w:p>
    <w:p>
      <w:pPr>
        <w:pStyle w:val="Compact"/>
        <w:numPr>
          <w:ilvl w:val="0"/>
          <w:numId w:val="1004"/>
        </w:numPr>
      </w:pPr>
      <w:r>
        <w:rPr>
          <w:b/>
          <w:bCs/>
        </w:rPr>
        <w:t xml:space="preserve">Immediate steps:</w:t>
      </w:r>
    </w:p>
    <w:p>
      <w:pPr>
        <w:pStyle w:val="Compact"/>
        <w:numPr>
          <w:ilvl w:val="1"/>
          <w:numId w:val="1005"/>
        </w:numPr>
      </w:pPr>
      <w:r>
        <w:t xml:space="preserve">Confirm whether Prismavale kept its own</w:t>
      </w:r>
      <w:r>
        <w:t xml:space="preserve"> </w:t>
      </w:r>
      <w:r>
        <w:rPr>
          <w:b/>
          <w:bCs/>
        </w:rPr>
        <w:t xml:space="preserve">retention samples</w:t>
      </w:r>
      <w:r>
        <w:t xml:space="preserve"> </w:t>
      </w:r>
      <w:r>
        <w:t xml:space="preserve">for both lots. If it did, propose</w:t>
      </w:r>
      <w:r>
        <w:t xml:space="preserve"> </w:t>
      </w:r>
      <w:r>
        <w:rPr>
          <w:b/>
          <w:bCs/>
        </w:rPr>
        <w:t xml:space="preserve">joint split-sample testing</w:t>
      </w:r>
      <w:r>
        <w:t xml:space="preserve"> </w:t>
      </w:r>
      <w:r>
        <w:t xml:space="preserve">under an agreed protocol with GC-MS for 1,4-dioxane and USP &lt;61&gt;/&lt;62&gt; for microbial counts. If our retains test in specification, that is the best evidence in the case. If they test out of specification, we need to know that now, before we answer RFAs 9–11 and 21 and before any mediation.</w:t>
      </w:r>
    </w:p>
    <w:p>
      <w:pPr>
        <w:pStyle w:val="Compact"/>
        <w:numPr>
          <w:ilvl w:val="1"/>
          <w:numId w:val="1005"/>
        </w:numPr>
      </w:pPr>
      <w:r>
        <w:t xml:space="preserve">Serve our first RFPs and a Rule 45 subpoena to</w:t>
      </w:r>
      <w:r>
        <w:t xml:space="preserve"> </w:t>
      </w:r>
      <w:r>
        <w:rPr>
          <w:b/>
          <w:bCs/>
        </w:rPr>
        <w:t xml:space="preserve">Thornfield Analytical Labs</w:t>
      </w:r>
      <w:r>
        <w:t xml:space="preserve"> </w:t>
      </w:r>
      <w:r>
        <w:t xml:space="preserve">(Lakewood, CO) for the full data package: chain of custody, sample IDs, instrument raw data, and method validation.</w:t>
      </w:r>
    </w:p>
    <w:p>
      <w:pPr>
        <w:pStyle w:val="Compact"/>
        <w:numPr>
          <w:ilvl w:val="1"/>
          <w:numId w:val="1005"/>
        </w:numPr>
      </w:pPr>
      <w:r>
        <w:rPr>
          <w:b/>
          <w:bCs/>
        </w:rPr>
        <w:t xml:space="preserve">Plausibility check:</w:t>
      </w:r>
      <w:r>
        <w:t xml:space="preserve"> </w:t>
      </w:r>
      <w:r>
        <w:t xml:space="preserve">1,4-dioxane is a by-product of ethoxylation. It is hard to explain how the level would rise after delivery during storage. The microbial theory (PS-302 during transit or storage) is more plausible than the 1,4-dioxane theory. We should evaluate that honestly with a consulting expert before we commit to a denial we cannot back up at trial.</w:t>
      </w:r>
    </w:p>
    <w:p>
      <w:pPr>
        <w:pStyle w:val="Compact"/>
        <w:numPr>
          <w:ilvl w:val="0"/>
          <w:numId w:val="1004"/>
        </w:numPr>
      </w:pPr>
      <w:r>
        <w:rPr>
          <w:b/>
          <w:bCs/>
        </w:rPr>
        <w:t xml:space="preserve">Oakvale Freight Services.</w:t>
      </w:r>
      <w:r>
        <w:t xml:space="preserve"> </w:t>
      </w:r>
      <w:r>
        <w:t xml:space="preserve">Greenleaf’s RFP 11 names Prismavale’s carrier. If our theory is contamination or temperature abuse in transit, Oakvale is a potential Rule 14 third-party defendant.</w:t>
      </w:r>
      <w:r>
        <w:t xml:space="preserve"> </w:t>
      </w:r>
      <w:r>
        <w:rPr>
          <w:b/>
          <w:bCs/>
        </w:rPr>
        <w:t xml:space="preserve">Joinder deadline: July 14, 2025.</w:t>
      </w:r>
      <w:r>
        <w:t xml:space="preserve"> </w:t>
      </w:r>
      <w:r>
        <w:t xml:space="preserve">Pull the temperature-logger data and the carrier contract now. If the contract gives Prismavale a right to Oakvale’s records, those records are within our</w:t>
      </w:r>
      <w:r>
        <w:t xml:space="preserve"> </w:t>
      </w:r>
      <w:r>
        <w:t xml:space="preserve">“</w:t>
      </w:r>
      <w:r>
        <w:t xml:space="preserve">control</w:t>
      </w:r>
      <w:r>
        <w:t xml:space="preserve">”</w:t>
      </w:r>
      <w:r>
        <w:t xml:space="preserve"> </w:t>
      </w:r>
      <w:r>
        <w:t xml:space="preserve">under Rule 34 and must be produced. Decide on a tender or third-party claim by June 30.</w:t>
      </w:r>
    </w:p>
    <w:bookmarkEnd w:id="27"/>
    <w:bookmarkStart w:id="28" w:name="X91eab6996ba26064f5b658bc29d9b9e01e091ec"/>
    <w:p>
      <w:pPr>
        <w:pStyle w:val="Heading2"/>
      </w:pPr>
      <w:r>
        <w:t xml:space="preserve">4.2 The Hot Documents and Willfulness (Damages-Cap Exposure)</w:t>
      </w:r>
    </w:p>
    <w:p>
      <w:pPr>
        <w:pStyle w:val="FirstParagraph"/>
      </w:pPr>
      <w:r>
        <w:t xml:space="preserve">Greenleaf’s route around the § 12.4 cap is</w:t>
      </w:r>
      <w:r>
        <w:t xml:space="preserve"> </w:t>
      </w:r>
      <w:r>
        <w:rPr>
          <w:b/>
          <w:bCs/>
        </w:rPr>
        <w:t xml:space="preserve">willfulness</w:t>
      </w:r>
      <w:r>
        <w:t xml:space="preserve"> </w:t>
      </w:r>
      <w:r>
        <w:t xml:space="preserve">(Compl. ¶ 56). Its evidence is: (i) the Line 3 validation failure eight days before the SB-102 batch; (ii) root-cause closure on Apr. 30, after shipment; (iii) the Ferris email of Apr. 25; and (iv) Ortiz releasing PS-302 despite the EM alert. RFAs 14–16 and RFPs 10, 14, 16, 19, 20, and 21 target all four.</w:t>
      </w:r>
    </w:p>
    <w:p>
      <w:pPr>
        <w:pStyle w:val="Compact"/>
        <w:numPr>
          <w:ilvl w:val="0"/>
          <w:numId w:val="1006"/>
        </w:numPr>
      </w:pPr>
      <w:r>
        <w:rPr>
          <w:b/>
          <w:bCs/>
        </w:rPr>
        <w:t xml:space="preserve">Our framing, if the facts support it:</w:t>
      </w:r>
    </w:p>
    <w:p>
      <w:pPr>
        <w:pStyle w:val="Compact"/>
        <w:numPr>
          <w:ilvl w:val="1"/>
          <w:numId w:val="1007"/>
        </w:numPr>
      </w:pPr>
      <w:r>
        <w:t xml:space="preserve">For the cleaning validation, a re-validation passed on Mar. 2,</w:t>
      </w:r>
      <w:r>
        <w:t xml:space="preserve"> </w:t>
      </w:r>
      <w:r>
        <w:rPr>
          <w:b/>
          <w:bCs/>
        </w:rPr>
        <w:t xml:space="preserve">before</w:t>
      </w:r>
      <w:r>
        <w:t xml:space="preserve"> </w:t>
      </w:r>
      <w:r>
        <w:t xml:space="preserve">the SB-102 batch was made. Under standard GMP practice, a passing re-validation clears the line for production even if the root-cause investigation is still open.</w:t>
      </w:r>
    </w:p>
    <w:p>
      <w:pPr>
        <w:pStyle w:val="Compact"/>
        <w:numPr>
          <w:ilvl w:val="1"/>
          <w:numId w:val="1007"/>
        </w:numPr>
      </w:pPr>
      <w:r>
        <w:t xml:space="preserve">For EML-2024-06-10, Complaint ¶ 39 is internally inconsistent. It calls the result an</w:t>
      </w:r>
      <w:r>
        <w:t xml:space="preserve"> </w:t>
      </w:r>
      <w:r>
        <w:t xml:space="preserve">“</w:t>
      </w:r>
      <w:r>
        <w:t xml:space="preserve">alert-level</w:t>
      </w:r>
      <w:r>
        <w:t xml:space="preserve">”</w:t>
      </w:r>
      <w:r>
        <w:t xml:space="preserve"> </w:t>
      </w:r>
      <w:r>
        <w:t xml:space="preserve">result, then says it</w:t>
      </w:r>
      <w:r>
        <w:t xml:space="preserve"> </w:t>
      </w:r>
      <w:r>
        <w:t xml:space="preserve">“</w:t>
      </w:r>
      <w:r>
        <w:t xml:space="preserve">exceeded … action thresholds.</w:t>
      </w:r>
      <w:r>
        <w:t xml:space="preserve">”</w:t>
      </w:r>
      <w:r>
        <w:t xml:space="preserve"> </w:t>
      </w:r>
      <w:r>
        <w:t xml:space="preserve">Alert and action levels are different tiers. An alert-level excursion normally calls for trending, not a batch hold.</w:t>
      </w:r>
      <w:r>
        <w:t xml:space="preserve"> </w:t>
      </w:r>
      <w:r>
        <w:rPr>
          <w:b/>
          <w:bCs/>
        </w:rPr>
        <w:t xml:space="preserve">Pull the EM SOP and the actual reading.</w:t>
      </w:r>
      <w:r>
        <w:t xml:space="preserve"> </w:t>
      </w:r>
      <w:r>
        <w:t xml:space="preserve">If the reading was alert-level only, we should say so plainly in RFA 15(b).</w:t>
      </w:r>
    </w:p>
    <w:p>
      <w:pPr>
        <w:pStyle w:val="Compact"/>
        <w:numPr>
          <w:ilvl w:val="1"/>
          <w:numId w:val="1007"/>
        </w:numPr>
      </w:pPr>
      <w:r>
        <w:t xml:space="preserve">The MSA contains no provision requiring disclosure of internal deviations. RFA 14(c) should be denied only as to any implied duty, not as to the fact of non-disclosure.</w:t>
      </w:r>
    </w:p>
    <w:p>
      <w:pPr>
        <w:pStyle w:val="Compact"/>
        <w:numPr>
          <w:ilvl w:val="0"/>
          <w:numId w:val="1006"/>
        </w:numPr>
      </w:pPr>
      <w:r>
        <w:rPr>
          <w:b/>
          <w:bCs/>
        </w:rPr>
        <w:t xml:space="preserve">The Ferris email (Apr. 25, 2024).</w:t>
      </w:r>
      <w:r>
        <w:t xml:space="preserve"> </w:t>
      </w:r>
      <w:r>
        <w:t xml:space="preserve">Pull it and its full thread now. It is a business communication between two non-lawyers.</w:t>
      </w:r>
      <w:r>
        <w:t xml:space="preserve"> </w:t>
      </w:r>
      <w:r>
        <w:rPr>
          <w:b/>
          <w:bCs/>
        </w:rPr>
        <w:t xml:space="preserve">It is not privileged</w:t>
      </w:r>
      <w:r>
        <w:t xml:space="preserve">, unless in-house or outside counsel was a participant and the email sought legal advice. Plan for it to be produced. Prepare Ferris (Sales VP, not QA) to explain it as speculation outside her area rather than a finding. Also identify</w:t>
      </w:r>
      <w:r>
        <w:t xml:space="preserve"> </w:t>
      </w:r>
      <w:r>
        <w:rPr>
          <w:b/>
          <w:bCs/>
        </w:rPr>
        <w:t xml:space="preserve">Timothy Wardell</w:t>
      </w:r>
      <w:r>
        <w:t xml:space="preserve">: his role, whether he is a current or former employee, and whether he could be a whistleblower or the source of Greenleaf’s information. That affects both preservation and witness strategy.</w:t>
      </w:r>
    </w:p>
    <w:p>
      <w:pPr>
        <w:pStyle w:val="Compact"/>
        <w:numPr>
          <w:ilvl w:val="0"/>
          <w:numId w:val="1006"/>
        </w:numPr>
      </w:pPr>
      <w:r>
        <w:rPr>
          <w:b/>
          <w:bCs/>
        </w:rPr>
        <w:t xml:space="preserve">Cap math risk.</w:t>
      </w:r>
      <w:r>
        <w:t xml:space="preserve"> </w:t>
      </w:r>
      <w:r>
        <w:t xml:space="preserve">Both sides use $5,000,000 (the Mar. 2023–Feb. 2024 purchase price). Greenleaf may later argue that (a) the cap applies</w:t>
      </w:r>
      <w:r>
        <w:t xml:space="preserve"> </w:t>
      </w:r>
      <w:r>
        <w:rPr>
          <w:b/>
          <w:bCs/>
        </w:rPr>
        <w:t xml:space="preserve">per claim</w:t>
      </w:r>
      <w:r>
        <w:t xml:space="preserve">, so the PS-302</w:t>
      </w:r>
      <w:r>
        <w:t xml:space="preserve"> </w:t>
      </w:r>
      <w:r>
        <w:t xml:space="preserve">“</w:t>
      </w:r>
      <w:r>
        <w:t xml:space="preserve">claim</w:t>
      </w:r>
      <w:r>
        <w:t xml:space="preserve">”</w:t>
      </w:r>
      <w:r>
        <w:t xml:space="preserve"> </w:t>
      </w:r>
      <w:r>
        <w:t xml:space="preserve">gets a separate cap measured over Aug. 2023–Jul. 2024, when Year 5 minimum purchases were $5.5M; and (b) recall costs are direct damages and fall outside the cap. Complaint ¶ 17 quotes § 12.4 as also covering</w:t>
      </w:r>
      <w:r>
        <w:t xml:space="preserve"> </w:t>
      </w:r>
      <w:r>
        <w:rPr>
          <w:b/>
          <w:bCs/>
        </w:rPr>
        <w:t xml:space="preserve">“</w:t>
      </w:r>
      <w:r>
        <w:rPr>
          <w:b/>
          <w:bCs/>
        </w:rPr>
        <w:t xml:space="preserve">incidental</w:t>
      </w:r>
      <w:r>
        <w:rPr>
          <w:b/>
          <w:bCs/>
        </w:rPr>
        <w:t xml:space="preserve">”</w:t>
      </w:r>
      <w:r>
        <w:t xml:space="preserve"> </w:t>
      </w:r>
      <w:r>
        <w:t xml:space="preserve">damages, which supports treating recall costs as capped. Our RFA 25 response admits the cap and quotes the complete category list without taking a position on how the cap is measured. Also note that Answer ¶ 72 overstates the cap (</w:t>
      </w:r>
      <w:r>
        <w:t xml:space="preserve">“</w:t>
      </w:r>
      <w:r>
        <w:t xml:space="preserve">any damages … are limited</w:t>
      </w:r>
      <w:r>
        <w:t xml:space="preserve">”</w:t>
      </w:r>
      <w:r>
        <w:t xml:space="preserve">). Correct this in the amended Answer so that we do not create a false inconsistency.</w:t>
      </w:r>
    </w:p>
    <w:bookmarkEnd w:id="28"/>
    <w:bookmarkStart w:id="29" w:name="X91e899af0b31e1f38aab583d36ed88e9f1c4fb3"/>
    <w:p>
      <w:pPr>
        <w:pStyle w:val="Heading2"/>
      </w:pPr>
      <w:r>
        <w:t xml:space="preserve">4.3 PS-302 and Pre-Suit Mediation (Second Affirmative Defense)</w:t>
      </w:r>
    </w:p>
    <w:p>
      <w:pPr>
        <w:pStyle w:val="Compact"/>
        <w:numPr>
          <w:ilvl w:val="0"/>
          <w:numId w:val="1008"/>
        </w:numPr>
      </w:pPr>
      <w:r>
        <w:t xml:space="preserve">Greenleaf’s RFA 18 asks for a blanket admission that it complied with § 14.3. We respond with a partial admission: compliance as to SB-102, denial as to PS-302. That matches Answer ¶¶ 56–58.</w:t>
      </w:r>
    </w:p>
    <w:p>
      <w:pPr>
        <w:pStyle w:val="Compact"/>
        <w:numPr>
          <w:ilvl w:val="0"/>
          <w:numId w:val="1008"/>
        </w:numPr>
      </w:pPr>
      <w:r>
        <w:rPr>
          <w:b/>
          <w:bCs/>
        </w:rPr>
        <w:t xml:space="preserve">Evidence to secure:</w:t>
      </w:r>
      <w:r>
        <w:t xml:space="preserve"> </w:t>
      </w:r>
      <w:r>
        <w:t xml:space="preserve">the January 6, 2025 dispute notice and Prismavale’s January 27 response. Both are pre-mediation contract notices, not mediation communications.</w:t>
      </w:r>
      <w:r>
        <w:t xml:space="preserve"> </w:t>
      </w:r>
      <w:r>
        <w:rPr>
          <w:b/>
          <w:bCs/>
        </w:rPr>
        <w:t xml:space="preserve">We want them produced</w:t>
      </w:r>
      <w:r>
        <w:t xml:space="preserve"> </w:t>
      </w:r>
      <w:r>
        <w:t xml:space="preserve">(RFP 18), because they are the core proof of this defense.</w:t>
      </w:r>
    </w:p>
    <w:p>
      <w:pPr>
        <w:pStyle w:val="Compact"/>
        <w:numPr>
          <w:ilvl w:val="0"/>
          <w:numId w:val="1008"/>
        </w:numPr>
      </w:pPr>
      <w:r>
        <w:rPr>
          <w:b/>
          <w:bCs/>
        </w:rPr>
        <w:t xml:space="preserve">Internal risk to check before production:</w:t>
      </w:r>
      <w:r>
        <w:t xml:space="preserve"> </w:t>
      </w:r>
      <w:r>
        <w:t xml:space="preserve">did Prismavale’s own mediation statement, term sheets, or Clearwater correspondence discuss PS-302? If they did, the defense is weakened in substance, and Greenleaf will argue waiver or estoppel. Withhold mediation communications under C.R.S. § 13-22-307, FRE 408, and the Clearwater confidentiality agreement. Log them categorically. But</w:t>
      </w:r>
      <w:r>
        <w:t xml:space="preserve"> </w:t>
      </w:r>
      <w:r>
        <w:rPr>
          <w:b/>
          <w:bCs/>
        </w:rPr>
        <w:t xml:space="preserve">know what they say.</w:t>
      </w:r>
    </w:p>
    <w:p>
      <w:pPr>
        <w:pStyle w:val="Compact"/>
        <w:numPr>
          <w:ilvl w:val="0"/>
          <w:numId w:val="1008"/>
        </w:numPr>
      </w:pPr>
      <w:r>
        <w:rPr>
          <w:b/>
          <w:bCs/>
        </w:rPr>
        <w:t xml:space="preserve">Practical point:</w:t>
      </w:r>
      <w:r>
        <w:t xml:space="preserve"> </w:t>
      </w:r>
      <w:r>
        <w:t xml:space="preserve">the usual remedy for skipping a pre-suit mediation step is a stay pending mediation, not dismissal. Consider offering a short PS-302 mediation to strengthen our position, or using the defense as leverage for a global mediation.</w:t>
      </w:r>
    </w:p>
    <w:bookmarkEnd w:id="29"/>
    <w:bookmarkStart w:id="30" w:name="Xe59661f50c39fdddc50d38416357b0b5a661b74"/>
    <w:p>
      <w:pPr>
        <w:pStyle w:val="Heading2"/>
      </w:pPr>
      <w:r>
        <w:t xml:space="preserve">4.4 Section 8.1 Rejection Window (First Affirmative Defense)</w:t>
      </w:r>
    </w:p>
    <w:p>
      <w:pPr>
        <w:pStyle w:val="FirstParagraph"/>
      </w:pPr>
      <w:r>
        <w:t xml:space="preserve">This is our weakest defense. Complaint ¶¶ 16 and 25 plead latent defects that could be detected only by GC-MS or incubation. Under UCC § 2-607(3)(a), the buyer’s duty is to give notice within a reasonable time after it discovers or should have discovered the breach, and courts rarely apply a short inspection clause to bar claims for latent defects. We deny RFAs 12 and 13 because reasonableness is fact-bound and we have a good-faith basis under § 8.1 and in the timeline (consumer complaints in early April; notice around Apr. 22). That gives us reasonable ground under Rule 37(c)(2)(C).</w:t>
      </w:r>
      <w:r>
        <w:t xml:space="preserve"> </w:t>
      </w:r>
      <w:r>
        <w:rPr>
          <w:b/>
          <w:bCs/>
        </w:rPr>
        <w:t xml:space="preserve">But do not build the case around § 8.1.</w:t>
      </w:r>
      <w:r>
        <w:t xml:space="preserve"> </w:t>
      </w:r>
      <w:r>
        <w:t xml:space="preserve">Instead, use discovery to press Greenleaf’s own incoming QC practices, since the Answer’s Sixth Affirmative Defense says a 1,4-dioxane-risk component should have been GC-MS screened.</w:t>
      </w:r>
    </w:p>
    <w:bookmarkEnd w:id="30"/>
    <w:bookmarkStart w:id="31" w:name="X4b3642ae72c742a81b824f00f521dc34e1f368d"/>
    <w:p>
      <w:pPr>
        <w:pStyle w:val="Heading2"/>
      </w:pPr>
      <w:r>
        <w:t xml:space="preserve">4.5 Negligence Claim: Economic Loss Rule (Not Yet Pleaded)</w:t>
      </w:r>
    </w:p>
    <w:p>
      <w:pPr>
        <w:pStyle w:val="FirstParagraph"/>
      </w:pPr>
      <w:r>
        <w:t xml:space="preserve">Under Colorado law, the economic loss rule bars tort claims for purely economic losses caused by breach of duties that arise from a contract (</w:t>
      </w:r>
      <w:r>
        <w:rPr>
          <w:i/>
          <w:iCs/>
        </w:rPr>
        <w:t xml:space="preserve">Town of Alma v. AZCO Constr., Inc.</w:t>
      </w:r>
      <w:r>
        <w:t xml:space="preserve">, 10 P.3d 1256 (Colo. 2000);</w:t>
      </w:r>
      <w:r>
        <w:t xml:space="preserve"> </w:t>
      </w:r>
      <w:r>
        <w:rPr>
          <w:i/>
          <w:iCs/>
        </w:rPr>
        <w:t xml:space="preserve">BRW, Inc. v. Dufficy &amp; Sons, Inc.</w:t>
      </w:r>
      <w:r>
        <w:t xml:space="preserve">, 99 P.3d 66 (Colo. 2004)). Count IV seeks only commercial losses and alleges duties that mirror the MSA. That is also Greenleaf’s main argument for avoiding the cap (Compl. ¶ 106).</w:t>
      </w:r>
      <w:r>
        <w:t xml:space="preserve"> </w:t>
      </w:r>
      <w:r>
        <w:rPr>
          <w:b/>
          <w:bCs/>
        </w:rPr>
        <w:t xml:space="preserve">Recommendation:</w:t>
      </w:r>
    </w:p>
    <w:p>
      <w:pPr>
        <w:pStyle w:val="Compact"/>
        <w:numPr>
          <w:ilvl w:val="0"/>
          <w:numId w:val="1009"/>
        </w:numPr>
      </w:pPr>
      <w:r>
        <w:t xml:space="preserve">Add the economic loss rule as an affirmative defense in the amended Answer, and consider a Rule 12(c) motion.</w:t>
      </w:r>
    </w:p>
    <w:p>
      <w:pPr>
        <w:pStyle w:val="Compact"/>
        <w:numPr>
          <w:ilvl w:val="0"/>
          <w:numId w:val="1009"/>
        </w:numPr>
      </w:pPr>
      <w:r>
        <w:t xml:space="preserve">Winning on this issue narrows the discovery that matters, removes the argument that the tort claim escapes the cap, and eliminates comparative-fault issues.</w:t>
      </w:r>
    </w:p>
    <w:p>
      <w:pPr>
        <w:pStyle w:val="Compact"/>
        <w:numPr>
          <w:ilvl w:val="0"/>
          <w:numId w:val="1009"/>
        </w:numPr>
      </w:pPr>
      <w:r>
        <w:t xml:space="preserve">Add the</w:t>
      </w:r>
      <w:r>
        <w:t xml:space="preserve"> </w:t>
      </w:r>
      <w:r>
        <w:t xml:space="preserve">“</w:t>
      </w:r>
      <w:r>
        <w:t xml:space="preserve">no duty independent of contract</w:t>
      </w:r>
      <w:r>
        <w:t xml:space="preserve">”</w:t>
      </w:r>
      <w:r>
        <w:t xml:space="preserve"> </w:t>
      </w:r>
      <w:r>
        <w:t xml:space="preserve">point already made in Answer Count IV.</w:t>
      </w:r>
    </w:p>
    <w:bookmarkEnd w:id="31"/>
    <w:bookmarkEnd w:id="32"/>
    <w:bookmarkStart w:id="35" w:name="request-by-request-plan"/>
    <w:p>
      <w:pPr>
        <w:pStyle w:val="Heading1"/>
      </w:pPr>
      <w:r>
        <w:t xml:space="preserve">5. Request-by-Request Plan</w:t>
      </w:r>
    </w:p>
    <w:bookmarkStart w:id="33" w:name="rfas"/>
    <w:p>
      <w:pPr>
        <w:pStyle w:val="Heading2"/>
      </w:pPr>
      <w:r>
        <w:t xml:space="preserve">5.1 RFAs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RFA</w:t>
            </w:r>
          </w:p>
        </w:tc>
        <w:tc>
          <w:tcPr/>
          <w:p>
            <w:pPr>
              <w:pStyle w:val="Compact"/>
              <w:jc w:val="left"/>
            </w:pPr>
            <w:r>
              <w:t xml:space="preserve">Proposed response</w:t>
            </w:r>
          </w:p>
        </w:tc>
        <w:tc>
          <w:tcPr/>
          <w:p>
            <w:pPr>
              <w:pStyle w:val="Compact"/>
              <w:jc w:val="left"/>
            </w:pPr>
            <w:r>
              <w:t xml:space="preserve">Notes / verification needed</w:t>
            </w:r>
          </w:p>
        </w:tc>
      </w:tr>
      <w:tr>
        <w:tc>
          <w:tcPr/>
          <w:p>
            <w:pPr>
              <w:pStyle w:val="Compact"/>
              <w:jc w:val="left"/>
            </w:pPr>
            <w:r>
              <w:t xml:space="preserve">1, 2, 4</w:t>
            </w:r>
          </w:p>
        </w:tc>
        <w:tc>
          <w:tcPr/>
          <w:p>
            <w:pPr>
              <w:pStyle w:val="Compact"/>
              <w:jc w:val="left"/>
            </w:pPr>
            <w:r>
              <w:t xml:space="preserve">Admit</w:t>
            </w:r>
          </w:p>
        </w:tc>
        <w:tc>
          <w:tcPr/>
          <w:p>
            <w:pPr>
              <w:pStyle w:val="Compact"/>
              <w:jc w:val="left"/>
            </w:pPr>
            <w:r>
              <w:t xml:space="preserve">Consistent with Answer</w:t>
            </w:r>
          </w:p>
        </w:tc>
      </w:tr>
      <w:tr>
        <w:tc>
          <w:tcPr/>
          <w:p>
            <w:pPr>
              <w:pStyle w:val="Compact"/>
              <w:jc w:val="left"/>
            </w:pPr>
            <w:r>
              <w:t xml:space="preserve">3</w:t>
            </w:r>
          </w:p>
        </w:tc>
        <w:tc>
          <w:tcPr/>
          <w:p>
            <w:pPr>
              <w:pStyle w:val="Compact"/>
              <w:jc w:val="left"/>
            </w:pPr>
            <w:r>
              <w:t xml:space="preserve">Admit that the MSA required conformance with Exhibit A; refer to the document for the specific parameters</w:t>
            </w:r>
          </w:p>
        </w:tc>
        <w:tc>
          <w:tcPr/>
          <w:p>
            <w:pPr>
              <w:pStyle w:val="Compact"/>
              <w:jc w:val="left"/>
            </w:pPr>
            <w:r>
              <w:t xml:space="preserve">Answer ¶ 16</w:t>
            </w:r>
          </w:p>
        </w:tc>
      </w:tr>
      <w:tr>
        <w:tc>
          <w:tcPr/>
          <w:p>
            <w:pPr>
              <w:pStyle w:val="Compact"/>
              <w:jc w:val="left"/>
            </w:pPr>
            <w:r>
              <w:t xml:space="preserve">5</w:t>
            </w:r>
          </w:p>
        </w:tc>
        <w:tc>
          <w:tcPr/>
          <w:p>
            <w:pPr>
              <w:pStyle w:val="Compact"/>
              <w:jc w:val="left"/>
            </w:pPr>
            <w:r>
              <w:t xml:space="preserve">Admit</w:t>
            </w:r>
          </w:p>
        </w:tc>
        <w:tc>
          <w:tcPr/>
          <w:p>
            <w:pPr>
              <w:pStyle w:val="Compact"/>
              <w:jc w:val="left"/>
            </w:pPr>
            <w:r>
              <w:t xml:space="preserve">Answer ¶ 26</w:t>
            </w:r>
          </w:p>
        </w:tc>
      </w:tr>
      <w:tr>
        <w:tc>
          <w:tcPr/>
          <w:p>
            <w:pPr>
              <w:pStyle w:val="Compact"/>
              <w:jc w:val="left"/>
            </w:pPr>
            <w:r>
              <w:t xml:space="preserve">6</w:t>
            </w:r>
          </w:p>
        </w:tc>
        <w:tc>
          <w:tcPr/>
          <w:p>
            <w:pPr>
              <w:pStyle w:val="Compact"/>
              <w:jc w:val="left"/>
            </w:pPr>
            <w:r>
              <w:t xml:space="preserve">Admit the COA accompanied the shipment and reported results within limits for the parameters tested; deny otherwise</w:t>
            </w:r>
          </w:p>
        </w:tc>
        <w:tc>
          <w:tcPr/>
          <w:p>
            <w:pPr>
              <w:pStyle w:val="Compact"/>
              <w:jc w:val="left"/>
            </w:pPr>
            <w:r>
              <w:t xml:space="preserve">Confirm COA PV-24-03142</w:t>
            </w:r>
            <w:r>
              <w:t xml:space="preserve"> </w:t>
            </w:r>
            <w:r>
              <w:rPr>
                <w:b/>
                <w:bCs/>
              </w:rPr>
              <w:t xml:space="preserve">reports 1,4-dioxane</w:t>
            </w:r>
            <w:r>
              <w:t xml:space="preserve"> </w:t>
            </w:r>
            <w:r>
              <w:t xml:space="preserve">and which parameters are skip-lot or certified by vendor</w:t>
            </w:r>
          </w:p>
        </w:tc>
      </w:tr>
      <w:tr>
        <w:tc>
          <w:tcPr/>
          <w:p>
            <w:pPr>
              <w:pStyle w:val="Compact"/>
              <w:jc w:val="left"/>
            </w:pPr>
            <w:r>
              <w:t xml:space="preserve">7</w:t>
            </w:r>
          </w:p>
        </w:tc>
        <w:tc>
          <w:tcPr/>
          <w:p>
            <w:pPr>
              <w:pStyle w:val="Compact"/>
              <w:jc w:val="left"/>
            </w:pPr>
            <w:r>
              <w:t xml:space="preserve">Admit</w:t>
            </w:r>
          </w:p>
        </w:tc>
        <w:tc>
          <w:tcPr/>
          <w:p>
            <w:pPr>
              <w:pStyle w:val="Compact"/>
              <w:jc w:val="left"/>
            </w:pPr>
            <w:r>
              <w:t xml:space="preserve">Confirm the Broomfield delivery address</w:t>
            </w:r>
          </w:p>
        </w:tc>
      </w:tr>
      <w:tr>
        <w:tc>
          <w:tcPr/>
          <w:p>
            <w:pPr>
              <w:pStyle w:val="Compact"/>
              <w:jc w:val="left"/>
            </w:pPr>
            <w:r>
              <w:t xml:space="preserve">8</w:t>
            </w:r>
          </w:p>
        </w:tc>
        <w:tc>
          <w:tcPr/>
          <w:p>
            <w:pPr>
              <w:pStyle w:val="Compact"/>
              <w:jc w:val="left"/>
            </w:pPr>
            <w:r>
              <w:t xml:space="preserve">Same approach as 6</w:t>
            </w:r>
          </w:p>
        </w:tc>
        <w:tc>
          <w:tcPr/>
          <w:p>
            <w:pPr>
              <w:pStyle w:val="Compact"/>
              <w:jc w:val="left"/>
            </w:pPr>
            <w:r>
              <w:t xml:space="preserve">Confirm COA PV-24-06088 covers TAMC and objectionable organisms</w:t>
            </w:r>
          </w:p>
        </w:tc>
      </w:tr>
      <w:tr>
        <w:tc>
          <w:tcPr/>
          <w:p>
            <w:pPr>
              <w:pStyle w:val="Compact"/>
              <w:jc w:val="left"/>
            </w:pPr>
            <w:r>
              <w:t xml:space="preserve">9, 10, 11</w:t>
            </w:r>
          </w:p>
        </w:tc>
        <w:tc>
          <w:tcPr/>
          <w:p>
            <w:pPr>
              <w:pStyle w:val="Compact"/>
              <w:jc w:val="left"/>
            </w:pPr>
            <w:r>
              <w:t xml:space="preserve">Deny, with explanation</w:t>
            </w:r>
          </w:p>
        </w:tc>
        <w:tc>
          <w:tcPr/>
          <w:p>
            <w:pPr>
              <w:pStyle w:val="Compact"/>
              <w:jc w:val="left"/>
            </w:pPr>
            <w:r>
              <w:t xml:space="preserve">RFA 10 also mischaracterizes Thornfield: 450 CFU/g was the total aerobic count, and</w:t>
            </w:r>
            <w:r>
              <w:t xml:space="preserve"> </w:t>
            </w:r>
            <w:r>
              <w:rPr>
                <w:i/>
                <w:iCs/>
              </w:rPr>
              <w:t xml:space="preserve">Pseudomonas</w:t>
            </w:r>
            <w:r>
              <w:t xml:space="preserve"> </w:t>
            </w:r>
            <w:r>
              <w:t xml:space="preserve">was identified as present, not counted at 450.</w:t>
            </w:r>
            <w:r>
              <w:t xml:space="preserve"> </w:t>
            </w:r>
            <w:r>
              <w:rPr>
                <w:b/>
                <w:bCs/>
              </w:rPr>
              <w:t xml:space="preserve">Revisit if our retains test out of specification</w:t>
            </w:r>
          </w:p>
        </w:tc>
      </w:tr>
      <w:tr>
        <w:tc>
          <w:tcPr/>
          <w:p>
            <w:pPr>
              <w:pStyle w:val="Compact"/>
              <w:jc w:val="left"/>
            </w:pPr>
            <w:r>
              <w:t xml:space="preserve">12, 13</w:t>
            </w:r>
          </w:p>
        </w:tc>
        <w:tc>
          <w:tcPr/>
          <w:p>
            <w:pPr>
              <w:pStyle w:val="Compact"/>
              <w:jc w:val="left"/>
            </w:pPr>
            <w:r>
              <w:t xml:space="preserve">Deny; explain § 8.1 and the timing</w:t>
            </w:r>
          </w:p>
        </w:tc>
        <w:tc>
          <w:tcPr/>
          <w:p>
            <w:pPr>
              <w:pStyle w:val="Compact"/>
              <w:jc w:val="left"/>
            </w:pPr>
            <w:r>
              <w:t xml:space="preserve">Rule 37(c)(2) exposure is moderate; we have reasonable grounds</w:t>
            </w:r>
          </w:p>
        </w:tc>
      </w:tr>
      <w:tr>
        <w:tc>
          <w:tcPr/>
          <w:p>
            <w:pPr>
              <w:pStyle w:val="Compact"/>
              <w:jc w:val="left"/>
            </w:pPr>
            <w:r>
              <w:t xml:space="preserve">14(a)–(c)</w:t>
            </w:r>
          </w:p>
        </w:tc>
        <w:tc>
          <w:tcPr/>
          <w:p>
            <w:pPr>
              <w:pStyle w:val="Compact"/>
              <w:jc w:val="left"/>
            </w:pPr>
            <w:r>
              <w:t xml:space="preserve">Separate responses: admit the Line 3 manufacture; admit a validation run on Feb. 28 did not meet acceptance criteria and the Mar. 2 re-validation passed; admit no disclosure but deny any duty to disclose</w:t>
            </w:r>
          </w:p>
        </w:tc>
        <w:tc>
          <w:tcPr/>
          <w:p>
            <w:pPr>
              <w:pStyle w:val="Compact"/>
              <w:jc w:val="left"/>
            </w:pPr>
            <w:r>
              <w:rPr>
                <w:b/>
                <w:bCs/>
              </w:rPr>
              <w:t xml:space="preserve">Must be verified against CAR-2024-019.</w:t>
            </w:r>
            <w:r>
              <w:t xml:space="preserve"> </w:t>
            </w:r>
            <w:r>
              <w:t xml:space="preserve">Timing: Feb. 28 to Mar. 8 is nine days, not</w:t>
            </w:r>
            <w:r>
              <w:t xml:space="preserve"> </w:t>
            </w:r>
            <w:r>
              <w:t xml:space="preserve">“</w:t>
            </w:r>
            <w:r>
              <w:t xml:space="preserve">approximately eight</w:t>
            </w:r>
            <w:r>
              <w:t xml:space="preserve">”</w:t>
            </w:r>
          </w:p>
        </w:tc>
      </w:tr>
      <w:tr>
        <w:tc>
          <w:tcPr/>
          <w:p>
            <w:pPr>
              <w:pStyle w:val="Compact"/>
              <w:jc w:val="left"/>
            </w:pPr>
            <w:r>
              <w:t xml:space="preserve">15(a)–(c)</w:t>
            </w:r>
          </w:p>
        </w:tc>
        <w:tc>
          <w:tcPr/>
          <w:p>
            <w:pPr>
              <w:pStyle w:val="Compact"/>
              <w:jc w:val="left"/>
            </w:pPr>
            <w:r>
              <w:t xml:space="preserve">Admit the manufacture date; answer (b) precisely (alert vs. action level); admit Ortiz approved release, deny</w:t>
            </w:r>
            <w:r>
              <w:t xml:space="preserve"> </w:t>
            </w:r>
            <w:r>
              <w:t xml:space="preserve">“</w:t>
            </w:r>
            <w:r>
              <w:t xml:space="preserve">despite</w:t>
            </w:r>
            <w:r>
              <w:t xml:space="preserve">”</w:t>
            </w:r>
          </w:p>
        </w:tc>
        <w:tc>
          <w:tcPr/>
          <w:p>
            <w:pPr>
              <w:pStyle w:val="Compact"/>
              <w:jc w:val="left"/>
            </w:pPr>
            <w:r>
              <w:rPr>
                <w:b/>
                <w:bCs/>
              </w:rPr>
              <w:t xml:space="preserve">Verify EML-2024-06-10 and the batch release record</w:t>
            </w:r>
          </w:p>
        </w:tc>
      </w:tr>
      <w:tr>
        <w:tc>
          <w:tcPr/>
          <w:p>
            <w:pPr>
              <w:pStyle w:val="Compact"/>
              <w:jc w:val="left"/>
            </w:pPr>
            <w:r>
              <w:t xml:space="preserve">16(a)–(d)</w:t>
            </w:r>
          </w:p>
        </w:tc>
        <w:tc>
          <w:tcPr/>
          <w:p>
            <w:pPr>
              <w:pStyle w:val="Compact"/>
              <w:jc w:val="left"/>
            </w:pPr>
            <w:r>
              <w:t xml:space="preserve">Admit that CAR-2024-019 exists, that Ortiz signed it, and the closure date; for (d), lack of knowledge after reasonable inquiry about when Greenleaf received consumer complaints</w:t>
            </w:r>
          </w:p>
        </w:tc>
        <w:tc>
          <w:tcPr/>
          <w:p>
            <w:pPr>
              <w:pStyle w:val="Compact"/>
              <w:jc w:val="left"/>
            </w:pPr>
            <w:r>
              <w:t xml:space="preserve">Verify the closure date</w:t>
            </w:r>
          </w:p>
        </w:tc>
      </w:tr>
      <w:tr>
        <w:tc>
          <w:tcPr/>
          <w:p>
            <w:pPr>
              <w:pStyle w:val="Compact"/>
              <w:jc w:val="left"/>
            </w:pPr>
            <w:r>
              <w:t xml:space="preserve">17</w:t>
            </w:r>
          </w:p>
        </w:tc>
        <w:tc>
          <w:tcPr/>
          <w:p>
            <w:pPr>
              <w:pStyle w:val="Compact"/>
              <w:jc w:val="left"/>
            </w:pPr>
            <w:r>
              <w:t xml:space="preserve">Admit Greenleaf’s notice around Apr. 22, 2024 with the Thornfield report; [admit or qualify whether that notice mentioned consumer complaints]</w:t>
            </w:r>
          </w:p>
        </w:tc>
        <w:tc>
          <w:tcPr/>
          <w:p>
            <w:pPr>
              <w:pStyle w:val="Compact"/>
              <w:jc w:val="left"/>
            </w:pPr>
            <w:r>
              <w:t xml:space="preserve">Check Greenleaf’s April 2024 correspondence</w:t>
            </w:r>
          </w:p>
        </w:tc>
      </w:tr>
      <w:tr>
        <w:tc>
          <w:tcPr/>
          <w:p>
            <w:pPr>
              <w:pStyle w:val="Compact"/>
              <w:jc w:val="left"/>
            </w:pPr>
            <w:r>
              <w:t xml:space="preserve">18</w:t>
            </w:r>
          </w:p>
        </w:tc>
        <w:tc>
          <w:tcPr/>
          <w:p>
            <w:pPr>
              <w:pStyle w:val="Compact"/>
              <w:jc w:val="left"/>
            </w:pPr>
            <w:r>
              <w:t xml:space="preserve">Admit as to SB-102; deny as to PS-302</w:t>
            </w:r>
          </w:p>
        </w:tc>
        <w:tc>
          <w:tcPr/>
          <w:p>
            <w:pPr>
              <w:pStyle w:val="Compact"/>
              <w:jc w:val="left"/>
            </w:pPr>
            <w:r>
              <w:t xml:space="preserve">Second Affirmative Defense</w:t>
            </w:r>
          </w:p>
        </w:tc>
      </w:tr>
      <w:tr>
        <w:tc>
          <w:tcPr/>
          <w:p>
            <w:pPr>
              <w:pStyle w:val="Compact"/>
              <w:jc w:val="left"/>
            </w:pPr>
            <w:r>
              <w:t xml:space="preserve">19</w:t>
            </w:r>
          </w:p>
        </w:tc>
        <w:tc>
          <w:tcPr/>
          <w:p>
            <w:pPr>
              <w:pStyle w:val="Compact"/>
              <w:jc w:val="left"/>
            </w:pPr>
            <w:r>
              <w:t xml:space="preserve">Admit that Greenleaf initiated a recall around May 1; after reasonable inquiry, cannot admit or deny Greenleaf’s internal reasons; deny the premise that the batch was contaminated as shipped</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Objection (the question mixes law and fact, and lumps two products together); deny</w:t>
            </w:r>
          </w:p>
        </w:tc>
        <w:tc>
          <w:tcPr/>
          <w:p>
            <w:pPr>
              <w:pStyle w:val="Compact"/>
              <w:jc w:val="left"/>
            </w:pPr>
            <w:r>
              <w:t xml:space="preserve">Rule 36 allows application of law to fact, so a denial is required in addition to the objection</w:t>
            </w:r>
          </w:p>
        </w:tc>
      </w:tr>
      <w:tr>
        <w:tc>
          <w:tcPr/>
          <w:p>
            <w:pPr>
              <w:pStyle w:val="Compact"/>
              <w:jc w:val="left"/>
            </w:pPr>
            <w:r>
              <w:t xml:space="preserve">21</w:t>
            </w:r>
          </w:p>
        </w:tc>
        <w:tc>
          <w:tcPr/>
          <w:p>
            <w:pPr>
              <w:pStyle w:val="Compact"/>
              <w:jc w:val="left"/>
            </w:pPr>
            <w:r>
              <w:t xml:space="preserve">Admit the report states 38 ppm for the sample tested; after reasonable inquiry, cannot admit accuracy or chain of custody; deny that it reflects the batch as shipped</w:t>
            </w:r>
          </w:p>
        </w:tc>
        <w:tc>
          <w:tcPr/>
          <w:p>
            <w:pPr>
              <w:pStyle w:val="Compact"/>
              <w:jc w:val="left"/>
            </w:pPr>
            <w:r>
              <w:t xml:space="preserve">Answer ¶ 31</w:t>
            </w:r>
          </w:p>
        </w:tc>
      </w:tr>
      <w:tr>
        <w:tc>
          <w:tcPr/>
          <w:p>
            <w:pPr>
              <w:pStyle w:val="Compact"/>
              <w:jc w:val="left"/>
            </w:pPr>
            <w:r>
              <w:t xml:space="preserve">22, 23</w:t>
            </w:r>
          </w:p>
        </w:tc>
        <w:tc>
          <w:tcPr/>
          <w:p>
            <w:pPr>
              <w:pStyle w:val="Compact"/>
              <w:jc w:val="left"/>
            </w:pPr>
            <w:r>
              <w:t xml:space="preserve">Deny</w:t>
            </w:r>
          </w:p>
        </w:tc>
        <w:tc>
          <w:tcPr/>
          <w:p>
            <w:pPr>
              <w:pStyle w:val="Compact"/>
              <w:jc w:val="left"/>
            </w:pPr>
            <w:r>
              <w:t xml:space="preserve">Consistent with Seventh Affirmative Defense; admitting the $5M cap is not an admission of $5M in damages</w:t>
            </w:r>
          </w:p>
        </w:tc>
      </w:tr>
      <w:tr>
        <w:tc>
          <w:tcPr/>
          <w:p>
            <w:pPr>
              <w:pStyle w:val="Compact"/>
              <w:jc w:val="left"/>
            </w:pPr>
            <w:r>
              <w:t xml:space="preserve">24</w:t>
            </w:r>
          </w:p>
        </w:tc>
        <w:tc>
          <w:tcPr/>
          <w:p>
            <w:pPr>
              <w:pStyle w:val="Compact"/>
              <w:jc w:val="left"/>
            </w:pPr>
            <w:r>
              <w:t xml:space="preserve">Admit</w:t>
            </w:r>
          </w:p>
        </w:tc>
        <w:tc>
          <w:tcPr/>
          <w:p>
            <w:pPr>
              <w:pStyle w:val="Compact"/>
              <w:jc w:val="left"/>
            </w:pPr>
            <w:r>
              <w:t xml:space="preserve">Rule 26(a)(1)(A)(iv) disclosure already made; confirm carriers and limits</w:t>
            </w:r>
          </w:p>
        </w:tc>
      </w:tr>
      <w:tr>
        <w:tc>
          <w:tcPr/>
          <w:p>
            <w:pPr>
              <w:pStyle w:val="Compact"/>
              <w:jc w:val="left"/>
            </w:pPr>
            <w:r>
              <w:t xml:space="preserve">25</w:t>
            </w:r>
          </w:p>
        </w:tc>
        <w:tc>
          <w:tcPr/>
          <w:p>
            <w:pPr>
              <w:pStyle w:val="Compact"/>
              <w:jc w:val="left"/>
            </w:pPr>
            <w:r>
              <w:t xml:space="preserve">Admit, quoting the complete text</w:t>
            </w:r>
          </w:p>
        </w:tc>
        <w:tc>
          <w:tcPr/>
          <w:p>
            <w:pPr>
              <w:pStyle w:val="Compact"/>
              <w:jc w:val="left"/>
            </w:pPr>
            <w:r>
              <w:t xml:space="preserve">Helps us. Do not concede how the cap is measured or whether it applies per claim</w:t>
            </w:r>
          </w:p>
        </w:tc>
      </w:tr>
    </w:tbl>
    <w:bookmarkEnd w:id="33"/>
    <w:bookmarkStart w:id="34" w:name="rfps"/>
    <w:p>
      <w:pPr>
        <w:pStyle w:val="Heading2"/>
      </w:pPr>
      <w:r>
        <w:t xml:space="preserve">5.2 RFPs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RFP</w:t>
            </w:r>
          </w:p>
        </w:tc>
        <w:tc>
          <w:tcPr/>
          <w:p>
            <w:pPr>
              <w:pStyle w:val="Compact"/>
              <w:jc w:val="left"/>
            </w:pPr>
            <w:r>
              <w:t xml:space="preserve">Approach</w:t>
            </w:r>
          </w:p>
        </w:tc>
        <w:tc>
          <w:tcPr/>
          <w:p>
            <w:pPr>
              <w:pStyle w:val="Compact"/>
              <w:jc w:val="left"/>
            </w:pPr>
            <w:r>
              <w:t xml:space="preserve">Withholding?</w:t>
            </w:r>
          </w:p>
        </w:tc>
      </w:tr>
      <w:tr>
        <w:tc>
          <w:tcPr/>
          <w:p>
            <w:pPr>
              <w:pStyle w:val="Compact"/>
              <w:jc w:val="left"/>
            </w:pPr>
            <w:r>
              <w:t xml:space="preserve">1, 2, 3</w:t>
            </w:r>
          </w:p>
        </w:tc>
        <w:tc>
          <w:tcPr/>
          <w:p>
            <w:pPr>
              <w:pStyle w:val="Compact"/>
              <w:jc w:val="left"/>
            </w:pPr>
            <w:r>
              <w:t xml:space="preserve">Produce in full (MSA-term COAs show a history of conforming shipments, which helps us)</w:t>
            </w:r>
          </w:p>
        </w:tc>
        <w:tc>
          <w:tcPr/>
          <w:p>
            <w:pPr>
              <w:pStyle w:val="Compact"/>
              <w:jc w:val="left"/>
            </w:pPr>
            <w:r>
              <w:t xml:space="preserve">Nothing withheld</w:t>
            </w:r>
          </w:p>
        </w:tc>
      </w:tr>
      <w:tr>
        <w:tc>
          <w:tcPr/>
          <w:p>
            <w:pPr>
              <w:pStyle w:val="Compact"/>
              <w:jc w:val="left"/>
            </w:pPr>
            <w:r>
              <w:t xml:space="preserve">4</w:t>
            </w:r>
          </w:p>
        </w:tc>
        <w:tc>
          <w:tcPr/>
          <w:p>
            <w:pPr>
              <w:pStyle w:val="Compact"/>
              <w:jc w:val="left"/>
            </w:pPr>
            <w:r>
              <w:t xml:space="preserve">Narrow to SOPs, quality manual, GMP, and audits applicable to SB-102/PS-302, Jan. 1, 2020 to present (not 2018)</w:t>
            </w:r>
          </w:p>
        </w:tc>
        <w:tc>
          <w:tcPr/>
          <w:p>
            <w:pPr>
              <w:pStyle w:val="Compact"/>
              <w:jc w:val="left"/>
            </w:pPr>
            <w:r>
              <w:t xml:space="preserve">Withholding pre-2020 and unrelated product lines</w:t>
            </w:r>
          </w:p>
        </w:tc>
      </w:tr>
      <w:tr>
        <w:tc>
          <w:tcPr/>
          <w:p>
            <w:pPr>
              <w:pStyle w:val="Compact"/>
              <w:jc w:val="left"/>
            </w:pPr>
            <w:r>
              <w:t xml:space="preserve">5, 6</w:t>
            </w:r>
          </w:p>
        </w:tc>
        <w:tc>
          <w:tcPr/>
          <w:p>
            <w:pPr>
              <w:pStyle w:val="Compact"/>
              <w:jc w:val="left"/>
            </w:pPr>
            <w:r>
              <w:t xml:space="preserve">Produce complete batch records</w:t>
            </w:r>
          </w:p>
        </w:tc>
        <w:tc>
          <w:tcPr/>
          <w:p>
            <w:pPr>
              <w:pStyle w:val="Compact"/>
              <w:jc w:val="left"/>
            </w:pPr>
            <w:r>
              <w:t xml:space="preserve">Nothing withheld</w:t>
            </w:r>
          </w:p>
        </w:tc>
      </w:tr>
      <w:tr>
        <w:tc>
          <w:tcPr/>
          <w:p>
            <w:pPr>
              <w:pStyle w:val="Compact"/>
              <w:jc w:val="left"/>
            </w:pPr>
            <w:r>
              <w:t xml:space="preserve">7</w:t>
            </w:r>
          </w:p>
        </w:tc>
        <w:tc>
          <w:tcPr/>
          <w:p>
            <w:pPr>
              <w:pStyle w:val="Compact"/>
              <w:jc w:val="left"/>
            </w:pPr>
            <w:r>
              <w:t xml:space="preserve">Produce the current policy and 2024–25 revisions</w:t>
            </w:r>
          </w:p>
        </w:tc>
        <w:tc>
          <w:tcPr/>
          <w:p>
            <w:pPr>
              <w:pStyle w:val="Compact"/>
              <w:jc w:val="left"/>
            </w:pPr>
            <w:r>
              <w:t xml:space="preserve">Nothing withheld;</w:t>
            </w:r>
            <w:r>
              <w:t xml:space="preserve"> </w:t>
            </w:r>
            <w:r>
              <w:rPr>
                <w:b/>
                <w:bCs/>
              </w:rPr>
              <w:t xml:space="preserve">first check what changed in 2024</w:t>
            </w:r>
          </w:p>
        </w:tc>
      </w:tr>
      <w:tr>
        <w:tc>
          <w:tcPr/>
          <w:p>
            <w:pPr>
              <w:pStyle w:val="Compact"/>
              <w:jc w:val="left"/>
            </w:pPr>
            <w:r>
              <w:t xml:space="preserve">8, 9, 19</w:t>
            </w:r>
          </w:p>
        </w:tc>
        <w:tc>
          <w:tcPr/>
          <w:p>
            <w:pPr>
              <w:pStyle w:val="Compact"/>
              <w:jc w:val="left"/>
            </w:pPr>
            <w:r>
              <w:t xml:space="preserve">Produce after custodian and search-term negotiation; privilege log</w:t>
            </w:r>
          </w:p>
        </w:tc>
        <w:tc>
          <w:tcPr/>
          <w:p>
            <w:pPr>
              <w:pStyle w:val="Compact"/>
              <w:jc w:val="left"/>
            </w:pPr>
            <w:r>
              <w:t xml:space="preserve">Withholding only privileged material (the Ferris email</w:t>
            </w:r>
            <w:r>
              <w:t xml:space="preserve"> </w:t>
            </w:r>
            <w:r>
              <w:rPr>
                <w:b/>
                <w:bCs/>
              </w:rPr>
              <w:t xml:space="preserve">will</w:t>
            </w:r>
            <w:r>
              <w:t xml:space="preserve"> </w:t>
            </w:r>
            <w:r>
              <w:t xml:space="preserve">be produced)</w:t>
            </w:r>
          </w:p>
        </w:tc>
      </w:tr>
      <w:tr>
        <w:tc>
          <w:tcPr/>
          <w:p>
            <w:pPr>
              <w:pStyle w:val="Compact"/>
              <w:jc w:val="left"/>
            </w:pPr>
            <w:r>
              <w:t xml:space="preserve">10</w:t>
            </w:r>
          </w:p>
        </w:tc>
        <w:tc>
          <w:tcPr/>
          <w:p>
            <w:pPr>
              <w:pStyle w:val="Compact"/>
              <w:jc w:val="left"/>
            </w:pPr>
            <w:r>
              <w:t xml:space="preserve">Produce all Line 3 CARs, deviations, and NCRs for 2024; redact other customers’ identities</w:t>
            </w:r>
          </w:p>
        </w:tc>
        <w:tc>
          <w:tcPr/>
          <w:p>
            <w:pPr>
              <w:pStyle w:val="Compact"/>
              <w:jc w:val="left"/>
            </w:pPr>
            <w:r>
              <w:t xml:space="preserve">Nothing withheld except redactions</w:t>
            </w:r>
          </w:p>
        </w:tc>
      </w:tr>
      <w:tr>
        <w:tc>
          <w:tcPr/>
          <w:p>
            <w:pPr>
              <w:pStyle w:val="Compact"/>
              <w:jc w:val="left"/>
            </w:pPr>
            <w:r>
              <w:t xml:space="preserve">11</w:t>
            </w:r>
          </w:p>
        </w:tc>
        <w:tc>
          <w:tcPr/>
          <w:p>
            <w:pPr>
              <w:pStyle w:val="Compact"/>
              <w:jc w:val="left"/>
            </w:pPr>
            <w:r>
              <w:t xml:space="preserve">Produce what we possess, plus Oakvale data within our contractual control</w:t>
            </w:r>
          </w:p>
        </w:tc>
        <w:tc>
          <w:tcPr/>
          <w:p>
            <w:pPr>
              <w:pStyle w:val="Compact"/>
              <w:jc w:val="left"/>
            </w:pPr>
            <w:r>
              <w:t xml:space="preserve">Nothing withheld</w:t>
            </w:r>
          </w:p>
        </w:tc>
      </w:tr>
      <w:tr>
        <w:tc>
          <w:tcPr/>
          <w:p>
            <w:pPr>
              <w:pStyle w:val="Compact"/>
              <w:jc w:val="left"/>
            </w:pPr>
            <w:r>
              <w:t xml:space="preserve">12</w:t>
            </w:r>
          </w:p>
        </w:tc>
        <w:tc>
          <w:tcPr/>
          <w:p>
            <w:pPr>
              <w:pStyle w:val="Compact"/>
              <w:jc w:val="left"/>
            </w:pPr>
            <w:r>
              <w:t xml:space="preserve">Narrow to SB-100–108 and PS-300–305, Jan. 1, 2022 to present</w:t>
            </w:r>
          </w:p>
        </w:tc>
        <w:tc>
          <w:tcPr/>
          <w:p>
            <w:pPr>
              <w:pStyle w:val="Compact"/>
              <w:jc w:val="left"/>
            </w:pPr>
            <w:r>
              <w:t xml:space="preserve">Withholding the 10-year, all-products scope</w:t>
            </w:r>
          </w:p>
        </w:tc>
      </w:tr>
      <w:tr>
        <w:tc>
          <w:tcPr/>
          <w:p>
            <w:pPr>
              <w:pStyle w:val="Compact"/>
              <w:jc w:val="left"/>
            </w:pPr>
            <w:r>
              <w:t xml:space="preserve">13</w:t>
            </w:r>
          </w:p>
        </w:tc>
        <w:tc>
          <w:tcPr/>
          <w:p>
            <w:pPr>
              <w:pStyle w:val="Compact"/>
              <w:jc w:val="left"/>
            </w:pPr>
            <w:r>
              <w:t xml:space="preserve">Produce SB-102 1,4-dioxane data from 2023 to present, plus OOS reports for any SB code made on Line 3</w:t>
            </w:r>
          </w:p>
        </w:tc>
        <w:tc>
          <w:tcPr/>
          <w:p>
            <w:pPr>
              <w:pStyle w:val="Compact"/>
              <w:jc w:val="left"/>
            </w:pPr>
            <w:r>
              <w:t xml:space="preserve">Withholding routine data for other SB codes not made on Line 3</w:t>
            </w:r>
          </w:p>
        </w:tc>
      </w:tr>
      <w:tr>
        <w:tc>
          <w:tcPr/>
          <w:p>
            <w:pPr>
              <w:pStyle w:val="Compact"/>
              <w:jc w:val="left"/>
            </w:pPr>
            <w:r>
              <w:t xml:space="preserve">14</w:t>
            </w:r>
          </w:p>
        </w:tc>
        <w:tc>
          <w:tcPr/>
          <w:p>
            <w:pPr>
              <w:pStyle w:val="Compact"/>
              <w:jc w:val="left"/>
            </w:pPr>
            <w:r>
              <w:t xml:space="preserve">Produce EM for the PS-302 suite plus Line 3 areas, Jan.–Dec. 2024; SOPs</w:t>
            </w:r>
          </w:p>
        </w:tc>
        <w:tc>
          <w:tcPr/>
          <w:p>
            <w:pPr>
              <w:pStyle w:val="Compact"/>
              <w:jc w:val="left"/>
            </w:pPr>
            <w:r>
              <w:t xml:space="preserve">Withholding other rooms</w:t>
            </w:r>
          </w:p>
        </w:tc>
      </w:tr>
      <w:tr>
        <w:tc>
          <w:tcPr/>
          <w:p>
            <w:pPr>
              <w:pStyle w:val="Compact"/>
              <w:jc w:val="left"/>
            </w:pPr>
            <w:r>
              <w:t xml:space="preserve">15</w:t>
            </w:r>
          </w:p>
        </w:tc>
        <w:tc>
          <w:tcPr/>
          <w:p>
            <w:pPr>
              <w:pStyle w:val="Compact"/>
              <w:jc w:val="left"/>
            </w:pPr>
            <w:r>
              <w:t xml:space="preserve">Native ERP exports (.xlsx/.csv) for the two lots and 2024 PS/SB lot genealogy</w:t>
            </w:r>
          </w:p>
        </w:tc>
        <w:tc>
          <w:tcPr/>
          <w:p>
            <w:pPr>
              <w:pStyle w:val="Compact"/>
              <w:jc w:val="left"/>
            </w:pPr>
            <w:r>
              <w:t xml:space="preserve">Not producing a live database image</w:t>
            </w:r>
          </w:p>
        </w:tc>
      </w:tr>
      <w:tr>
        <w:tc>
          <w:tcPr/>
          <w:p>
            <w:pPr>
              <w:pStyle w:val="Compact"/>
              <w:jc w:val="left"/>
            </w:pPr>
            <w:r>
              <w:t xml:space="preserve">16, 20, 21</w:t>
            </w:r>
          </w:p>
        </w:tc>
        <w:tc>
          <w:tcPr/>
          <w:p>
            <w:pPr>
              <w:pStyle w:val="Compact"/>
              <w:jc w:val="left"/>
            </w:pPr>
            <w:r>
              <w:t xml:space="preserve">Produce in full; log only material prepared at counsel’s direction</w:t>
            </w:r>
          </w:p>
        </w:tc>
        <w:tc>
          <w:tcPr/>
          <w:p>
            <w:pPr>
              <w:pStyle w:val="Compact"/>
              <w:jc w:val="left"/>
            </w:pPr>
            <w:r>
              <w:t xml:space="preserve">Limited privilege withholding</w:t>
            </w:r>
          </w:p>
        </w:tc>
      </w:tr>
      <w:tr>
        <w:tc>
          <w:tcPr/>
          <w:p>
            <w:pPr>
              <w:pStyle w:val="Compact"/>
              <w:jc w:val="left"/>
            </w:pPr>
            <w:r>
              <w:t xml:space="preserve">17, 29</w:t>
            </w:r>
          </w:p>
        </w:tc>
        <w:tc>
          <w:tcPr/>
          <w:p>
            <w:pPr>
              <w:pStyle w:val="Compact"/>
              <w:jc w:val="left"/>
            </w:pPr>
            <w:r>
              <w:t xml:space="preserve">Produce, with other customers designated AEO</w:t>
            </w:r>
          </w:p>
        </w:tc>
        <w:tc>
          <w:tcPr/>
          <w:p>
            <w:pPr>
              <w:pStyle w:val="Compact"/>
              <w:jc w:val="left"/>
            </w:pPr>
            <w:r>
              <w:t xml:space="preserve">Nothing withheld</w:t>
            </w:r>
          </w:p>
        </w:tc>
      </w:tr>
      <w:tr>
        <w:tc>
          <w:tcPr/>
          <w:p>
            <w:pPr>
              <w:pStyle w:val="Compact"/>
              <w:jc w:val="left"/>
            </w:pPr>
            <w:r>
              <w:t xml:space="preserve">18</w:t>
            </w:r>
          </w:p>
        </w:tc>
        <w:tc>
          <w:tcPr/>
          <w:p>
            <w:pPr>
              <w:pStyle w:val="Compact"/>
              <w:jc w:val="left"/>
            </w:pPr>
            <w:r>
              <w:t xml:space="preserve">Produce the Jan. 6 notice and Jan. 27 response; withhold mediation communications</w:t>
            </w:r>
          </w:p>
        </w:tc>
        <w:tc>
          <w:tcPr/>
          <w:p>
            <w:pPr>
              <w:pStyle w:val="Compact"/>
              <w:jc w:val="left"/>
            </w:pPr>
            <w:r>
              <w:t xml:space="preserve">Withholding mediation materials (C.R.S. § 13-22-307; FRE 408)</w:t>
            </w:r>
          </w:p>
        </w:tc>
      </w:tr>
      <w:tr>
        <w:tc>
          <w:tcPr/>
          <w:p>
            <w:pPr>
              <w:pStyle w:val="Compact"/>
              <w:jc w:val="left"/>
            </w:pPr>
            <w:r>
              <w:t xml:space="preserve">22</w:t>
            </w:r>
          </w:p>
        </w:tc>
        <w:tc>
          <w:tcPr/>
          <w:p>
            <w:pPr>
              <w:pStyle w:val="Compact"/>
              <w:jc w:val="left"/>
            </w:pPr>
            <w:r>
              <w:t xml:space="preserve">Disclose hold dates and the custodian list; withhold the hold notices themselves</w:t>
            </w:r>
          </w:p>
        </w:tc>
        <w:tc>
          <w:tcPr/>
          <w:p>
            <w:pPr>
              <w:pStyle w:val="Compact"/>
              <w:jc w:val="left"/>
            </w:pPr>
            <w:r>
              <w:t xml:space="preserve">Withholding hold notices (privilege/work product)</w:t>
            </w:r>
          </w:p>
        </w:tc>
      </w:tr>
      <w:tr>
        <w:tc>
          <w:tcPr/>
          <w:p>
            <w:pPr>
              <w:pStyle w:val="Compact"/>
              <w:jc w:val="left"/>
            </w:pPr>
            <w:r>
              <w:t xml:space="preserve">23</w:t>
            </w:r>
          </w:p>
        </w:tc>
        <w:tc>
          <w:tcPr/>
          <w:p>
            <w:pPr>
              <w:pStyle w:val="Compact"/>
              <w:jc w:val="left"/>
            </w:pPr>
            <w:r>
              <w:t xml:space="preserve">Produce invoices, AR, and revenue data, native</w:t>
            </w:r>
          </w:p>
        </w:tc>
        <w:tc>
          <w:tcPr/>
          <w:p>
            <w:pPr>
              <w:pStyle w:val="Compact"/>
              <w:jc w:val="left"/>
            </w:pPr>
            <w:r>
              <w:t xml:space="preserve">Nothing withheld</w:t>
            </w:r>
          </w:p>
        </w:tc>
      </w:tr>
      <w:tr>
        <w:tc>
          <w:tcPr/>
          <w:p>
            <w:pPr>
              <w:pStyle w:val="Compact"/>
              <w:jc w:val="left"/>
            </w:pPr>
            <w:r>
              <w:t xml:space="preserve">24</w:t>
            </w:r>
          </w:p>
        </w:tc>
        <w:tc>
          <w:tcPr/>
          <w:p>
            <w:pPr>
              <w:pStyle w:val="Compact"/>
              <w:jc w:val="left"/>
            </w:pPr>
            <w:r>
              <w:t xml:space="preserve">Produce the policies and declarations pages; withhold coverage correspondence</w:t>
            </w:r>
          </w:p>
        </w:tc>
        <w:tc>
          <w:tcPr/>
          <w:p>
            <w:pPr>
              <w:pStyle w:val="Compact"/>
              <w:jc w:val="left"/>
            </w:pPr>
            <w:r>
              <w:t xml:space="preserve">Withholding insurer correspondence</w:t>
            </w:r>
          </w:p>
        </w:tc>
      </w:tr>
      <w:tr>
        <w:tc>
          <w:tcPr/>
          <w:p>
            <w:pPr>
              <w:pStyle w:val="Compact"/>
              <w:jc w:val="left"/>
            </w:pPr>
            <w:r>
              <w:t xml:space="preserve">25</w:t>
            </w:r>
          </w:p>
        </w:tc>
        <w:tc>
          <w:tcPr/>
          <w:p>
            <w:pPr>
              <w:pStyle w:val="Compact"/>
              <w:jc w:val="left"/>
            </w:pPr>
            <w:r>
              <w:t xml:space="preserve">Narrow to 2023–2024 certifications for the two product codes</w:t>
            </w:r>
          </w:p>
        </w:tc>
        <w:tc>
          <w:tcPr/>
          <w:p>
            <w:pPr>
              <w:pStyle w:val="Compact"/>
              <w:jc w:val="left"/>
            </w:pPr>
            <w:r>
              <w:t xml:space="preserve">Withholding the rest</w:t>
            </w:r>
          </w:p>
        </w:tc>
      </w:tr>
      <w:tr>
        <w:tc>
          <w:tcPr/>
          <w:p>
            <w:pPr>
              <w:pStyle w:val="Compact"/>
              <w:jc w:val="left"/>
            </w:pPr>
            <w:r>
              <w:t xml:space="preserve">26</w:t>
            </w:r>
          </w:p>
        </w:tc>
        <w:tc>
          <w:tcPr/>
          <w:p>
            <w:pPr>
              <w:pStyle w:val="Compact"/>
              <w:jc w:val="left"/>
            </w:pPr>
            <w:r>
              <w:t xml:space="preserve">Withhold entirely; Category B log; propose no logging after March 3, 2025</w:t>
            </w:r>
          </w:p>
        </w:tc>
        <w:tc>
          <w:tcPr/>
          <w:p>
            <w:pPr>
              <w:pStyle w:val="Compact"/>
              <w:jc w:val="left"/>
            </w:pPr>
            <w:r>
              <w:t xml:space="preserve">Withholding all</w:t>
            </w:r>
          </w:p>
        </w:tc>
      </w:tr>
      <w:tr>
        <w:tc>
          <w:tcPr/>
          <w:p>
            <w:pPr>
              <w:pStyle w:val="Compact"/>
              <w:jc w:val="left"/>
            </w:pPr>
            <w:r>
              <w:t xml:space="preserve">27</w:t>
            </w:r>
          </w:p>
        </w:tc>
        <w:tc>
          <w:tcPr/>
          <w:p>
            <w:pPr>
              <w:pStyle w:val="Compact"/>
              <w:jc w:val="left"/>
            </w:pPr>
            <w:r>
              <w:t xml:space="preserve">Narrow to personnel who handled the two lots, 2023–2024</w:t>
            </w:r>
          </w:p>
        </w:tc>
        <w:tc>
          <w:tcPr/>
          <w:p>
            <w:pPr>
              <w:pStyle w:val="Compact"/>
              <w:jc w:val="left"/>
            </w:pPr>
            <w:r>
              <w:t xml:space="preserve">Withholding the rest</w:t>
            </w:r>
          </w:p>
        </w:tc>
      </w:tr>
      <w:tr>
        <w:tc>
          <w:tcPr/>
          <w:p>
            <w:pPr>
              <w:pStyle w:val="Compact"/>
              <w:jc w:val="left"/>
            </w:pPr>
            <w:r>
              <w:t xml:space="preserve">28</w:t>
            </w:r>
          </w:p>
        </w:tc>
        <w:tc>
          <w:tcPr/>
          <w:p>
            <w:pPr>
              <w:pStyle w:val="Compact"/>
              <w:jc w:val="left"/>
            </w:pPr>
            <w:r>
              <w:t xml:space="preserve">Produce</w:t>
            </w:r>
          </w:p>
        </w:tc>
        <w:tc>
          <w:tcPr/>
          <w:p>
            <w:pPr>
              <w:pStyle w:val="Compact"/>
              <w:jc w:val="left"/>
            </w:pPr>
            <w:r>
              <w:t xml:space="preserve">Nothing withheld</w:t>
            </w:r>
          </w:p>
        </w:tc>
      </w:tr>
      <w:tr>
        <w:tc>
          <w:tcPr/>
          <w:p>
            <w:pPr>
              <w:pStyle w:val="Compact"/>
              <w:jc w:val="left"/>
            </w:pPr>
            <w:r>
              <w:t xml:space="preserve">30</w:t>
            </w:r>
          </w:p>
        </w:tc>
        <w:tc>
          <w:tcPr/>
          <w:p>
            <w:pPr>
              <w:pStyle w:val="Compact"/>
              <w:jc w:val="left"/>
            </w:pPr>
            <w:r>
              <w:t xml:space="preserve">Object to lack of reasonable particularity (Rule 34(b)(1)(A)); will produce documents we intend to rely on for our defenses</w:t>
            </w:r>
          </w:p>
        </w:tc>
        <w:tc>
          <w:tcPr/>
          <w:p>
            <w:pPr>
              <w:pStyle w:val="Compact"/>
              <w:jc w:val="left"/>
            </w:pPr>
            <w:r>
              <w:t xml:space="preserve">Withholding nothing we rely on</w:t>
            </w:r>
          </w:p>
        </w:tc>
      </w:tr>
    </w:tbl>
    <w:bookmarkEnd w:id="34"/>
    <w:bookmarkEnd w:id="35"/>
    <w:bookmarkStart w:id="36" w:name="preservation-and-collection-urgent"/>
    <w:p>
      <w:pPr>
        <w:pStyle w:val="Heading1"/>
      </w:pPr>
      <w:r>
        <w:t xml:space="preserve">6. Preservation and Collection (Urgent)</w:t>
      </w:r>
    </w:p>
    <w:p>
      <w:pPr>
        <w:pStyle w:val="FirstParagraph"/>
      </w:pPr>
      <w:r>
        <w:t xml:space="preserve">RFPs 7 and 22 ask about retention policies revised</w:t>
      </w:r>
      <w:r>
        <w:t xml:space="preserve"> </w:t>
      </w:r>
      <w:r>
        <w:rPr>
          <w:b/>
          <w:bCs/>
        </w:rPr>
        <w:t xml:space="preserve">since January 1, 2024</w:t>
      </w:r>
      <w:r>
        <w:t xml:space="preserve"> </w:t>
      </w:r>
      <w:r>
        <w:t xml:space="preserve">and about the timing of the litigation hold. That points to a planned Rule 37(e) spoliation inquiry.</w:t>
      </w:r>
    </w:p>
    <w:p>
      <w:pPr>
        <w:pStyle w:val="Compact"/>
        <w:numPr>
          <w:ilvl w:val="0"/>
          <w:numId w:val="1010"/>
        </w:numPr>
      </w:pPr>
      <w:r>
        <w:rPr>
          <w:b/>
          <w:bCs/>
        </w:rPr>
        <w:t xml:space="preserve">When the duty arose.</w:t>
      </w:r>
      <w:r>
        <w:t xml:space="preserve"> </w:t>
      </w:r>
      <w:r>
        <w:t xml:space="preserve">Prismavale reasonably anticipated litigation by about</w:t>
      </w:r>
      <w:r>
        <w:t xml:space="preserve"> </w:t>
      </w:r>
      <w:r>
        <w:rPr>
          <w:b/>
          <w:bCs/>
        </w:rPr>
        <w:t xml:space="preserve">April 22, 2024</w:t>
      </w:r>
      <w:r>
        <w:t xml:space="preserve">, when it received notice of contamination, a recall was imminent, and Ferris’s email three days later discussed root cause. At the latest, the duty arose with the</w:t>
      </w:r>
      <w:r>
        <w:t xml:space="preserve"> </w:t>
      </w:r>
      <w:r>
        <w:rPr>
          <w:b/>
          <w:bCs/>
        </w:rPr>
        <w:t xml:space="preserve">January 6, 2025</w:t>
      </w:r>
      <w:r>
        <w:t xml:space="preserve"> </w:t>
      </w:r>
      <w:r>
        <w:t xml:space="preserve">dispute notice. Find out when a hold actually issued and to whom.</w:t>
      </w:r>
    </w:p>
    <w:p>
      <w:pPr>
        <w:pStyle w:val="Compact"/>
        <w:numPr>
          <w:ilvl w:val="0"/>
          <w:numId w:val="1010"/>
        </w:numPr>
      </w:pPr>
      <w:r>
        <w:rPr>
          <w:b/>
          <w:bCs/>
        </w:rPr>
        <w:t xml:space="preserve">Custodians to collect:</w:t>
      </w:r>
    </w:p>
    <w:p>
      <w:pPr>
        <w:pStyle w:val="Compact"/>
        <w:numPr>
          <w:ilvl w:val="1"/>
          <w:numId w:val="1011"/>
        </w:numPr>
      </w:pPr>
      <w:r>
        <w:t xml:space="preserve">Breckenridge, Ortiz, Ferris, and Wardell</w:t>
      </w:r>
    </w:p>
    <w:p>
      <w:pPr>
        <w:pStyle w:val="Compact"/>
        <w:numPr>
          <w:ilvl w:val="1"/>
          <w:numId w:val="1011"/>
        </w:numPr>
      </w:pPr>
      <w:r>
        <w:t xml:space="preserve">The QA lab analysts who signed the two COAs</w:t>
      </w:r>
    </w:p>
    <w:p>
      <w:pPr>
        <w:pStyle w:val="Compact"/>
        <w:numPr>
          <w:ilvl w:val="1"/>
          <w:numId w:val="1011"/>
        </w:numPr>
      </w:pPr>
      <w:r>
        <w:t xml:space="preserve">The Line 3 production supervisor and cleaning validation staff</w:t>
      </w:r>
    </w:p>
    <w:p>
      <w:pPr>
        <w:pStyle w:val="Compact"/>
        <w:numPr>
          <w:ilvl w:val="1"/>
          <w:numId w:val="1011"/>
        </w:numPr>
      </w:pPr>
      <w:r>
        <w:t xml:space="preserve">EM/micro lab staff</w:t>
      </w:r>
    </w:p>
    <w:p>
      <w:pPr>
        <w:pStyle w:val="Compact"/>
        <w:numPr>
          <w:ilvl w:val="1"/>
          <w:numId w:val="1011"/>
        </w:numPr>
      </w:pPr>
      <w:r>
        <w:t xml:space="preserve">The logistics/shipping lead</w:t>
      </w:r>
    </w:p>
    <w:p>
      <w:pPr>
        <w:pStyle w:val="Compact"/>
        <w:numPr>
          <w:ilvl w:val="1"/>
          <w:numId w:val="1011"/>
        </w:numPr>
      </w:pPr>
      <w:r>
        <w:t xml:space="preserve">The customer service or complaint handler</w:t>
      </w:r>
    </w:p>
    <w:p>
      <w:pPr>
        <w:pStyle w:val="Compact"/>
        <w:numPr>
          <w:ilvl w:val="1"/>
          <w:numId w:val="1011"/>
        </w:numPr>
      </w:pPr>
      <w:r>
        <w:t xml:space="preserve">Any in-house counsel</w:t>
      </w:r>
    </w:p>
    <w:p>
      <w:pPr>
        <w:pStyle w:val="Compact"/>
        <w:numPr>
          <w:ilvl w:val="0"/>
          <w:numId w:val="1010"/>
        </w:numPr>
      </w:pPr>
      <w:r>
        <w:rPr>
          <w:b/>
          <w:bCs/>
        </w:rPr>
        <w:t xml:space="preserve">Data sources:</w:t>
      </w:r>
    </w:p>
    <w:p>
      <w:pPr>
        <w:pStyle w:val="Compact"/>
        <w:numPr>
          <w:ilvl w:val="1"/>
          <w:numId w:val="1012"/>
        </w:numPr>
      </w:pPr>
      <w:r>
        <w:t xml:space="preserve">Email; Teams/Slack;</w:t>
      </w:r>
      <w:r>
        <w:t xml:space="preserve"> </w:t>
      </w:r>
      <w:r>
        <w:rPr>
          <w:b/>
          <w:bCs/>
        </w:rPr>
        <w:t xml:space="preserve">mobile text messages</w:t>
      </w:r>
      <w:r>
        <w:t xml:space="preserve"> </w:t>
      </w:r>
      <w:r>
        <w:t xml:space="preserve">(Greenleaf defines documents to include texts)</w:t>
      </w:r>
    </w:p>
    <w:p>
      <w:pPr>
        <w:pStyle w:val="Compact"/>
        <w:numPr>
          <w:ilvl w:val="1"/>
          <w:numId w:val="1012"/>
        </w:numPr>
      </w:pPr>
      <w:r>
        <w:t xml:space="preserve">SAP/ERP and the QMS/CAPA system</w:t>
      </w:r>
    </w:p>
    <w:p>
      <w:pPr>
        <w:pStyle w:val="Compact"/>
        <w:numPr>
          <w:ilvl w:val="1"/>
          <w:numId w:val="1012"/>
        </w:numPr>
      </w:pPr>
      <w:r>
        <w:t xml:space="preserve">LIMS and chromatography raw data (GC-MS files and audit trails)</w:t>
      </w:r>
    </w:p>
    <w:p>
      <w:pPr>
        <w:pStyle w:val="Compact"/>
        <w:numPr>
          <w:ilvl w:val="1"/>
          <w:numId w:val="1012"/>
        </w:numPr>
      </w:pPr>
      <w:r>
        <w:t xml:space="preserve">EM system data</w:t>
      </w:r>
    </w:p>
    <w:p>
      <w:pPr>
        <w:pStyle w:val="Compact"/>
        <w:numPr>
          <w:ilvl w:val="1"/>
          <w:numId w:val="1012"/>
        </w:numPr>
      </w:pPr>
      <w:r>
        <w:t xml:space="preserve">Temperature-logger data</w:t>
      </w:r>
    </w:p>
    <w:p>
      <w:pPr>
        <w:pStyle w:val="Compact"/>
        <w:numPr>
          <w:ilvl w:val="1"/>
          <w:numId w:val="1012"/>
        </w:numPr>
      </w:pPr>
      <w:r>
        <w:t xml:space="preserve">Retained physical samples, which</w:t>
      </w:r>
      <w:r>
        <w:t xml:space="preserve"> </w:t>
      </w:r>
      <w:r>
        <w:rPr>
          <w:b/>
          <w:bCs/>
        </w:rPr>
        <w:t xml:space="preserve">must not be destroyed or used up</w:t>
      </w:r>
    </w:p>
    <w:p>
      <w:pPr>
        <w:pStyle w:val="Compact"/>
        <w:numPr>
          <w:ilvl w:val="0"/>
          <w:numId w:val="1010"/>
        </w:numPr>
      </w:pPr>
      <w:r>
        <w:t xml:space="preserve">If any auto-delete settings, device replacements, or policy changes in 2024 affected these sources, we need to know</w:t>
      </w:r>
      <w:r>
        <w:t xml:space="preserve"> </w:t>
      </w:r>
      <w:r>
        <w:rPr>
          <w:b/>
          <w:bCs/>
        </w:rPr>
        <w:t xml:space="preserve">before</w:t>
      </w:r>
      <w:r>
        <w:t xml:space="preserve"> </w:t>
      </w:r>
      <w:r>
        <w:t xml:space="preserve">June 9, so we can respond to RFPs 7 and 22 accurately and deal with it ourselves.</w:t>
      </w:r>
    </w:p>
    <w:bookmarkEnd w:id="36"/>
    <w:bookmarkStart w:id="37" w:name="Xa3aea3a985f71ae5c11efe0653f151e865b01c6"/>
    <w:p>
      <w:pPr>
        <w:pStyle w:val="Heading1"/>
      </w:pPr>
      <w:r>
        <w:t xml:space="preserve">7. Our Affirmative Discovery (Serve by June 20, 2025)</w:t>
      </w:r>
    </w:p>
    <w:p>
      <w:pPr>
        <w:pStyle w:val="Compact"/>
        <w:numPr>
          <w:ilvl w:val="0"/>
          <w:numId w:val="1013"/>
        </w:numPr>
      </w:pPr>
      <w:r>
        <w:rPr>
          <w:b/>
          <w:bCs/>
        </w:rPr>
        <w:t xml:space="preserve">RFPs to Greenleaf:</w:t>
      </w:r>
    </w:p>
    <w:p>
      <w:pPr>
        <w:pStyle w:val="Compact"/>
        <w:numPr>
          <w:ilvl w:val="1"/>
          <w:numId w:val="1014"/>
        </w:numPr>
      </w:pPr>
      <w:r>
        <w:t xml:space="preserve">Receiving, storage, and warehouse temperature records for both lots</w:t>
      </w:r>
    </w:p>
    <w:p>
      <w:pPr>
        <w:pStyle w:val="Compact"/>
        <w:numPr>
          <w:ilvl w:val="1"/>
          <w:numId w:val="1014"/>
        </w:numPr>
      </w:pPr>
      <w:r>
        <w:t xml:space="preserve">Incoming QC SOPs and records</w:t>
      </w:r>
    </w:p>
    <w:p>
      <w:pPr>
        <w:pStyle w:val="Compact"/>
        <w:numPr>
          <w:ilvl w:val="1"/>
          <w:numId w:val="1014"/>
        </w:numPr>
      </w:pPr>
      <w:r>
        <w:t xml:space="preserve">Batch records for PureRoots and EarthGlow</w:t>
      </w:r>
    </w:p>
    <w:p>
      <w:pPr>
        <w:pStyle w:val="Compact"/>
        <w:numPr>
          <w:ilvl w:val="1"/>
          <w:numId w:val="1014"/>
        </w:numPr>
      </w:pPr>
      <w:r>
        <w:t xml:space="preserve">Chain of custody and the full Thornfield engagement</w:t>
      </w:r>
    </w:p>
    <w:p>
      <w:pPr>
        <w:pStyle w:val="Compact"/>
        <w:numPr>
          <w:ilvl w:val="1"/>
          <w:numId w:val="1014"/>
        </w:numPr>
      </w:pPr>
      <w:r>
        <w:t xml:space="preserve">Consumer complaint files and adverse event reports</w:t>
      </w:r>
    </w:p>
    <w:p>
      <w:pPr>
        <w:pStyle w:val="Compact"/>
        <w:numPr>
          <w:ilvl w:val="1"/>
          <w:numId w:val="1014"/>
        </w:numPr>
      </w:pPr>
      <w:r>
        <w:t xml:space="preserve">Recall records, including FDA and recall-firm communications and the invoices behind the $2.3M</w:t>
      </w:r>
    </w:p>
    <w:p>
      <w:pPr>
        <w:pStyle w:val="Compact"/>
        <w:numPr>
          <w:ilvl w:val="1"/>
          <w:numId w:val="1014"/>
        </w:numPr>
      </w:pPr>
      <w:r>
        <w:t xml:space="preserve">Retailer termination letters and the retailers’ stated reasons</w:t>
      </w:r>
    </w:p>
    <w:p>
      <w:pPr>
        <w:pStyle w:val="Compact"/>
        <w:numPr>
          <w:ilvl w:val="1"/>
          <w:numId w:val="1014"/>
        </w:numPr>
      </w:pPr>
      <w:r>
        <w:t xml:space="preserve">Damages workpapers</w:t>
      </w:r>
    </w:p>
    <w:p>
      <w:pPr>
        <w:pStyle w:val="Compact"/>
        <w:numPr>
          <w:ilvl w:val="1"/>
          <w:numId w:val="1014"/>
        </w:numPr>
      </w:pPr>
      <w:r>
        <w:t xml:space="preserve">Insurance premium history</w:t>
      </w:r>
    </w:p>
    <w:p>
      <w:pPr>
        <w:pStyle w:val="Compact"/>
        <w:numPr>
          <w:ilvl w:val="1"/>
          <w:numId w:val="1014"/>
        </w:numPr>
      </w:pPr>
      <w:r>
        <w:t xml:space="preserve">The Jan. 6 notice and drafts</w:t>
      </w:r>
    </w:p>
    <w:p>
      <w:pPr>
        <w:pStyle w:val="Compact"/>
        <w:numPr>
          <w:ilvl w:val="1"/>
          <w:numId w:val="1014"/>
        </w:numPr>
      </w:pPr>
      <w:r>
        <w:t xml:space="preserve">Greenleaf’s other suppliers of surfactants and preservatives</w:t>
      </w:r>
    </w:p>
    <w:p>
      <w:pPr>
        <w:pStyle w:val="Compact"/>
        <w:numPr>
          <w:ilvl w:val="0"/>
          <w:numId w:val="1013"/>
        </w:numPr>
      </w:pPr>
      <w:r>
        <w:rPr>
          <w:b/>
          <w:bCs/>
        </w:rPr>
        <w:t xml:space="preserve">RFAs to Greenleaf:</w:t>
      </w:r>
      <w:r>
        <w:t xml:space="preserve"> </w:t>
      </w:r>
      <w:r>
        <w:t xml:space="preserve">that the Jan. 6 notice did not mention PS-302; that the incoming QC did not include GC-MS or microbial testing; the storage conditions; that the retained samples were not sealed. We have 30 RFAs available.</w:t>
      </w:r>
    </w:p>
    <w:p>
      <w:pPr>
        <w:pStyle w:val="Compact"/>
        <w:numPr>
          <w:ilvl w:val="0"/>
          <w:numId w:val="1013"/>
        </w:numPr>
      </w:pPr>
      <w:r>
        <w:rPr>
          <w:b/>
          <w:bCs/>
        </w:rPr>
        <w:t xml:space="preserve">Rule 45 subpoenas:</w:t>
      </w:r>
      <w:r>
        <w:t xml:space="preserve"> </w:t>
      </w:r>
      <w:r>
        <w:t xml:space="preserve">Thornfield; the recall management firm; the three grocery chains and two specialty retailers (to test causation for the $8.9M lost-revenue claim); Oakvale (if it is not joined); Greenleaf’s insurer.</w:t>
      </w:r>
    </w:p>
    <w:p>
      <w:pPr>
        <w:pStyle w:val="Compact"/>
        <w:numPr>
          <w:ilvl w:val="0"/>
          <w:numId w:val="1013"/>
        </w:numPr>
      </w:pPr>
      <w:r>
        <w:rPr>
          <w:b/>
          <w:bCs/>
        </w:rPr>
        <w:t xml:space="preserve">Depositions</w:t>
      </w:r>
      <w:r>
        <w:t xml:space="preserve"> </w:t>
      </w:r>
      <w:r>
        <w:t xml:space="preserve">(after documents are in): Greenleaf’s QC manager, Hooper, Chen, and Thornfield’s analyst; a Rule 30(b)(6) deposition of Greenleaf on storage and handling.</w:t>
      </w:r>
    </w:p>
    <w:p>
      <w:pPr>
        <w:pStyle w:val="Compact"/>
        <w:numPr>
          <w:ilvl w:val="0"/>
          <w:numId w:val="1013"/>
        </w:numPr>
      </w:pPr>
      <w:r>
        <w:rPr>
          <w:b/>
          <w:bCs/>
        </w:rPr>
        <w:t xml:space="preserve">Our witnesses:</w:t>
      </w:r>
      <w:r>
        <w:t xml:space="preserve"> </w:t>
      </w:r>
      <w:r>
        <w:t xml:space="preserve">Prepare Ortiz and Ferris early. They will be Greenleaf’s first deposition targets.</w:t>
      </w:r>
    </w:p>
    <w:bookmarkEnd w:id="37"/>
    <w:bookmarkStart w:id="38" w:name="action-items"/>
    <w:p>
      <w:pPr>
        <w:pStyle w:val="Heading1"/>
      </w:pPr>
      <w:r>
        <w:t xml:space="preserve">8.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Owner</w:t>
            </w:r>
          </w:p>
        </w:tc>
        <w:tc>
          <w:tcPr/>
          <w:p>
            <w:pPr>
              <w:pStyle w:val="Compact"/>
              <w:jc w:val="left"/>
            </w:pPr>
            <w:r>
              <w:t xml:space="preserve">Due</w:t>
            </w:r>
          </w:p>
        </w:tc>
      </w:tr>
      <w:tr>
        <w:tc>
          <w:tcPr/>
          <w:p>
            <w:pPr>
              <w:pStyle w:val="Compact"/>
              <w:jc w:val="left"/>
            </w:pPr>
            <w:r>
              <w:t xml:space="preserve">1</w:t>
            </w:r>
          </w:p>
        </w:tc>
        <w:tc>
          <w:tcPr/>
          <w:p>
            <w:pPr>
              <w:pStyle w:val="Compact"/>
              <w:jc w:val="left"/>
            </w:pPr>
            <w:r>
              <w:t xml:space="preserve">Confirm the stipulation and 502(d) order status on the docket; file a joint motion if needed</w:t>
            </w:r>
          </w:p>
        </w:tc>
        <w:tc>
          <w:tcPr/>
          <w:p>
            <w:pPr>
              <w:pStyle w:val="Compact"/>
              <w:jc w:val="left"/>
            </w:pPr>
            <w:r>
              <w:t xml:space="preserve">BA</w:t>
            </w:r>
          </w:p>
        </w:tc>
        <w:tc>
          <w:tcPr/>
          <w:p>
            <w:pPr>
              <w:pStyle w:val="Compact"/>
              <w:jc w:val="left"/>
            </w:pPr>
            <w:r>
              <w:t xml:space="preserve">May 20</w:t>
            </w:r>
          </w:p>
        </w:tc>
      </w:tr>
      <w:tr>
        <w:tc>
          <w:tcPr/>
          <w:p>
            <w:pPr>
              <w:pStyle w:val="Compact"/>
              <w:jc w:val="left"/>
            </w:pPr>
            <w:r>
              <w:t xml:space="preserve">2</w:t>
            </w:r>
          </w:p>
        </w:tc>
        <w:tc>
          <w:tcPr/>
          <w:p>
            <w:pPr>
              <w:pStyle w:val="Compact"/>
              <w:jc w:val="left"/>
            </w:pPr>
            <w:r>
              <w:t xml:space="preserve">Circulate the proposed stipulated protective order</w:t>
            </w:r>
          </w:p>
        </w:tc>
        <w:tc>
          <w:tcPr/>
          <w:p>
            <w:pPr>
              <w:pStyle w:val="Compact"/>
              <w:jc w:val="left"/>
            </w:pPr>
            <w:r>
              <w:t xml:space="preserve">ET</w:t>
            </w:r>
          </w:p>
        </w:tc>
        <w:tc>
          <w:tcPr/>
          <w:p>
            <w:pPr>
              <w:pStyle w:val="Compact"/>
              <w:jc w:val="left"/>
            </w:pPr>
            <w:r>
              <w:t xml:space="preserve">May 21</w:t>
            </w:r>
          </w:p>
        </w:tc>
      </w:tr>
      <w:tr>
        <w:tc>
          <w:tcPr/>
          <w:p>
            <w:pPr>
              <w:pStyle w:val="Compact"/>
              <w:jc w:val="left"/>
            </w:pPr>
            <w:r>
              <w:t xml:space="preserve">3</w:t>
            </w:r>
          </w:p>
        </w:tc>
        <w:tc>
          <w:tcPr/>
          <w:p>
            <w:pPr>
              <w:pStyle w:val="Compact"/>
              <w:jc w:val="left"/>
            </w:pPr>
            <w:r>
              <w:t xml:space="preserve">Issue or refresh the litigation hold; confirm the preservation history (§ 6)</w:t>
            </w:r>
          </w:p>
        </w:tc>
        <w:tc>
          <w:tcPr/>
          <w:p>
            <w:pPr>
              <w:pStyle w:val="Compact"/>
              <w:jc w:val="left"/>
            </w:pPr>
            <w:r>
              <w:t xml:space="preserve">SK / client GC</w:t>
            </w:r>
          </w:p>
        </w:tc>
        <w:tc>
          <w:tcPr/>
          <w:p>
            <w:pPr>
              <w:pStyle w:val="Compact"/>
              <w:jc w:val="left"/>
            </w:pPr>
            <w:r>
              <w:t xml:space="preserve">May 20</w:t>
            </w:r>
          </w:p>
        </w:tc>
      </w:tr>
      <w:tr>
        <w:tc>
          <w:tcPr/>
          <w:p>
            <w:pPr>
              <w:pStyle w:val="Compact"/>
              <w:jc w:val="left"/>
            </w:pPr>
            <w:r>
              <w:t xml:space="preserve">4</w:t>
            </w:r>
          </w:p>
        </w:tc>
        <w:tc>
          <w:tcPr/>
          <w:p>
            <w:pPr>
              <w:pStyle w:val="Compact"/>
              <w:jc w:val="left"/>
            </w:pPr>
            <w:r>
              <w:t xml:space="preserve">Fact-verification interviews: Ortiz (CAR, EML, COAs, retains), Ferris (email), logistics (Oakvale), Wardell identity</w:t>
            </w:r>
          </w:p>
        </w:tc>
        <w:tc>
          <w:tcPr/>
          <w:p>
            <w:pPr>
              <w:pStyle w:val="Compact"/>
              <w:jc w:val="left"/>
            </w:pPr>
            <w:r>
              <w:t xml:space="preserve">SK / BA</w:t>
            </w:r>
          </w:p>
        </w:tc>
        <w:tc>
          <w:tcPr/>
          <w:p>
            <w:pPr>
              <w:pStyle w:val="Compact"/>
              <w:jc w:val="left"/>
            </w:pPr>
            <w:r>
              <w:t xml:space="preserve">May 23</w:t>
            </w:r>
          </w:p>
        </w:tc>
      </w:tr>
      <w:tr>
        <w:tc>
          <w:tcPr/>
          <w:p>
            <w:pPr>
              <w:pStyle w:val="Compact"/>
              <w:jc w:val="left"/>
            </w:pPr>
            <w:r>
              <w:t xml:space="preserve">5</w:t>
            </w:r>
          </w:p>
        </w:tc>
        <w:tc>
          <w:tcPr/>
          <w:p>
            <w:pPr>
              <w:pStyle w:val="Compact"/>
              <w:jc w:val="left"/>
            </w:pPr>
            <w:r>
              <w:t xml:space="preserve">Retain a consulting analytical chemist and microbiologist; decide on retain testing</w:t>
            </w:r>
          </w:p>
        </w:tc>
        <w:tc>
          <w:tcPr/>
          <w:p>
            <w:pPr>
              <w:pStyle w:val="Compact"/>
              <w:jc w:val="left"/>
            </w:pPr>
            <w:r>
              <w:t xml:space="preserve">SK</w:t>
            </w:r>
          </w:p>
        </w:tc>
        <w:tc>
          <w:tcPr/>
          <w:p>
            <w:pPr>
              <w:pStyle w:val="Compact"/>
              <w:jc w:val="left"/>
            </w:pPr>
            <w:r>
              <w:t xml:space="preserve">May 30</w:t>
            </w:r>
          </w:p>
        </w:tc>
      </w:tr>
      <w:tr>
        <w:tc>
          <w:tcPr/>
          <w:p>
            <w:pPr>
              <w:pStyle w:val="Compact"/>
              <w:jc w:val="left"/>
            </w:pPr>
            <w:r>
              <w:t xml:space="preserve">6</w:t>
            </w:r>
          </w:p>
        </w:tc>
        <w:tc>
          <w:tcPr/>
          <w:p>
            <w:pPr>
              <w:pStyle w:val="Compact"/>
              <w:jc w:val="left"/>
            </w:pPr>
            <w:r>
              <w:t xml:space="preserve">Finalize and serve RFA/RFP responses and the first production</w:t>
            </w:r>
          </w:p>
        </w:tc>
        <w:tc>
          <w:tcPr/>
          <w:p>
            <w:pPr>
              <w:pStyle w:val="Compact"/>
              <w:jc w:val="left"/>
            </w:pPr>
            <w:r>
              <w:t xml:space="preserve">BA / ET</w:t>
            </w:r>
          </w:p>
        </w:tc>
        <w:tc>
          <w:tcPr/>
          <w:p>
            <w:pPr>
              <w:pStyle w:val="Compact"/>
              <w:jc w:val="left"/>
            </w:pPr>
            <w:r>
              <w:rPr>
                <w:b/>
                <w:bCs/>
              </w:rPr>
              <w:t xml:space="preserve">June 9</w:t>
            </w:r>
          </w:p>
        </w:tc>
      </w:tr>
      <w:tr>
        <w:tc>
          <w:tcPr/>
          <w:p>
            <w:pPr>
              <w:pStyle w:val="Compact"/>
              <w:jc w:val="left"/>
            </w:pPr>
            <w:r>
              <w:t xml:space="preserve">7</w:t>
            </w:r>
          </w:p>
        </w:tc>
        <w:tc>
          <w:tcPr/>
          <w:p>
            <w:pPr>
              <w:pStyle w:val="Compact"/>
              <w:jc w:val="left"/>
            </w:pPr>
            <w:r>
              <w:t xml:space="preserve">Privilege log (Categories A and B) for the first production</w:t>
            </w:r>
          </w:p>
        </w:tc>
        <w:tc>
          <w:tcPr/>
          <w:p>
            <w:pPr>
              <w:pStyle w:val="Compact"/>
              <w:jc w:val="left"/>
            </w:pPr>
            <w:r>
              <w:t xml:space="preserve">ET</w:t>
            </w:r>
          </w:p>
        </w:tc>
        <w:tc>
          <w:tcPr/>
          <w:p>
            <w:pPr>
              <w:pStyle w:val="Compact"/>
              <w:jc w:val="left"/>
            </w:pPr>
            <w:r>
              <w:t xml:space="preserve">July 9</w:t>
            </w:r>
          </w:p>
        </w:tc>
      </w:tr>
      <w:tr>
        <w:tc>
          <w:tcPr/>
          <w:p>
            <w:pPr>
              <w:pStyle w:val="Compact"/>
              <w:jc w:val="left"/>
            </w:pPr>
            <w:r>
              <w:t xml:space="preserve">8</w:t>
            </w:r>
          </w:p>
        </w:tc>
        <w:tc>
          <w:tcPr/>
          <w:p>
            <w:pPr>
              <w:pStyle w:val="Compact"/>
              <w:jc w:val="left"/>
            </w:pPr>
            <w:r>
              <w:t xml:space="preserve">Motion for leave to amend the Answer (renumbered responses; economic loss rule; corrected § 12.4 statement); decide on an Oakvale third-party complaint</w:t>
            </w:r>
          </w:p>
        </w:tc>
        <w:tc>
          <w:tcPr/>
          <w:p>
            <w:pPr>
              <w:pStyle w:val="Compact"/>
              <w:jc w:val="left"/>
            </w:pPr>
            <w:r>
              <w:t xml:space="preserve">SK / BA</w:t>
            </w:r>
          </w:p>
        </w:tc>
        <w:tc>
          <w:tcPr/>
          <w:p>
            <w:pPr>
              <w:pStyle w:val="Compact"/>
              <w:jc w:val="left"/>
            </w:pPr>
            <w:r>
              <w:rPr>
                <w:b/>
                <w:bCs/>
              </w:rPr>
              <w:t xml:space="preserve">July 14</w:t>
            </w:r>
          </w:p>
        </w:tc>
      </w:tr>
      <w:tr>
        <w:tc>
          <w:tcPr/>
          <w:p>
            <w:pPr>
              <w:pStyle w:val="Compact"/>
              <w:jc w:val="left"/>
            </w:pPr>
            <w:r>
              <w:t xml:space="preserve">9</w:t>
            </w:r>
          </w:p>
        </w:tc>
        <w:tc>
          <w:tcPr/>
          <w:p>
            <w:pPr>
              <w:pStyle w:val="Compact"/>
              <w:jc w:val="left"/>
            </w:pPr>
            <w:r>
              <w:t xml:space="preserve">Serve Prismavale’s first RFAs and RFPs; Thornfield subpoena</w:t>
            </w:r>
          </w:p>
        </w:tc>
        <w:tc>
          <w:tcPr/>
          <w:p>
            <w:pPr>
              <w:pStyle w:val="Compact"/>
              <w:jc w:val="left"/>
            </w:pPr>
            <w:r>
              <w:t xml:space="preserve">BA</w:t>
            </w:r>
          </w:p>
        </w:tc>
        <w:tc>
          <w:tcPr/>
          <w:p>
            <w:pPr>
              <w:pStyle w:val="Compact"/>
              <w:jc w:val="left"/>
            </w:pPr>
            <w:r>
              <w:t xml:space="preserve">June 20</w:t>
            </w:r>
          </w:p>
        </w:tc>
      </w:tr>
      <w:tr>
        <w:tc>
          <w:tcPr/>
          <w:p>
            <w:pPr>
              <w:pStyle w:val="Compact"/>
              <w:jc w:val="left"/>
            </w:pPr>
            <w:r>
              <w:t xml:space="preserve">10</w:t>
            </w:r>
          </w:p>
        </w:tc>
        <w:tc>
          <w:tcPr/>
          <w:p>
            <w:pPr>
              <w:pStyle w:val="Compact"/>
              <w:jc w:val="left"/>
            </w:pPr>
            <w:r>
              <w:t xml:space="preserve">Numerical-limits letter to Ridgeline Carlisle (RFA count of 32; RFP count of at least 42)</w:t>
            </w:r>
          </w:p>
        </w:tc>
        <w:tc>
          <w:tcPr/>
          <w:p>
            <w:pPr>
              <w:pStyle w:val="Compact"/>
              <w:jc w:val="left"/>
            </w:pPr>
            <w:r>
              <w:t xml:space="preserve">BA</w:t>
            </w:r>
          </w:p>
        </w:tc>
        <w:tc>
          <w:tcPr/>
          <w:p>
            <w:pPr>
              <w:pStyle w:val="Compact"/>
              <w:jc w:val="left"/>
            </w:pPr>
            <w:r>
              <w:t xml:space="preserve">With the June 9 responses</w:t>
            </w:r>
          </w:p>
        </w:tc>
      </w:tr>
    </w:tbl>
    <w:p>
      <w:pPr>
        <w:pStyle w:val="BodyText"/>
      </w:pPr>
      <w:r>
        <w:rPr>
          <w:i/>
          <w:iCs/>
        </w:rPr>
        <w:t xml:space="preserve">Attachment: Draft Responses and Objections to Plaintiff’s First Set of RFAs and RFPs (separate document). Bracketed items require client confirmation before service.</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&amp; CONFIDENTIAL — ATTORNEY WORK PRODUCT</dc:title>
  <dc:creator/>
  <cp:keywords/>
  <dcterms:created xsi:type="dcterms:W3CDTF">2026-09-27T00:52:48Z</dcterms:created>
  <dcterms:modified xsi:type="dcterms:W3CDTF">2026-09-27T00:52:48Z</dcterms:modified>
</cp:coreProperties>
</file>

<file path=docProps/custom.xml><?xml version="1.0" encoding="utf-8"?>
<Properties xmlns="http://schemas.openxmlformats.org/officeDocument/2006/custom-properties" xmlns:vt="http://schemas.openxmlformats.org/officeDocument/2006/docPropsVTypes"/>
</file>