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4"/>
            <w:shd w:fill="7F1D1D"/>
            <w:tcMar>
              <w:top w:w="95" w:type="dxa"/>
              <w:start w:w="150" w:type="dxa"/>
              <w:bottom w:w="95" w:type="dxa"/>
              <w:end w:w="150" w:type="dxa"/>
            </w:tcMar>
          </w:tcPr>
          <w:p>
            <w:pPr>
              <w:spacing w:after="0"/>
              <w:jc w:val="center"/>
            </w:pPr>
            <w:r>
              <w:rPr>
                <w:rFonts w:ascii="Aptos" w:hAnsi="Aptos"/>
                <w:b/>
                <w:color w:val="FFFFFF"/>
                <w:sz w:val="18"/>
              </w:rPr>
              <w:t>ATTORNEY-CLIENT PRIVILEGED  •  ATTORNEY WORK PRODUCT  •  STRICTLY CONFIDENTIAL</w:t>
            </w:r>
          </w:p>
        </w:tc>
      </w:tr>
    </w:tbl>
    <w:p>
      <w:pPr>
        <w:spacing w:after="0"/>
      </w:pPr>
    </w:p>
    <w:p>
      <w:pPr>
        <w:spacing w:after="40"/>
      </w:pPr>
      <w:r>
        <w:rPr>
          <w:b/>
          <w:color w:val="0F6B78"/>
          <w:sz w:val="18"/>
        </w:rPr>
        <w:t>INITIAL PRESERVATION PLAN AND IMPLEMENTATION DIRECTIVES</w:t>
      </w:r>
    </w:p>
    <w:p>
      <w:pPr>
        <w:pStyle w:val="Title"/>
        <w:keepNext/>
      </w:pPr>
      <w:r>
        <w:t>PRESERVATION ACTION MEMORANDUM</w:t>
      </w:r>
    </w:p>
    <w:p>
      <w:pPr>
        <w:spacing w:after="180"/>
      </w:pPr>
      <w:r>
        <w:rPr>
          <w:rFonts w:ascii="Aptos" w:hAnsi="Aptos"/>
          <w:color w:val="5B6573"/>
          <w:sz w:val="22"/>
        </w:rPr>
        <w:t>Kessler et al. v. Vantage Medical Devices, Inc.</w:t>
      </w:r>
    </w:p>
    <w:tbl>
      <w:tblPr>
        <w:tblW w:type="auto" w:w="0"/>
        <w:jc w:val="center"/>
        <w:tblLayout w:type="fixed"/>
        <w:tblLook w:firstColumn="1" w:firstRow="1" w:lastColumn="0" w:lastRow="0" w:noHBand="0" w:noVBand="1" w:val="04A0"/>
      </w:tblPr>
      <w:tblGrid>
        <w:gridCol w:w="4997"/>
        <w:gridCol w:w="4997"/>
      </w:tblGrid>
      <w:tr>
        <w:trPr>
          <w:cantSplit/>
        </w:trPr>
        <w:tc>
          <w:tcPr>
            <w:tcW w:type="dxa" w:w="1800"/>
            <w:tcMar>
              <w:top w:w="55" w:type="dxa"/>
              <w:start w:w="110" w:type="dxa"/>
              <w:bottom w:w="55" w:type="dxa"/>
              <w:end w:w="110" w:type="dxa"/>
            </w:tcMar>
            <w:shd w:fill="EEF4F8"/>
          </w:tcPr>
          <w:p>
            <w:pPr>
              <w:spacing w:after="0"/>
            </w:pPr>
            <w:r>
              <w:rPr>
                <w:b/>
                <w:color w:val="1F4E79"/>
                <w:sz w:val="16"/>
              </w:rPr>
              <w:t>TO</w:t>
            </w:r>
          </w:p>
        </w:tc>
        <w:tc>
          <w:tcPr>
            <w:tcW w:type="dxa" w:w="8568"/>
            <w:tcMar>
              <w:top w:w="55" w:type="dxa"/>
              <w:start w:w="110" w:type="dxa"/>
              <w:bottom w:w="55" w:type="dxa"/>
              <w:end w:w="110" w:type="dxa"/>
            </w:tcMar>
          </w:tcPr>
          <w:p>
            <w:pPr>
              <w:spacing w:after="0"/>
            </w:pPr>
            <w:r>
              <w:t>Priya Chandrasekaran, General Counsel, Vantage Medical Devices, Inc.</w:t>
            </w:r>
          </w:p>
        </w:tc>
      </w:tr>
      <w:tr>
        <w:trPr>
          <w:cantSplit/>
        </w:trPr>
        <w:tc>
          <w:tcPr>
            <w:tcW w:type="dxa" w:w="1800"/>
            <w:tcMar>
              <w:top w:w="55" w:type="dxa"/>
              <w:start w:w="110" w:type="dxa"/>
              <w:bottom w:w="55" w:type="dxa"/>
              <w:end w:w="110" w:type="dxa"/>
            </w:tcMar>
            <w:shd w:fill="EEF4F8"/>
          </w:tcPr>
          <w:p>
            <w:pPr>
              <w:spacing w:after="0"/>
            </w:pPr>
            <w:r>
              <w:rPr>
                <w:b/>
                <w:color w:val="1F4E79"/>
                <w:sz w:val="16"/>
              </w:rPr>
              <w:t>FROM</w:t>
            </w:r>
          </w:p>
        </w:tc>
        <w:tc>
          <w:tcPr>
            <w:tcW w:type="dxa" w:w="8568"/>
            <w:tcMar>
              <w:top w:w="55" w:type="dxa"/>
              <w:start w:w="110" w:type="dxa"/>
              <w:bottom w:w="55" w:type="dxa"/>
              <w:end w:w="110" w:type="dxa"/>
            </w:tcMar>
          </w:tcPr>
          <w:p>
            <w:pPr>
              <w:spacing w:after="0"/>
            </w:pPr>
            <w:r>
              <w:t>Natalie R. Prichard, Partner, Calloway Prichard Weeks LLP</w:t>
            </w:r>
          </w:p>
        </w:tc>
      </w:tr>
      <w:tr>
        <w:trPr>
          <w:cantSplit/>
        </w:trPr>
        <w:tc>
          <w:tcPr>
            <w:tcW w:type="dxa" w:w="1800"/>
            <w:tcMar>
              <w:top w:w="55" w:type="dxa"/>
              <w:start w:w="110" w:type="dxa"/>
              <w:bottom w:w="55" w:type="dxa"/>
              <w:end w:w="110" w:type="dxa"/>
            </w:tcMar>
            <w:shd w:fill="EEF4F8"/>
          </w:tcPr>
          <w:p>
            <w:pPr>
              <w:spacing w:after="0"/>
            </w:pPr>
            <w:r>
              <w:rPr>
                <w:b/>
                <w:color w:val="1F4E79"/>
                <w:sz w:val="16"/>
              </w:rPr>
              <w:t>DATE</w:t>
            </w:r>
          </w:p>
        </w:tc>
        <w:tc>
          <w:tcPr>
            <w:tcW w:type="dxa" w:w="8568"/>
            <w:tcMar>
              <w:top w:w="55" w:type="dxa"/>
              <w:start w:w="110" w:type="dxa"/>
              <w:bottom w:w="55" w:type="dxa"/>
              <w:end w:w="110" w:type="dxa"/>
            </w:tcMar>
          </w:tcPr>
          <w:p>
            <w:pPr>
              <w:spacing w:after="0"/>
            </w:pPr>
            <w:r>
              <w:t>May 30, 2025</w:t>
            </w:r>
          </w:p>
        </w:tc>
      </w:tr>
      <w:tr>
        <w:trPr>
          <w:cantSplit/>
        </w:trPr>
        <w:tc>
          <w:tcPr>
            <w:tcW w:type="dxa" w:w="1800"/>
            <w:tcMar>
              <w:top w:w="55" w:type="dxa"/>
              <w:start w:w="110" w:type="dxa"/>
              <w:bottom w:w="55" w:type="dxa"/>
              <w:end w:w="110" w:type="dxa"/>
            </w:tcMar>
            <w:shd w:fill="EEF4F8"/>
          </w:tcPr>
          <w:p>
            <w:pPr>
              <w:spacing w:after="0"/>
            </w:pPr>
            <w:r>
              <w:rPr>
                <w:b/>
                <w:color w:val="1F4E79"/>
                <w:sz w:val="16"/>
              </w:rPr>
              <w:t>RE</w:t>
            </w:r>
          </w:p>
        </w:tc>
        <w:tc>
          <w:tcPr>
            <w:tcW w:type="dxa" w:w="8568"/>
            <w:tcMar>
              <w:top w:w="55" w:type="dxa"/>
              <w:start w:w="110" w:type="dxa"/>
              <w:bottom w:w="55" w:type="dxa"/>
              <w:end w:w="110" w:type="dxa"/>
            </w:tcMar>
          </w:tcPr>
          <w:p>
            <w:pPr>
              <w:spacing w:after="0"/>
            </w:pPr>
            <w:r>
              <w:t>Case No. 1:25-cv-04387-RLM, U.S. District Court, Southern District of Indiana</w:t>
            </w:r>
          </w:p>
        </w:tc>
      </w:tr>
      <w:tr>
        <w:trPr>
          <w:cantSplit/>
        </w:trPr>
        <w:tc>
          <w:tcPr>
            <w:tcW w:type="dxa" w:w="1800"/>
            <w:tcMar>
              <w:top w:w="55" w:type="dxa"/>
              <w:start w:w="110" w:type="dxa"/>
              <w:bottom w:w="55" w:type="dxa"/>
              <w:end w:w="110" w:type="dxa"/>
            </w:tcMar>
            <w:shd w:fill="EEF4F8"/>
          </w:tcPr>
          <w:p>
            <w:pPr>
              <w:spacing w:after="0"/>
            </w:pPr>
            <w:r>
              <w:rPr>
                <w:b/>
                <w:color w:val="1F4E79"/>
                <w:sz w:val="16"/>
              </w:rPr>
              <w:t>STATUS</w:t>
            </w:r>
          </w:p>
        </w:tc>
        <w:tc>
          <w:tcPr>
            <w:tcW w:type="dxa" w:w="8568"/>
            <w:tcMar>
              <w:top w:w="55" w:type="dxa"/>
              <w:start w:w="110" w:type="dxa"/>
              <w:bottom w:w="55" w:type="dxa"/>
              <w:end w:w="110" w:type="dxa"/>
            </w:tcMar>
          </w:tcPr>
          <w:p>
            <w:pPr>
              <w:spacing w:after="0"/>
            </w:pPr>
            <w:r>
              <w:t>Prepared for immediate action; preservation actions identified below are not represented as completed.</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994"/>
            <w:shd w:fill="FCE4D6"/>
            <w:tcMar>
              <w:top w:w="115" w:type="dxa"/>
              <w:start w:w="150" w:type="dxa"/>
              <w:bottom w:w="115" w:type="dxa"/>
              <w:end w:w="150" w:type="dxa"/>
            </w:tcMar>
            <w:tcBorders>
              <w:left w:val="single" w:sz="22" w:color="9C0006"/>
            </w:tcBorders>
          </w:tcPr>
          <w:p>
            <w:pPr>
              <w:spacing w:after="0"/>
            </w:pPr>
            <w:r>
              <w:rPr>
                <w:b/>
                <w:color w:val="17365D"/>
              </w:rPr>
              <w:t xml:space="preserve">PRIVILEGE / DISTRIBUTION: </w:t>
            </w:r>
            <w:r>
              <w:t>This memorandum is attorney-client privileged and attorney work product prepared in anticipation of litigation. Limit distribution to Vantage Legal and authorized decision-makers. Do not attach or circulate this assessment to custodians; provide IT and business personnel only the operational instructions they need.</w:t>
            </w:r>
          </w:p>
        </w:tc>
      </w:tr>
    </w:tbl>
    <w:p>
      <w:pPr>
        <w:spacing w:after="0"/>
      </w:pPr>
    </w:p>
    <w:p>
      <w:pPr>
        <w:pStyle w:val="Heading1"/>
      </w:pPr>
      <w:r>
        <w:t>Executive summary</w:t>
      </w:r>
    </w:p>
    <w:p>
      <w:r>
        <w:t>Vantage was served May 28, 2025 with a putative class action alleging that the ProFlex KR-3000 knee system was defectively designed/manufactured and that Vantage failed to disclose or respond to elevated wear, complaints, and adverse outcomes. The complaint specifically identifies 2017–2019 testing, a Q3 2022 metallurgical analysis, post-market quality/regulatory records, manufacturing records at Vantage and Ashford, and informal field communications. We should preserve relevant material from January 1, 2017 through the present, on a rolling basis.</w:t>
      </w:r>
    </w:p>
    <w:p>
      <w:r>
        <w:t>The most immediate risk is irreversible loss during scheduled systems and personnel changes: SAP ECC 6.0 migration begins June 16 with legacy archival/decommissioning planned by July 15; Petrosian departs June 20 and is subject to ordinary reimage/account shutdown steps; 30 iPhones are scheduled for wipe beginning June 23; M365 email auto-purge runs June 30. Teams, Veeva draft versions, mobile-local data, and backup tapes also face routine deletion/overwrite. The proposed hold notice is drafted for distribution June 2; Legal and IT must implement technical controls immediately.</w:t>
      </w:r>
    </w:p>
    <w:tbl>
      <w:tblPr>
        <w:tblW w:type="auto" w:w="0"/>
        <w:jc w:val="center"/>
        <w:tblLayout w:type="fixed"/>
        <w:tblLook w:firstColumn="1" w:firstRow="1" w:lastColumn="0" w:lastRow="0" w:noHBand="0" w:noVBand="1" w:val="04A0"/>
      </w:tblPr>
      <w:tblGrid>
        <w:gridCol w:w="9994"/>
      </w:tblGrid>
      <w:tr>
        <w:tc>
          <w:tcPr>
            <w:tcW w:type="dxa" w:w="9994"/>
            <w:shd w:fill="FFF2CC"/>
            <w:tcMar>
              <w:top w:w="115" w:type="dxa"/>
              <w:start w:w="150" w:type="dxa"/>
              <w:bottom w:w="115" w:type="dxa"/>
              <w:end w:w="150" w:type="dxa"/>
            </w:tcMar>
            <w:tcBorders>
              <w:left w:val="single" w:sz="22" w:color="C99700"/>
            </w:tcBorders>
          </w:tcPr>
          <w:p>
            <w:pPr>
              <w:spacing w:after="0"/>
            </w:pPr>
            <w:r>
              <w:rPr>
                <w:b/>
                <w:color w:val="17365D"/>
              </w:rPr>
              <w:t xml:space="preserve">BOTTOM LINE: </w:t>
            </w:r>
            <w:r>
              <w:t>Issue the hold immediately; suspend destructive retention and lifecycle operations; preserve source data and metadata before any migration, offboarding, wipe, or purge; and do not authorize SAP decommissioning or device wiping without written General Counsel sign-off.</w:t>
            </w:r>
          </w:p>
        </w:tc>
      </w:tr>
    </w:tbl>
    <w:p>
      <w:pPr>
        <w:spacing w:after="0"/>
      </w:pPr>
    </w:p>
    <w:p>
      <w:pPr>
        <w:pStyle w:val="Heading1"/>
      </w:pPr>
      <w:r>
        <w:t>1. Decisions and directives for immediate approval</w:t>
      </w:r>
    </w:p>
    <w:p>
      <w:pPr>
        <w:pStyle w:val="CompactBullet"/>
        <w:ind w:left="346" w:hanging="317"/>
      </w:pPr>
      <w:r>
        <w:rPr>
          <w:b/>
        </w:rPr>
        <w:t xml:space="preserve">1. Issue the attached hold notice on June 2, 2025. </w:t>
      </w:r>
      <w:r>
        <w:t>Send individual notices and acknowledgment forms to the identified custodians, relevant department heads, IT administrators, QA/Regulatory/Sales/Manufacturing/Finance/Medical Affairs personnel with KR-3000 information, and each of the 85 field sales representatives. Require acknowledgment by June 9. Preserve the notice, distribution list, reminders, and returned forms in a restricted hold file.</w:t>
      </w:r>
    </w:p>
    <w:p>
      <w:pPr>
        <w:pStyle w:val="CompactBullet"/>
        <w:ind w:left="346" w:hanging="317"/>
      </w:pPr>
      <w:r>
        <w:rPr>
          <w:b/>
        </w:rPr>
        <w:t xml:space="preserve">2. Suspend deletion and auto-purge controls. </w:t>
      </w:r>
      <w:r>
        <w:t>Within 24 hours of issuance, disable the M365 three-year email purge (preferably company-wide) and apply eDiscovery/legal holds to identified custodian mailboxes, OneDrive, SharePoint, Teams, and relevant shared mailboxes/sites. Also suspend Teams chat/monthly purge, voicemail auto-deletion where relevant, and Veeva abandoned-draft purge. Obtain written confirmation, configuration evidence, and spot-checks; do not rely solely on routine backups.</w:t>
      </w:r>
    </w:p>
    <w:p>
      <w:pPr>
        <w:pStyle w:val="CompactBullet"/>
        <w:ind w:left="346" w:hanging="317"/>
      </w:pPr>
      <w:r>
        <w:rPr>
          <w:b/>
        </w:rPr>
        <w:t xml:space="preserve">3. Freeze KR-3000 SAP changes before the migration touches relevant data. </w:t>
      </w:r>
      <w:r>
        <w:t>Direct IT and Manufacturing to place a legal preservation carve-out on all KR-3000-related SAP ECC records. Complete a validated export or forensic snapshot before migration/dress rehearsal activity modifies the relevant data, targeted for June 14 at latest. Include 2017–2022 historical and current records, manufacturing/QM/MM/PP and relevant FI/CO, transaction/master data, attachments/linked documents, change documents, audit trails, timestamps, and user IDs. Retain the legacy environment read-only and accessible; no archive/decommissioning until Legal signs off in writing.</w:t>
      </w:r>
    </w:p>
    <w:p>
      <w:pPr>
        <w:pStyle w:val="CompactBullet"/>
        <w:ind w:left="346" w:hanging="317"/>
      </w:pPr>
      <w:r>
        <w:rPr>
          <w:b/>
        </w:rPr>
        <w:t xml:space="preserve">4. Protect the at-risk custodians and mobile devices. </w:t>
      </w:r>
      <w:r>
        <w:t>Suspend Petrosian’s ordinary offboarding (laptop reimage, H: drive purge, mailbox deletion/shared-mailbox sunset, iPhone wipe, and Veeva access removal). Complete forensic imaging of her laptop and portable media by June 13; preserve her mailbox, OneDrive/Teams, network drives, and Veeva content/audit trail, and transfer QMS administration before June 20. Halt all 30 scheduled phone refresh/wipes; target imaging before June 20 (preferably June 18) and in all events before any wipe. Preserve all 85 phones; use targeted, documented collection for the remaining 55.</w:t>
      </w:r>
    </w:p>
    <w:p>
      <w:pPr>
        <w:pStyle w:val="CompactBullet"/>
        <w:ind w:left="346" w:hanging="317"/>
      </w:pPr>
      <w:r>
        <w:rPr>
          <w:b/>
        </w:rPr>
        <w:t xml:space="preserve">5. Engage third parties and preserve local/app data. </w:t>
      </w:r>
      <w:r>
        <w:t>Send Ashford Precision Components, Inc. (1580 Commerce Avenue SE, Grand Rapids, MI 49503; Quality Director Robert M. Hensley, r.hensley@ashfordprecision.com) a formal preservation demand no later than June 6 (email and certified mail), invoke and review Quality Agreement QA-2017-0044 access/retention rights, and request written confirmation. Send a parallel demand to VantagePulse, Inc. (support@vantagepulse.io) to suspend server-side deletion and preserve all Vantage account data, API exports, logs, and backups; confirm retention (including any rolling purge). Preserve VantagePulse local device data during mobile collection.</w:t>
      </w:r>
    </w:p>
    <w:p>
      <w:pPr>
        <w:pStyle w:val="CompactBullet"/>
        <w:ind w:left="346" w:hanging="317"/>
      </w:pPr>
      <w:r>
        <w:rPr>
          <w:b/>
        </w:rPr>
        <w:t xml:space="preserve">6. Protect repositories, paper records, backups, and privileged sources. </w:t>
      </w:r>
      <w:r>
        <w:t>Image or make a verified read-only copy of the KR-3000 R&amp;D share and preserve SolidWorks PDM history; suspend records-room transfer of KR-3000 materials pending inventory. Stop overwriting/recycling existing backup tapes, preserve catalogs and inventory, but do not restore tapes absent a source-data gap. Preserve GC and outside-counsel materials but collect/review them in a segregated privilege workflow.</w:t>
      </w:r>
    </w:p>
    <w:p>
      <w:pPr>
        <w:pStyle w:val="Heading1"/>
      </w:pPr>
      <w:r>
        <w:t>2. Scope and key evidence</w:t>
      </w:r>
    </w:p>
    <w:p>
      <w:r>
        <w:t>Preservation should be driven by claims and defenses, not by cost or routine retention periods. The complaint alleges elevated pre-market wear, a Q3 2022 surface-roughening analysis, failure to act on complaints/revision trends, deficient FDA disclosure, ongoing surgeon communications, and manufacturing variability. The scope below is an initial, defensible plan; refine after custodian interviews and system mapping.</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F4E79"/>
            <w:tcMar>
              <w:top w:w="75" w:type="dxa"/>
              <w:start w:w="90" w:type="dxa"/>
              <w:bottom w:w="75" w:type="dxa"/>
              <w:end w:w="90" w:type="dxa"/>
            </w:tcMar>
            <w:vAlign w:val="center"/>
          </w:tcPr>
          <w:p>
            <w:pPr>
              <w:spacing w:after="0"/>
            </w:pPr>
            <w:r>
              <w:rPr>
                <w:rFonts w:ascii="Aptos" w:hAnsi="Aptos"/>
                <w:b/>
                <w:color w:val="FFFFFF"/>
                <w:sz w:val="17"/>
              </w:rPr>
              <w:t>Subject / period</w:t>
            </w:r>
          </w:p>
        </w:tc>
        <w:tc>
          <w:tcPr>
            <w:tcW w:type="dxa" w:w="7848"/>
            <w:shd w:fill="1F4E79"/>
            <w:tcMar>
              <w:top w:w="75" w:type="dxa"/>
              <w:start w:w="90" w:type="dxa"/>
              <w:bottom w:w="75" w:type="dxa"/>
              <w:end w:w="90" w:type="dxa"/>
            </w:tcMar>
            <w:vAlign w:val="center"/>
          </w:tcPr>
          <w:p>
            <w:pPr>
              <w:spacing w:after="0"/>
            </w:pPr>
            <w:r>
              <w:rPr>
                <w:rFonts w:ascii="Aptos" w:hAnsi="Aptos"/>
                <w:b/>
                <w:color w:val="FFFFFF"/>
                <w:sz w:val="17"/>
              </w:rPr>
              <w:t>Primary evidence and why it matters</w:t>
            </w:r>
          </w:p>
        </w:tc>
      </w:tr>
      <w:tr>
        <w:trPr>
          <w:cantSplit/>
        </w:trPr>
        <w:tc>
          <w:tcPr>
            <w:tcW w:type="dxa" w:w="2520"/>
            <w:tcMar>
              <w:top w:w="60" w:type="dxa"/>
              <w:start w:w="85" w:type="dxa"/>
              <w:bottom w:w="60" w:type="dxa"/>
              <w:end w:w="85" w:type="dxa"/>
            </w:tcMar>
            <w:vAlign w:val="top"/>
          </w:tcPr>
          <w:p>
            <w:pPr>
              <w:spacing w:after="0" w:line="240" w:lineRule="auto"/>
            </w:pPr>
            <w:r>
              <w:rPr>
                <w:rFonts w:ascii="Aptos" w:hAnsi="Aptos"/>
                <w:color w:val="202A35"/>
                <w:sz w:val="17"/>
              </w:rPr>
              <w:t>Design, testing &amp; predicate (Jan. 1, 2017–Oct. 2019)</w:t>
            </w:r>
          </w:p>
        </w:tc>
        <w:tc>
          <w:tcPr>
            <w:tcW w:type="dxa" w:w="7848"/>
            <w:tcMar>
              <w:top w:w="60" w:type="dxa"/>
              <w:start w:w="85" w:type="dxa"/>
              <w:bottom w:w="60" w:type="dxa"/>
              <w:end w:w="85" w:type="dxa"/>
            </w:tcMar>
            <w:vAlign w:val="top"/>
          </w:tcPr>
          <w:p>
            <w:pPr>
              <w:spacing w:after="0" w:line="240" w:lineRule="auto"/>
            </w:pPr>
            <w:r>
              <w:rPr>
                <w:rFonts w:ascii="Aptos" w:hAnsi="Aptos"/>
                <w:color w:val="202A35"/>
                <w:sz w:val="17"/>
              </w:rPr>
              <w:t>DHF/DMR, engineering notebooks, CAD/FEA, wear/bench testing, surface-finish specifications, risk files, KR-2500 comparisons, 510(k) K192847 support; relevant to design, warning and regulatory allegations.</w:t>
            </w:r>
          </w:p>
        </w:tc>
      </w:tr>
      <w:tr>
        <w:trPr>
          <w:cantSplit/>
        </w:trPr>
        <w:tc>
          <w:tcPr>
            <w:tcW w:type="dxa" w:w="2520"/>
            <w:tcMar>
              <w:top w:w="60" w:type="dxa"/>
              <w:start w:w="85" w:type="dxa"/>
              <w:bottom w:w="60" w:type="dxa"/>
              <w:end w:w="85" w:type="dxa"/>
            </w:tcMar>
            <w:vAlign w:val="top"/>
            <w:shd w:fill="F7F9FB"/>
          </w:tcPr>
          <w:p>
            <w:pPr>
              <w:spacing w:after="0" w:line="240" w:lineRule="auto"/>
            </w:pPr>
            <w:r>
              <w:rPr>
                <w:rFonts w:ascii="Aptos" w:hAnsi="Aptos"/>
                <w:color w:val="202A35"/>
                <w:sz w:val="17"/>
              </w:rPr>
              <w:t>Q3 2022 metallurgical analysis and response</w:t>
            </w:r>
          </w:p>
        </w:tc>
        <w:tc>
          <w:tcPr>
            <w:tcW w:type="dxa" w:w="7848"/>
            <w:tcMar>
              <w:top w:w="60" w:type="dxa"/>
              <w:start w:w="85" w:type="dxa"/>
              <w:bottom w:w="60" w:type="dxa"/>
              <w:end w:w="85" w:type="dxa"/>
            </w:tcMar>
            <w:vAlign w:val="top"/>
            <w:shd w:fill="F7F9FB"/>
          </w:tcPr>
          <w:p>
            <w:pPr>
              <w:spacing w:after="0" w:line="240" w:lineRule="auto"/>
            </w:pPr>
            <w:r>
              <w:rPr>
                <w:rFonts w:ascii="Aptos" w:hAnsi="Aptos"/>
                <w:color w:val="202A35"/>
                <w:sz w:val="17"/>
              </w:rPr>
              <w:t>Report, raw SEM/EDS/profilometry data, retrieved-component records, drafts, emails, review/approval history, CAPA/recall/field-action/regulatory evaluations, decision communications, and related financial analyses. Highest substantive priority.</w:t>
            </w:r>
          </w:p>
        </w:tc>
      </w:tr>
      <w:tr>
        <w:trPr>
          <w:cantSplit/>
        </w:trPr>
        <w:tc>
          <w:tcPr>
            <w:tcW w:type="dxa" w:w="2520"/>
            <w:tcMar>
              <w:top w:w="60" w:type="dxa"/>
              <w:start w:w="85" w:type="dxa"/>
              <w:bottom w:w="60" w:type="dxa"/>
              <w:end w:w="85" w:type="dxa"/>
            </w:tcMar>
            <w:vAlign w:val="top"/>
          </w:tcPr>
          <w:p>
            <w:pPr>
              <w:spacing w:after="0" w:line="240" w:lineRule="auto"/>
            </w:pPr>
            <w:r>
              <w:rPr>
                <w:rFonts w:ascii="Aptos" w:hAnsi="Aptos"/>
                <w:color w:val="202A35"/>
                <w:sz w:val="17"/>
              </w:rPr>
              <w:t>Post-market (2020–present)</w:t>
            </w:r>
          </w:p>
        </w:tc>
        <w:tc>
          <w:tcPr>
            <w:tcW w:type="dxa" w:w="7848"/>
            <w:tcMar>
              <w:top w:w="60" w:type="dxa"/>
              <w:start w:w="85" w:type="dxa"/>
              <w:bottom w:w="60" w:type="dxa"/>
              <w:end w:w="85" w:type="dxa"/>
            </w:tcMar>
            <w:vAlign w:val="top"/>
          </w:tcPr>
          <w:p>
            <w:pPr>
              <w:spacing w:after="0" w:line="240" w:lineRule="auto"/>
            </w:pPr>
            <w:r>
              <w:rPr>
                <w:rFonts w:ascii="Aptos" w:hAnsi="Aptos"/>
                <w:color w:val="202A35"/>
                <w:sz w:val="17"/>
              </w:rPr>
              <w:t>Complaints, CAPAs, MDRs, adverse-event assessments, trend analyses, revisions/failure rates, clinical evaluations, field safety and correction/removal assessments; includes informal or “shadow” complaints.</w:t>
            </w:r>
          </w:p>
        </w:tc>
      </w:tr>
      <w:tr>
        <w:trPr>
          <w:cantSplit/>
        </w:trPr>
        <w:tc>
          <w:tcPr>
            <w:tcW w:type="dxa" w:w="2520"/>
            <w:tcMar>
              <w:top w:w="60" w:type="dxa"/>
              <w:start w:w="85" w:type="dxa"/>
              <w:bottom w:w="60" w:type="dxa"/>
              <w:end w:w="85" w:type="dxa"/>
            </w:tcMar>
            <w:vAlign w:val="top"/>
            <w:shd w:fill="F7F9FB"/>
          </w:tcPr>
          <w:p>
            <w:pPr>
              <w:spacing w:after="0" w:line="240" w:lineRule="auto"/>
            </w:pPr>
            <w:r>
              <w:rPr>
                <w:rFonts w:ascii="Aptos" w:hAnsi="Aptos"/>
                <w:color w:val="202A35"/>
                <w:sz w:val="17"/>
              </w:rPr>
              <w:t>Manufacturing and supplier records (2017–present)</w:t>
            </w:r>
          </w:p>
        </w:tc>
        <w:tc>
          <w:tcPr>
            <w:tcW w:type="dxa" w:w="7848"/>
            <w:tcMar>
              <w:top w:w="60" w:type="dxa"/>
              <w:start w:w="85" w:type="dxa"/>
              <w:bottom w:w="60" w:type="dxa"/>
              <w:end w:w="85" w:type="dxa"/>
            </w:tcMar>
            <w:vAlign w:val="top"/>
            <w:shd w:fill="F7F9FB"/>
          </w:tcPr>
          <w:p>
            <w:pPr>
              <w:spacing w:after="0" w:line="240" w:lineRule="auto"/>
            </w:pPr>
            <w:r>
              <w:rPr>
                <w:rFonts w:ascii="Aptos" w:hAnsi="Aptos"/>
                <w:color w:val="202A35"/>
                <w:sz w:val="17"/>
              </w:rPr>
              <w:t>Batch/device-history records, material lots/certificates, incoming inspection, validation, deviations, surface-finish and production data at Fort Wayne and Ashford, supplier quality communications, and audit records.</w:t>
            </w:r>
          </w:p>
        </w:tc>
      </w:tr>
      <w:tr>
        <w:trPr>
          <w:cantSplit/>
        </w:trPr>
        <w:tc>
          <w:tcPr>
            <w:tcW w:type="dxa" w:w="2520"/>
            <w:tcMar>
              <w:top w:w="60" w:type="dxa"/>
              <w:start w:w="85" w:type="dxa"/>
              <w:bottom w:w="60" w:type="dxa"/>
              <w:end w:w="85" w:type="dxa"/>
            </w:tcMar>
            <w:vAlign w:val="top"/>
          </w:tcPr>
          <w:p>
            <w:pPr>
              <w:spacing w:after="0" w:line="240" w:lineRule="auto"/>
            </w:pPr>
            <w:r>
              <w:rPr>
                <w:rFonts w:ascii="Aptos" w:hAnsi="Aptos"/>
                <w:color w:val="202A35"/>
                <w:sz w:val="17"/>
              </w:rPr>
              <w:t>Regulatory, clinical, sales and finance</w:t>
            </w:r>
          </w:p>
        </w:tc>
        <w:tc>
          <w:tcPr>
            <w:tcW w:type="dxa" w:w="7848"/>
            <w:tcMar>
              <w:top w:w="60" w:type="dxa"/>
              <w:start w:w="85" w:type="dxa"/>
              <w:bottom w:w="60" w:type="dxa"/>
              <w:end w:w="85" w:type="dxa"/>
            </w:tcMar>
            <w:vAlign w:val="top"/>
          </w:tcPr>
          <w:p>
            <w:pPr>
              <w:spacing w:after="0" w:line="240" w:lineRule="auto"/>
            </w:pPr>
            <w:r>
              <w:rPr>
                <w:rFonts w:ascii="Aptos" w:hAnsi="Aptos"/>
                <w:color w:val="202A35"/>
                <w:sz w:val="17"/>
              </w:rPr>
              <w:t>510(k)/FDA records and correspondence, labels/IFUs, surgeon/KOL communications, training/promotional statements, Salesforce activity, VantagePulse, reserves/accruals and board materials; preserve privileged material separately.</w:t>
            </w:r>
          </w:p>
        </w:tc>
      </w:tr>
      <w:tr>
        <w:trPr>
          <w:cantSplit/>
        </w:trPr>
        <w:tc>
          <w:tcPr>
            <w:tcW w:type="dxa" w:w="2520"/>
            <w:tcMar>
              <w:top w:w="60" w:type="dxa"/>
              <w:start w:w="85" w:type="dxa"/>
              <w:bottom w:w="60" w:type="dxa"/>
              <w:end w:w="85" w:type="dxa"/>
            </w:tcMar>
            <w:vAlign w:val="top"/>
            <w:shd w:fill="F7F9FB"/>
          </w:tcPr>
          <w:p>
            <w:pPr>
              <w:spacing w:after="0" w:line="240" w:lineRule="auto"/>
            </w:pPr>
            <w:r>
              <w:rPr>
                <w:rFonts w:ascii="Aptos" w:hAnsi="Aptos"/>
                <w:color w:val="202A35"/>
                <w:sz w:val="17"/>
              </w:rPr>
              <w:t>Named plaintiffs and proposed class</w:t>
            </w:r>
          </w:p>
        </w:tc>
        <w:tc>
          <w:tcPr>
            <w:tcW w:type="dxa" w:w="7848"/>
            <w:tcMar>
              <w:top w:w="60" w:type="dxa"/>
              <w:start w:w="85" w:type="dxa"/>
              <w:bottom w:w="60" w:type="dxa"/>
              <w:end w:w="85" w:type="dxa"/>
            </w:tcMar>
            <w:vAlign w:val="top"/>
            <w:shd w:fill="F7F9FB"/>
          </w:tcPr>
          <w:p>
            <w:pPr>
              <w:spacing w:after="0" w:line="240" w:lineRule="auto"/>
            </w:pPr>
            <w:r>
              <w:rPr>
                <w:rFonts w:ascii="Aptos" w:hAnsi="Aptos"/>
                <w:color w:val="202A35"/>
                <w:sz w:val="17"/>
              </w:rPr>
              <w:t>Vantage-held records relating to Kessler, Dufresne, their providers/facilities, KR-3000 implant traceability and product performance for the proposed U.S. implanted-device class.</w:t>
            </w:r>
          </w:p>
        </w:tc>
      </w:tr>
    </w:tbl>
    <w:p>
      <w:pPr>
        <w:spacing w:after="0"/>
      </w:pPr>
    </w:p>
    <w:p>
      <w:pPr>
        <w:pStyle w:val="Heading1"/>
      </w:pPr>
      <w:r>
        <w:t>3. Custodians and targeted repositories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240"/>
            <w:shd w:fill="1F4E79"/>
            <w:tcMar>
              <w:top w:w="75" w:type="dxa"/>
              <w:start w:w="90" w:type="dxa"/>
              <w:bottom w:w="75" w:type="dxa"/>
              <w:end w:w="90" w:type="dxa"/>
            </w:tcMar>
            <w:vAlign w:val="center"/>
          </w:tcPr>
          <w:p>
            <w:pPr>
              <w:spacing w:after="0"/>
            </w:pPr>
            <w:r>
              <w:rPr>
                <w:rFonts w:ascii="Aptos" w:hAnsi="Aptos"/>
                <w:b/>
                <w:color w:val="FFFFFF"/>
                <w:sz w:val="16"/>
              </w:rPr>
              <w:t>Custodian / group</w:t>
            </w:r>
          </w:p>
        </w:tc>
        <w:tc>
          <w:tcPr>
            <w:tcW w:type="dxa" w:w="7128"/>
            <w:shd w:fill="1F4E79"/>
            <w:tcMar>
              <w:top w:w="75" w:type="dxa"/>
              <w:start w:w="90" w:type="dxa"/>
              <w:bottom w:w="75" w:type="dxa"/>
              <w:end w:w="90" w:type="dxa"/>
            </w:tcMar>
            <w:vAlign w:val="center"/>
          </w:tcPr>
          <w:p>
            <w:pPr>
              <w:spacing w:after="0"/>
            </w:pPr>
            <w:r>
              <w:rPr>
                <w:rFonts w:ascii="Aptos" w:hAnsi="Aptos"/>
                <w:b/>
                <w:color w:val="FFFFFF"/>
                <w:sz w:val="16"/>
              </w:rPr>
              <w:t>Priority / preservation focus</w:t>
            </w:r>
          </w:p>
        </w:tc>
      </w:tr>
      <w:tr>
        <w:trPr>
          <w:cantSplit/>
        </w:trPr>
        <w:tc>
          <w:tcPr>
            <w:tcW w:type="dxa" w:w="3240"/>
            <w:tcMar>
              <w:top w:w="60" w:type="dxa"/>
              <w:start w:w="85" w:type="dxa"/>
              <w:bottom w:w="60" w:type="dxa"/>
              <w:end w:w="85" w:type="dxa"/>
            </w:tcMar>
            <w:vAlign w:val="top"/>
          </w:tcPr>
          <w:p>
            <w:pPr>
              <w:spacing w:after="0" w:line="240" w:lineRule="auto"/>
            </w:pPr>
            <w:r>
              <w:rPr>
                <w:rFonts w:ascii="Aptos" w:hAnsi="Aptos"/>
                <w:color w:val="202A35"/>
                <w:sz w:val="16"/>
              </w:rPr>
              <w:t>Sandra K. Petrosian — QA (departing June 20)</w:t>
            </w:r>
          </w:p>
        </w:tc>
        <w:tc>
          <w:tcPr>
            <w:tcW w:type="dxa" w:w="7128"/>
            <w:tcMar>
              <w:top w:w="60" w:type="dxa"/>
              <w:start w:w="85" w:type="dxa"/>
              <w:bottom w:w="60" w:type="dxa"/>
              <w:end w:w="85" w:type="dxa"/>
            </w:tcMar>
            <w:vAlign w:val="top"/>
          </w:tcPr>
          <w:p>
            <w:pPr>
              <w:spacing w:after="0" w:line="240" w:lineRule="auto"/>
            </w:pPr>
            <w:r>
              <w:rPr>
                <w:rFonts w:ascii="Aptos" w:hAnsi="Aptos"/>
                <w:color w:val="202A35"/>
                <w:sz w:val="16"/>
              </w:rPr>
              <w:t>Critical: Veeva QMS; complaints, CAPAs, MDRs, Q3 2022 analysis; M365, laptop, H: drive, QA shares, SAP QM; preserve before departure.</w:t>
            </w:r>
          </w:p>
        </w:tc>
      </w:tr>
      <w:tr>
        <w:trPr>
          <w:cantSplit/>
        </w:trPr>
        <w:tc>
          <w:tcPr>
            <w:tcW w:type="dxa" w:w="3240"/>
            <w:tcMar>
              <w:top w:w="60" w:type="dxa"/>
              <w:start w:w="85" w:type="dxa"/>
              <w:bottom w:w="60" w:type="dxa"/>
              <w:end w:w="85" w:type="dxa"/>
            </w:tcMar>
            <w:vAlign w:val="top"/>
            <w:shd w:fill="F7F9FB"/>
          </w:tcPr>
          <w:p>
            <w:pPr>
              <w:spacing w:after="0" w:line="240" w:lineRule="auto"/>
            </w:pPr>
            <w:r>
              <w:rPr>
                <w:rFonts w:ascii="Aptos" w:hAnsi="Aptos"/>
                <w:color w:val="202A35"/>
                <w:sz w:val="16"/>
              </w:rPr>
              <w:t>Dr. Wei-Lin Huang — R&amp;D</w:t>
            </w:r>
          </w:p>
        </w:tc>
        <w:tc>
          <w:tcPr>
            <w:tcW w:type="dxa" w:w="7128"/>
            <w:tcMar>
              <w:top w:w="60" w:type="dxa"/>
              <w:start w:w="85" w:type="dxa"/>
              <w:bottom w:w="60" w:type="dxa"/>
              <w:end w:w="85" w:type="dxa"/>
            </w:tcMar>
            <w:vAlign w:val="top"/>
            <w:shd w:fill="F7F9FB"/>
          </w:tcPr>
          <w:p>
            <w:pPr>
              <w:spacing w:after="0" w:line="240" w:lineRule="auto"/>
            </w:pPr>
            <w:r>
              <w:rPr>
                <w:rFonts w:ascii="Aptos" w:hAnsi="Aptos"/>
                <w:color w:val="202A35"/>
                <w:sz w:val="16"/>
              </w:rPr>
              <w:t>Critical: \\VNTG-ENG01\RnD\KR3000, SolidWorks PDM/version history, CAD/FEA, notebooks, premarket and Q3 2022 analysis.</w:t>
            </w:r>
          </w:p>
        </w:tc>
      </w:tr>
      <w:tr>
        <w:trPr>
          <w:cantSplit/>
        </w:trPr>
        <w:tc>
          <w:tcPr>
            <w:tcW w:type="dxa" w:w="3240"/>
            <w:tcMar>
              <w:top w:w="60" w:type="dxa"/>
              <w:start w:w="85" w:type="dxa"/>
              <w:bottom w:w="60" w:type="dxa"/>
              <w:end w:w="85" w:type="dxa"/>
            </w:tcMar>
            <w:vAlign w:val="top"/>
          </w:tcPr>
          <w:p>
            <w:pPr>
              <w:spacing w:after="0" w:line="240" w:lineRule="auto"/>
            </w:pPr>
            <w:r>
              <w:rPr>
                <w:rFonts w:ascii="Aptos" w:hAnsi="Aptos"/>
                <w:color w:val="202A35"/>
                <w:sz w:val="16"/>
              </w:rPr>
              <w:t>Thomas J. Braddock — Regulatory</w:t>
            </w:r>
          </w:p>
        </w:tc>
        <w:tc>
          <w:tcPr>
            <w:tcW w:type="dxa" w:w="7128"/>
            <w:tcMar>
              <w:top w:w="60" w:type="dxa"/>
              <w:start w:w="85" w:type="dxa"/>
              <w:bottom w:w="60" w:type="dxa"/>
              <w:end w:w="85" w:type="dxa"/>
            </w:tcMar>
            <w:vAlign w:val="top"/>
          </w:tcPr>
          <w:p>
            <w:pPr>
              <w:spacing w:after="0" w:line="240" w:lineRule="auto"/>
            </w:pPr>
            <w:r>
              <w:rPr>
                <w:rFonts w:ascii="Aptos" w:hAnsi="Aptos"/>
                <w:color w:val="202A35"/>
                <w:sz w:val="16"/>
              </w:rPr>
              <w:t>Critical: Veeva Submissions, K192847, FDA ESG correspondence, MDR/regulatory records, audit trails and email.</w:t>
            </w:r>
          </w:p>
        </w:tc>
      </w:tr>
      <w:tr>
        <w:trPr>
          <w:cantSplit/>
        </w:trPr>
        <w:tc>
          <w:tcPr>
            <w:tcW w:type="dxa" w:w="3240"/>
            <w:tcMar>
              <w:top w:w="60" w:type="dxa"/>
              <w:start w:w="85" w:type="dxa"/>
              <w:bottom w:w="60" w:type="dxa"/>
              <w:end w:w="85" w:type="dxa"/>
            </w:tcMar>
            <w:vAlign w:val="top"/>
            <w:shd w:fill="F7F9FB"/>
          </w:tcPr>
          <w:p>
            <w:pPr>
              <w:spacing w:after="0" w:line="240" w:lineRule="auto"/>
            </w:pPr>
            <w:r>
              <w:rPr>
                <w:rFonts w:ascii="Aptos" w:hAnsi="Aptos"/>
                <w:color w:val="202A35"/>
                <w:sz w:val="16"/>
              </w:rPr>
              <w:t>Dr. Anita Suresh — Medical/Clinical Affairs</w:t>
            </w:r>
          </w:p>
        </w:tc>
        <w:tc>
          <w:tcPr>
            <w:tcW w:type="dxa" w:w="7128"/>
            <w:tcMar>
              <w:top w:w="60" w:type="dxa"/>
              <w:start w:w="85" w:type="dxa"/>
              <w:bottom w:w="60" w:type="dxa"/>
              <w:end w:w="85" w:type="dxa"/>
            </w:tcMar>
            <w:vAlign w:val="top"/>
            <w:shd w:fill="F7F9FB"/>
          </w:tcPr>
          <w:p>
            <w:pPr>
              <w:spacing w:after="0" w:line="240" w:lineRule="auto"/>
            </w:pPr>
            <w:r>
              <w:rPr>
                <w:rFonts w:ascii="Aptos" w:hAnsi="Aptos"/>
                <w:color w:val="202A35"/>
                <w:sz w:val="16"/>
              </w:rPr>
              <w:t>Critical/high: clinical/post-market records, KOL/advisory board communications; immediate targeted BYOD inquiry (personal iPhone/Gmail/messaging use flagged).</w:t>
            </w:r>
          </w:p>
        </w:tc>
      </w:tr>
      <w:tr>
        <w:trPr>
          <w:cantSplit/>
        </w:trPr>
        <w:tc>
          <w:tcPr>
            <w:tcW w:type="dxa" w:w="3240"/>
            <w:tcMar>
              <w:top w:w="60" w:type="dxa"/>
              <w:start w:w="85" w:type="dxa"/>
              <w:bottom w:w="60" w:type="dxa"/>
              <w:end w:w="85" w:type="dxa"/>
            </w:tcMar>
            <w:vAlign w:val="top"/>
          </w:tcPr>
          <w:p>
            <w:pPr>
              <w:spacing w:after="0" w:line="240" w:lineRule="auto"/>
            </w:pPr>
            <w:r>
              <w:rPr>
                <w:rFonts w:ascii="Aptos" w:hAnsi="Aptos"/>
                <w:color w:val="202A35"/>
                <w:sz w:val="16"/>
              </w:rPr>
              <w:t>James D. Kowalski — Manufacturing</w:t>
            </w:r>
          </w:p>
        </w:tc>
        <w:tc>
          <w:tcPr>
            <w:tcW w:type="dxa" w:w="7128"/>
            <w:tcMar>
              <w:top w:w="60" w:type="dxa"/>
              <w:start w:w="85" w:type="dxa"/>
              <w:bottom w:w="60" w:type="dxa"/>
              <w:end w:w="85" w:type="dxa"/>
            </w:tcMar>
            <w:vAlign w:val="top"/>
          </w:tcPr>
          <w:p>
            <w:pPr>
              <w:spacing w:after="0" w:line="240" w:lineRule="auto"/>
            </w:pPr>
            <w:r>
              <w:rPr>
                <w:rFonts w:ascii="Aptos" w:hAnsi="Aptos"/>
                <w:color w:val="202A35"/>
                <w:sz w:val="16"/>
              </w:rPr>
              <w:t>Critical: SAP ECC manufacturing/QM, batch/inspection/validation/supplier data, manufacturing share, Ashford relationship and contract-manufacturer records.</w:t>
            </w:r>
          </w:p>
        </w:tc>
      </w:tr>
      <w:tr>
        <w:trPr>
          <w:cantSplit/>
        </w:trPr>
        <w:tc>
          <w:tcPr>
            <w:tcW w:type="dxa" w:w="3240"/>
            <w:tcMar>
              <w:top w:w="60" w:type="dxa"/>
              <w:start w:w="85" w:type="dxa"/>
              <w:bottom w:w="60" w:type="dxa"/>
              <w:end w:w="85" w:type="dxa"/>
            </w:tcMar>
            <w:vAlign w:val="top"/>
            <w:shd w:fill="F7F9FB"/>
          </w:tcPr>
          <w:p>
            <w:pPr>
              <w:spacing w:after="0" w:line="240" w:lineRule="auto"/>
            </w:pPr>
            <w:r>
              <w:rPr>
                <w:rFonts w:ascii="Aptos" w:hAnsi="Aptos"/>
                <w:color w:val="202A35"/>
                <w:sz w:val="16"/>
              </w:rPr>
              <w:t>Gerald T. Morrissey — CEO; Priya Chandrasekaran — GC</w:t>
            </w:r>
          </w:p>
        </w:tc>
        <w:tc>
          <w:tcPr>
            <w:tcW w:type="dxa" w:w="7128"/>
            <w:tcMar>
              <w:top w:w="60" w:type="dxa"/>
              <w:start w:w="85" w:type="dxa"/>
              <w:bottom w:w="60" w:type="dxa"/>
              <w:end w:w="85" w:type="dxa"/>
            </w:tcMar>
            <w:vAlign w:val="top"/>
            <w:shd w:fill="F7F9FB"/>
          </w:tcPr>
          <w:p>
            <w:pPr>
              <w:spacing w:after="0" w:line="240" w:lineRule="auto"/>
            </w:pPr>
            <w:r>
              <w:rPr>
                <w:rFonts w:ascii="Aptos" w:hAnsi="Aptos"/>
                <w:color w:val="202A35"/>
                <w:sz w:val="16"/>
              </w:rPr>
              <w:t>Executive/privilege-sensitive: decisions, board materials, legal assessments, communications; preserve all, with GC collection segregated and privilege screened.</w:t>
            </w:r>
          </w:p>
        </w:tc>
      </w:tr>
      <w:tr>
        <w:trPr>
          <w:cantSplit/>
        </w:trPr>
        <w:tc>
          <w:tcPr>
            <w:tcW w:type="dxa" w:w="3240"/>
            <w:tcMar>
              <w:top w:w="60" w:type="dxa"/>
              <w:start w:w="85" w:type="dxa"/>
              <w:bottom w:w="60" w:type="dxa"/>
              <w:end w:w="85" w:type="dxa"/>
            </w:tcMar>
            <w:vAlign w:val="top"/>
          </w:tcPr>
          <w:p>
            <w:pPr>
              <w:spacing w:after="0" w:line="240" w:lineRule="auto"/>
            </w:pPr>
            <w:r>
              <w:rPr>
                <w:rFonts w:ascii="Aptos" w:hAnsi="Aptos"/>
                <w:color w:val="202A35"/>
                <w:sz w:val="16"/>
              </w:rPr>
              <w:t>Michelle R. Torrence — Sales &amp; Marketing; 85 reps</w:t>
            </w:r>
          </w:p>
        </w:tc>
        <w:tc>
          <w:tcPr>
            <w:tcW w:type="dxa" w:w="7128"/>
            <w:tcMar>
              <w:top w:w="60" w:type="dxa"/>
              <w:start w:w="85" w:type="dxa"/>
              <w:bottom w:w="60" w:type="dxa"/>
              <w:end w:w="85" w:type="dxa"/>
            </w:tcMar>
            <w:vAlign w:val="top"/>
          </w:tcPr>
          <w:p>
            <w:pPr>
              <w:spacing w:after="0" w:line="240" w:lineRule="auto"/>
            </w:pPr>
            <w:r>
              <w:rPr>
                <w:rFonts w:ascii="Aptos" w:hAnsi="Aptos"/>
                <w:color w:val="202A35"/>
                <w:sz w:val="16"/>
              </w:rPr>
              <w:t>High/critical: Salesforce (~340,000 records), promotions/training, field communications and 85 company iPhones; all 85 hold, 30 imminent wipe devices first.</w:t>
            </w:r>
          </w:p>
        </w:tc>
      </w:tr>
      <w:tr>
        <w:trPr>
          <w:cantSplit/>
        </w:trPr>
        <w:tc>
          <w:tcPr>
            <w:tcW w:type="dxa" w:w="3240"/>
            <w:tcMar>
              <w:top w:w="60" w:type="dxa"/>
              <w:start w:w="85" w:type="dxa"/>
              <w:bottom w:w="60" w:type="dxa"/>
              <w:end w:w="85" w:type="dxa"/>
            </w:tcMar>
            <w:vAlign w:val="top"/>
            <w:shd w:fill="F7F9FB"/>
          </w:tcPr>
          <w:p>
            <w:pPr>
              <w:spacing w:after="0" w:line="240" w:lineRule="auto"/>
            </w:pPr>
            <w:r>
              <w:rPr>
                <w:rFonts w:ascii="Aptos" w:hAnsi="Aptos"/>
                <w:color w:val="202A35"/>
                <w:sz w:val="16"/>
              </w:rPr>
              <w:t>Brian P. Callahan — Finance; Marcus Tilden — IT</w:t>
            </w:r>
          </w:p>
        </w:tc>
        <w:tc>
          <w:tcPr>
            <w:tcW w:type="dxa" w:w="7128"/>
            <w:tcMar>
              <w:top w:w="60" w:type="dxa"/>
              <w:start w:w="85" w:type="dxa"/>
              <w:bottom w:w="60" w:type="dxa"/>
              <w:end w:w="85" w:type="dxa"/>
            </w:tcMar>
            <w:vAlign w:val="top"/>
            <w:shd w:fill="F7F9FB"/>
          </w:tcPr>
          <w:p>
            <w:pPr>
              <w:spacing w:after="0" w:line="240" w:lineRule="auto"/>
            </w:pPr>
            <w:r>
              <w:rPr>
                <w:rFonts w:ascii="Aptos" w:hAnsi="Aptos"/>
                <w:color w:val="202A35"/>
                <w:sz w:val="16"/>
              </w:rPr>
              <w:t>High: reserves/accruals/board and insurance records; IT retention, migration, MDM, access, tape and destruction logs. Marcus is both custodian and preservation executor.</w:t>
            </w:r>
          </w:p>
        </w:tc>
      </w:tr>
      <w:tr>
        <w:trPr>
          <w:cantSplit/>
        </w:trPr>
        <w:tc>
          <w:tcPr>
            <w:tcW w:type="dxa" w:w="3240"/>
            <w:tcMar>
              <w:top w:w="60" w:type="dxa"/>
              <w:start w:w="85" w:type="dxa"/>
              <w:bottom w:w="60" w:type="dxa"/>
              <w:end w:w="85" w:type="dxa"/>
            </w:tcMar>
            <w:vAlign w:val="top"/>
          </w:tcPr>
          <w:p>
            <w:pPr>
              <w:spacing w:after="0" w:line="240" w:lineRule="auto"/>
            </w:pPr>
            <w:r>
              <w:rPr>
                <w:rFonts w:ascii="Aptos" w:hAnsi="Aptos"/>
                <w:color w:val="202A35"/>
                <w:sz w:val="16"/>
              </w:rPr>
              <w:t>Colleen M. Waverly — HR; HR/IT admins; R&amp;D/QA/Regulatory/Sales Ops/Document Control</w:t>
            </w:r>
          </w:p>
        </w:tc>
        <w:tc>
          <w:tcPr>
            <w:tcW w:type="dxa" w:w="7128"/>
            <w:tcMar>
              <w:top w:w="60" w:type="dxa"/>
              <w:start w:w="85" w:type="dxa"/>
              <w:bottom w:w="60" w:type="dxa"/>
              <w:end w:w="85" w:type="dxa"/>
            </w:tcMar>
            <w:vAlign w:val="top"/>
          </w:tcPr>
          <w:p>
            <w:pPr>
              <w:spacing w:after="0" w:line="240" w:lineRule="auto"/>
            </w:pPr>
            <w:r>
              <w:rPr>
                <w:rFonts w:ascii="Aptos" w:hAnsi="Aptos"/>
                <w:color w:val="202A35"/>
                <w:sz w:val="16"/>
              </w:rPr>
              <w:t>Supporting/implementation: Petrosian offboarding, HR/training/whistleblower files, device inventory and wipe schedules, system controls, physical records and additional relevant custodians.</w:t>
            </w:r>
          </w:p>
        </w:tc>
      </w:tr>
    </w:tbl>
    <w:p>
      <w:pPr>
        <w:spacing w:after="0"/>
      </w:pPr>
    </w:p>
    <w:p>
      <w:pPr>
        <w:pStyle w:val="Small"/>
      </w:pPr>
      <w:r>
        <w:t>Issue individual notices and track signatures; the named list is not exhaustive. Department heads should identify additional personnel who worked on KR-3000 design, validation, complaints, production, sales, or regulatory activity. For the 85 reps, preserve each individual’s information even if collection is later tiered.</w:t>
      </w:r>
    </w:p>
    <w:p>
      <w:pPr>
        <w:pStyle w:val="Heading1"/>
      </w:pPr>
      <w:r>
        <w:t>4. System-by-system preservation plan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99"/>
            <w:shd w:fill="1F4E79"/>
            <w:tcMar>
              <w:top w:w="75" w:type="dxa"/>
              <w:start w:w="90" w:type="dxa"/>
              <w:bottom w:w="75" w:type="dxa"/>
              <w:end w:w="90" w:type="dxa"/>
            </w:tcMar>
            <w:vAlign w:val="center"/>
          </w:tcPr>
          <w:p>
            <w:pPr>
              <w:spacing w:after="0"/>
            </w:pPr>
            <w:r>
              <w:rPr>
                <w:rFonts w:ascii="Aptos" w:hAnsi="Aptos"/>
                <w:b/>
                <w:color w:val="FFFFFF"/>
                <w:sz w:val="15"/>
              </w:rPr>
              <w:t>Source</w:t>
            </w:r>
          </w:p>
        </w:tc>
        <w:tc>
          <w:tcPr>
            <w:tcW w:type="dxa" w:w="6998"/>
            <w:shd w:fill="1F4E79"/>
            <w:tcMar>
              <w:top w:w="75" w:type="dxa"/>
              <w:start w:w="90" w:type="dxa"/>
              <w:bottom w:w="75" w:type="dxa"/>
              <w:end w:w="90" w:type="dxa"/>
            </w:tcMar>
            <w:vAlign w:val="center"/>
          </w:tcPr>
          <w:p>
            <w:pPr>
              <w:spacing w:after="0"/>
            </w:pPr>
            <w:r>
              <w:rPr>
                <w:rFonts w:ascii="Aptos" w:hAnsi="Aptos"/>
                <w:b/>
                <w:color w:val="FFFFFF"/>
                <w:sz w:val="15"/>
              </w:rPr>
              <w:t>Immediate control / preservation method</w:t>
            </w:r>
          </w:p>
        </w:tc>
        <w:tc>
          <w:tcPr>
            <w:tcW w:type="dxa" w:w="1670"/>
            <w:shd w:fill="1F4E79"/>
            <w:tcMar>
              <w:top w:w="75" w:type="dxa"/>
              <w:start w:w="90" w:type="dxa"/>
              <w:bottom w:w="75" w:type="dxa"/>
              <w:end w:w="90" w:type="dxa"/>
            </w:tcMar>
            <w:vAlign w:val="center"/>
          </w:tcPr>
          <w:p>
            <w:pPr>
              <w:spacing w:after="0"/>
            </w:pPr>
            <w:r>
              <w:rPr>
                <w:rFonts w:ascii="Aptos" w:hAnsi="Aptos"/>
                <w:b/>
                <w:color w:val="FFFFFF"/>
                <w:sz w:val="15"/>
              </w:rPr>
              <w:t>Owner</w:t>
            </w:r>
          </w:p>
        </w:tc>
      </w:tr>
      <w:tr>
        <w:trPr>
          <w:cantSplit/>
        </w:trPr>
        <w:tc>
          <w:tcPr>
            <w:tcW w:type="dxa" w:w="1699"/>
            <w:tcMar>
              <w:top w:w="60" w:type="dxa"/>
              <w:start w:w="85" w:type="dxa"/>
              <w:bottom w:w="60" w:type="dxa"/>
              <w:end w:w="85" w:type="dxa"/>
            </w:tcMar>
            <w:vAlign w:val="top"/>
          </w:tcPr>
          <w:p>
            <w:pPr>
              <w:spacing w:after="0" w:line="240" w:lineRule="auto"/>
            </w:pPr>
            <w:r>
              <w:rPr>
                <w:rFonts w:ascii="Aptos" w:hAnsi="Aptos"/>
                <w:color w:val="202A35"/>
                <w:sz w:val="15"/>
              </w:rPr>
              <w:t>M365: Exchange, Teams, OneDrive, SharePoint</w:t>
            </w:r>
          </w:p>
        </w:tc>
        <w:tc>
          <w:tcPr>
            <w:tcW w:type="dxa" w:w="6998"/>
            <w:tcMar>
              <w:top w:w="60" w:type="dxa"/>
              <w:start w:w="85" w:type="dxa"/>
              <w:bottom w:w="60" w:type="dxa"/>
              <w:end w:w="85" w:type="dxa"/>
            </w:tcMar>
            <w:vAlign w:val="top"/>
          </w:tcPr>
          <w:p>
            <w:pPr>
              <w:spacing w:after="0" w:line="240" w:lineRule="auto"/>
            </w:pPr>
            <w:r>
              <w:rPr>
                <w:rFonts w:ascii="Aptos" w:hAnsi="Aptos"/>
                <w:color w:val="202A35"/>
                <w:sz w:val="15"/>
              </w:rPr>
              <w:t>Disable auto-purge; apply legal/eDiscovery holds to all identified mailboxes, OneDrive, SharePoint sites, shared mailboxes and Teams. Extend Teams retention; preserve headers, attachments, chat/channel metadata and deleted-item preservation. Verify policy exceptions and sample pre-2022 availability.</w:t>
            </w:r>
          </w:p>
        </w:tc>
        <w:tc>
          <w:tcPr>
            <w:tcW w:type="dxa" w:w="1670"/>
            <w:tcMar>
              <w:top w:w="60" w:type="dxa"/>
              <w:start w:w="85" w:type="dxa"/>
              <w:bottom w:w="60" w:type="dxa"/>
              <w:end w:w="85" w:type="dxa"/>
            </w:tcMar>
            <w:vAlign w:val="top"/>
          </w:tcPr>
          <w:p>
            <w:pPr>
              <w:spacing w:after="0" w:line="240" w:lineRule="auto"/>
            </w:pPr>
            <w:r>
              <w:rPr>
                <w:rFonts w:ascii="Aptos" w:hAnsi="Aptos"/>
                <w:color w:val="202A35"/>
                <w:sz w:val="15"/>
              </w:rPr>
              <w:t>Marcus Tilden; Legal verifies</w:t>
            </w:r>
          </w:p>
        </w:tc>
      </w:tr>
      <w:tr>
        <w:trPr>
          <w:cantSplit/>
        </w:trPr>
        <w:tc>
          <w:tcPr>
            <w:tcW w:type="dxa" w:w="1699"/>
            <w:tcMar>
              <w:top w:w="60" w:type="dxa"/>
              <w:start w:w="85" w:type="dxa"/>
              <w:bottom w:w="60" w:type="dxa"/>
              <w:end w:w="85" w:type="dxa"/>
            </w:tcMar>
            <w:vAlign w:val="top"/>
            <w:shd w:fill="F7F9FB"/>
          </w:tcPr>
          <w:p>
            <w:pPr>
              <w:spacing w:after="0" w:line="240" w:lineRule="auto"/>
            </w:pPr>
            <w:r>
              <w:rPr>
                <w:rFonts w:ascii="Aptos" w:hAnsi="Aptos"/>
                <w:color w:val="202A35"/>
                <w:sz w:val="15"/>
              </w:rPr>
              <w:t>SAP ECC 6.0 → S/4HANA</w:t>
            </w:r>
          </w:p>
        </w:tc>
        <w:tc>
          <w:tcPr>
            <w:tcW w:type="dxa" w:w="6998"/>
            <w:tcMar>
              <w:top w:w="60" w:type="dxa"/>
              <w:start w:w="85" w:type="dxa"/>
              <w:bottom w:w="60" w:type="dxa"/>
              <w:end w:w="85" w:type="dxa"/>
            </w:tcMar>
            <w:vAlign w:val="top"/>
            <w:shd w:fill="F7F9FB"/>
          </w:tcPr>
          <w:p>
            <w:pPr>
              <w:spacing w:after="0" w:line="240" w:lineRule="auto"/>
            </w:pPr>
            <w:r>
              <w:rPr>
                <w:rFonts w:ascii="Aptos" w:hAnsi="Aptos"/>
                <w:color w:val="202A35"/>
                <w:sz w:val="15"/>
              </w:rPr>
              <w:t>Written freeze/carve-out for KR-3000 records before dress rehearsal/cutover. Corestone + SAP Basis to create validated native/structured snapshot/export; include audit/change data, linked docs and attachment relations. Preserve ECC read-only. No ILM archive/decommission without completeness check and GC approval.</w:t>
            </w:r>
          </w:p>
        </w:tc>
        <w:tc>
          <w:tcPr>
            <w:tcW w:type="dxa" w:w="1670"/>
            <w:tcMar>
              <w:top w:w="60" w:type="dxa"/>
              <w:start w:w="85" w:type="dxa"/>
              <w:bottom w:w="60" w:type="dxa"/>
              <w:end w:w="85" w:type="dxa"/>
            </w:tcMar>
            <w:vAlign w:val="top"/>
            <w:shd w:fill="F7F9FB"/>
          </w:tcPr>
          <w:p>
            <w:pPr>
              <w:spacing w:after="0" w:line="240" w:lineRule="auto"/>
            </w:pPr>
            <w:r>
              <w:rPr>
                <w:rFonts w:ascii="Aptos" w:hAnsi="Aptos"/>
                <w:color w:val="202A35"/>
                <w:sz w:val="15"/>
              </w:rPr>
              <w:t>Tilden; Kowalski; Corestone</w:t>
            </w:r>
          </w:p>
        </w:tc>
      </w:tr>
      <w:tr>
        <w:trPr>
          <w:cantSplit/>
        </w:trPr>
        <w:tc>
          <w:tcPr>
            <w:tcW w:type="dxa" w:w="1699"/>
            <w:tcMar>
              <w:top w:w="60" w:type="dxa"/>
              <w:start w:w="85" w:type="dxa"/>
              <w:bottom w:w="60" w:type="dxa"/>
              <w:end w:w="85" w:type="dxa"/>
            </w:tcMar>
            <w:vAlign w:val="top"/>
          </w:tcPr>
          <w:p>
            <w:pPr>
              <w:spacing w:after="0" w:line="240" w:lineRule="auto"/>
            </w:pPr>
            <w:r>
              <w:rPr>
                <w:rFonts w:ascii="Aptos" w:hAnsi="Aptos"/>
                <w:color w:val="202A35"/>
                <w:sz w:val="15"/>
              </w:rPr>
              <w:t>Veeva Vault QMS / Submissions</w:t>
            </w:r>
          </w:p>
        </w:tc>
        <w:tc>
          <w:tcPr>
            <w:tcW w:type="dxa" w:w="6998"/>
            <w:tcMar>
              <w:top w:w="60" w:type="dxa"/>
              <w:start w:w="85" w:type="dxa"/>
              <w:bottom w:w="60" w:type="dxa"/>
              <w:end w:w="85" w:type="dxa"/>
            </w:tcMar>
            <w:vAlign w:val="top"/>
          </w:tcPr>
          <w:p>
            <w:pPr>
              <w:spacing w:after="0" w:line="240" w:lineRule="auto"/>
            </w:pPr>
            <w:r>
              <w:rPr>
                <w:rFonts w:ascii="Aptos" w:hAnsi="Aptos"/>
                <w:color w:val="202A35"/>
                <w:sz w:val="15"/>
              </w:rPr>
              <w:t>Suspend KR-3000 obsolescence, archival, and 180-day abandoned-draft purge under validated change control. Preserve all versions, audit trails, e-signatures, relationships and user permissions using Vault API/Loader or Veeva Professional Services—not PDFs alone. Retain Petrosian account data; transfer QMS admin.</w:t>
            </w:r>
          </w:p>
        </w:tc>
        <w:tc>
          <w:tcPr>
            <w:tcW w:type="dxa" w:w="1670"/>
            <w:tcMar>
              <w:top w:w="60" w:type="dxa"/>
              <w:start w:w="85" w:type="dxa"/>
              <w:bottom w:w="60" w:type="dxa"/>
              <w:end w:w="85" w:type="dxa"/>
            </w:tcMar>
            <w:vAlign w:val="top"/>
          </w:tcPr>
          <w:p>
            <w:pPr>
              <w:spacing w:after="0" w:line="240" w:lineRule="auto"/>
            </w:pPr>
            <w:r>
              <w:rPr>
                <w:rFonts w:ascii="Aptos" w:hAnsi="Aptos"/>
                <w:color w:val="202A35"/>
                <w:sz w:val="15"/>
              </w:rPr>
              <w:t>Petrosian; Braddock; Tilden; Veeva</w:t>
            </w:r>
          </w:p>
        </w:tc>
      </w:tr>
      <w:tr>
        <w:trPr>
          <w:cantSplit/>
        </w:trPr>
        <w:tc>
          <w:tcPr>
            <w:tcW w:type="dxa" w:w="1699"/>
            <w:tcMar>
              <w:top w:w="60" w:type="dxa"/>
              <w:start w:w="85" w:type="dxa"/>
              <w:bottom w:w="60" w:type="dxa"/>
              <w:end w:w="85" w:type="dxa"/>
            </w:tcMar>
            <w:vAlign w:val="top"/>
            <w:shd w:fill="F7F9FB"/>
          </w:tcPr>
          <w:p>
            <w:pPr>
              <w:spacing w:after="0" w:line="240" w:lineRule="auto"/>
            </w:pPr>
            <w:r>
              <w:rPr>
                <w:rFonts w:ascii="Aptos" w:hAnsi="Aptos"/>
                <w:color w:val="202A35"/>
                <w:sz w:val="15"/>
              </w:rPr>
              <w:t>R&amp;D share / SolidWorks PDM / network drives</w:t>
            </w:r>
          </w:p>
        </w:tc>
        <w:tc>
          <w:tcPr>
            <w:tcW w:type="dxa" w:w="6998"/>
            <w:tcMar>
              <w:top w:w="60" w:type="dxa"/>
              <w:start w:w="85" w:type="dxa"/>
              <w:bottom w:w="60" w:type="dxa"/>
              <w:end w:w="85" w:type="dxa"/>
            </w:tcMar>
            <w:vAlign w:val="top"/>
            <w:shd w:fill="F7F9FB"/>
          </w:tcPr>
          <w:p>
            <w:pPr>
              <w:spacing w:after="0" w:line="240" w:lineRule="auto"/>
            </w:pPr>
            <w:r>
              <w:rPr>
                <w:rFonts w:ascii="Aptos" w:hAnsi="Aptos"/>
                <w:color w:val="202A35"/>
                <w:sz w:val="15"/>
              </w:rPr>
              <w:t>Snapshot or forensic copy of entire KR-3000 folder and all subfolders; preserve file-system metadata and hashes. Backup PDM SQL database and archive to retain native CAD versions, check-in/out, ECO and approval history. Set access read-only or otherwise prevent deletion without interrupting work.</w:t>
            </w:r>
          </w:p>
        </w:tc>
        <w:tc>
          <w:tcPr>
            <w:tcW w:type="dxa" w:w="1670"/>
            <w:tcMar>
              <w:top w:w="60" w:type="dxa"/>
              <w:start w:w="85" w:type="dxa"/>
              <w:bottom w:w="60" w:type="dxa"/>
              <w:end w:w="85" w:type="dxa"/>
            </w:tcMar>
            <w:vAlign w:val="top"/>
            <w:shd w:fill="F7F9FB"/>
          </w:tcPr>
          <w:p>
            <w:pPr>
              <w:spacing w:after="0" w:line="240" w:lineRule="auto"/>
            </w:pPr>
            <w:r>
              <w:rPr>
                <w:rFonts w:ascii="Aptos" w:hAnsi="Aptos"/>
                <w:color w:val="202A35"/>
                <w:sz w:val="15"/>
              </w:rPr>
              <w:t>Huang; Tilden; Corestone</w:t>
            </w:r>
          </w:p>
        </w:tc>
      </w:tr>
      <w:tr>
        <w:trPr>
          <w:cantSplit/>
        </w:trPr>
        <w:tc>
          <w:tcPr>
            <w:tcW w:type="dxa" w:w="1699"/>
            <w:tcMar>
              <w:top w:w="60" w:type="dxa"/>
              <w:start w:w="85" w:type="dxa"/>
              <w:bottom w:w="60" w:type="dxa"/>
              <w:end w:w="85" w:type="dxa"/>
            </w:tcMar>
            <w:vAlign w:val="top"/>
          </w:tcPr>
          <w:p>
            <w:pPr>
              <w:spacing w:after="0" w:line="240" w:lineRule="auto"/>
            </w:pPr>
            <w:r>
              <w:rPr>
                <w:rFonts w:ascii="Aptos" w:hAnsi="Aptos"/>
                <w:color w:val="202A35"/>
                <w:sz w:val="15"/>
              </w:rPr>
              <w:t>Salesforce / VantagePulse</w:t>
            </w:r>
          </w:p>
        </w:tc>
        <w:tc>
          <w:tcPr>
            <w:tcW w:type="dxa" w:w="6998"/>
            <w:tcMar>
              <w:top w:w="60" w:type="dxa"/>
              <w:start w:w="85" w:type="dxa"/>
              <w:bottom w:w="60" w:type="dxa"/>
              <w:end w:w="85" w:type="dxa"/>
            </w:tcMar>
            <w:vAlign w:val="top"/>
          </w:tcPr>
          <w:p>
            <w:pPr>
              <w:spacing w:after="0" w:line="240" w:lineRule="auto"/>
            </w:pPr>
            <w:r>
              <w:rPr>
                <w:rFonts w:ascii="Aptos" w:hAnsi="Aptos"/>
                <w:color w:val="202A35"/>
                <w:sz w:val="15"/>
              </w:rPr>
              <w:t>Disable manual cleanup/deletion; export full relevant objects, attachments, metadata and audit fields (verify Shield/Field Audit Trail). Demand VantagePulse server preservation/export and retention facts; extract local app database/data from devices. Preserve API/back-end logs and available backups.</w:t>
            </w:r>
          </w:p>
        </w:tc>
        <w:tc>
          <w:tcPr>
            <w:tcW w:type="dxa" w:w="1670"/>
            <w:tcMar>
              <w:top w:w="60" w:type="dxa"/>
              <w:start w:w="85" w:type="dxa"/>
              <w:bottom w:w="60" w:type="dxa"/>
              <w:end w:w="85" w:type="dxa"/>
            </w:tcMar>
            <w:vAlign w:val="top"/>
          </w:tcPr>
          <w:p>
            <w:pPr>
              <w:spacing w:after="0" w:line="240" w:lineRule="auto"/>
            </w:pPr>
            <w:r>
              <w:rPr>
                <w:rFonts w:ascii="Aptos" w:hAnsi="Aptos"/>
                <w:color w:val="202A35"/>
                <w:sz w:val="15"/>
              </w:rPr>
              <w:t>Torrence; Tilden; app vendor</w:t>
            </w:r>
          </w:p>
        </w:tc>
      </w:tr>
      <w:tr>
        <w:trPr>
          <w:cantSplit/>
        </w:trPr>
        <w:tc>
          <w:tcPr>
            <w:tcW w:type="dxa" w:w="1699"/>
            <w:tcMar>
              <w:top w:w="60" w:type="dxa"/>
              <w:start w:w="85" w:type="dxa"/>
              <w:bottom w:w="60" w:type="dxa"/>
              <w:end w:w="85" w:type="dxa"/>
            </w:tcMar>
            <w:vAlign w:val="top"/>
            <w:shd w:fill="F7F9FB"/>
          </w:tcPr>
          <w:p>
            <w:pPr>
              <w:spacing w:after="0" w:line="240" w:lineRule="auto"/>
            </w:pPr>
            <w:r>
              <w:rPr>
                <w:rFonts w:ascii="Aptos" w:hAnsi="Aptos"/>
                <w:color w:val="202A35"/>
                <w:sz w:val="15"/>
              </w:rPr>
              <w:t>iPhones / SMS / WhatsApp / BYOD</w:t>
            </w:r>
          </w:p>
        </w:tc>
        <w:tc>
          <w:tcPr>
            <w:tcW w:type="dxa" w:w="6998"/>
            <w:tcMar>
              <w:top w:w="60" w:type="dxa"/>
              <w:start w:w="85" w:type="dxa"/>
              <w:bottom w:w="60" w:type="dxa"/>
              <w:end w:w="85" w:type="dxa"/>
            </w:tcMar>
            <w:vAlign w:val="top"/>
            <w:shd w:fill="F7F9FB"/>
          </w:tcPr>
          <w:p>
            <w:pPr>
              <w:spacing w:after="0" w:line="240" w:lineRule="auto"/>
            </w:pPr>
            <w:r>
              <w:rPr>
                <w:rFonts w:ascii="Aptos" w:hAnsi="Aptos"/>
                <w:color w:val="202A35"/>
                <w:sz w:val="15"/>
              </w:rPr>
              <w:t>Immediately stop all 30 refresh/wipes and all remote wipe commands; inventory serial/IMEI/user/territory; use forensic vendor for full native collection and hashes, prioritizing 30. Preserve remaining 55; prioritize 15–20 by Ohio/Florida named-plaintiff surgeon coverage, complaint geography and CRM interaction volume. BYOD questionnaire; targeted privacy-aware collection.</w:t>
            </w:r>
          </w:p>
        </w:tc>
        <w:tc>
          <w:tcPr>
            <w:tcW w:type="dxa" w:w="1670"/>
            <w:tcMar>
              <w:top w:w="60" w:type="dxa"/>
              <w:start w:w="85" w:type="dxa"/>
              <w:bottom w:w="60" w:type="dxa"/>
              <w:end w:w="85" w:type="dxa"/>
            </w:tcMar>
            <w:vAlign w:val="top"/>
            <w:shd w:fill="F7F9FB"/>
          </w:tcPr>
          <w:p>
            <w:pPr>
              <w:spacing w:after="0" w:line="240" w:lineRule="auto"/>
            </w:pPr>
            <w:r>
              <w:rPr>
                <w:rFonts w:ascii="Aptos" w:hAnsi="Aptos"/>
                <w:color w:val="202A35"/>
                <w:sz w:val="15"/>
              </w:rPr>
              <w:t>Tilden; Torrence; Legal; Corestone</w:t>
            </w:r>
          </w:p>
        </w:tc>
      </w:tr>
      <w:tr>
        <w:trPr>
          <w:cantSplit/>
        </w:trPr>
        <w:tc>
          <w:tcPr>
            <w:tcW w:type="dxa" w:w="1699"/>
            <w:tcMar>
              <w:top w:w="60" w:type="dxa"/>
              <w:start w:w="85" w:type="dxa"/>
              <w:bottom w:w="60" w:type="dxa"/>
              <w:end w:w="85" w:type="dxa"/>
            </w:tcMar>
            <w:vAlign w:val="top"/>
          </w:tcPr>
          <w:p>
            <w:pPr>
              <w:spacing w:after="0" w:line="240" w:lineRule="auto"/>
            </w:pPr>
            <w:r>
              <w:rPr>
                <w:rFonts w:ascii="Aptos" w:hAnsi="Aptos"/>
                <w:color w:val="202A35"/>
                <w:sz w:val="15"/>
              </w:rPr>
              <w:t>Physical records</w:t>
            </w:r>
          </w:p>
        </w:tc>
        <w:tc>
          <w:tcPr>
            <w:tcW w:type="dxa" w:w="6998"/>
            <w:tcMar>
              <w:top w:w="60" w:type="dxa"/>
              <w:start w:w="85" w:type="dxa"/>
              <w:bottom w:w="60" w:type="dxa"/>
              <w:end w:w="85" w:type="dxa"/>
            </w:tcMar>
            <w:vAlign w:val="top"/>
          </w:tcPr>
          <w:p>
            <w:pPr>
              <w:spacing w:after="0" w:line="240" w:lineRule="auto"/>
            </w:pPr>
            <w:r>
              <w:rPr>
                <w:rFonts w:ascii="Aptos" w:hAnsi="Aptos"/>
                <w:color w:val="202A35"/>
                <w:sz w:val="15"/>
              </w:rPr>
              <w:t>Inventory and secure approx. 14 Huang notebooks, batch travelers, signed quality/deviation records and related paper; preserve originals, signatures and annotations. Suspend July 1 Iron Mountain transfer/destruction of relevant material pending inventory and scan/chain-of-custody record.</w:t>
            </w:r>
          </w:p>
        </w:tc>
        <w:tc>
          <w:tcPr>
            <w:tcW w:type="dxa" w:w="1670"/>
            <w:tcMar>
              <w:top w:w="60" w:type="dxa"/>
              <w:start w:w="85" w:type="dxa"/>
              <w:bottom w:w="60" w:type="dxa"/>
              <w:end w:w="85" w:type="dxa"/>
            </w:tcMar>
            <w:vAlign w:val="top"/>
          </w:tcPr>
          <w:p>
            <w:pPr>
              <w:spacing w:after="0" w:line="240" w:lineRule="auto"/>
            </w:pPr>
            <w:r>
              <w:rPr>
                <w:rFonts w:ascii="Aptos" w:hAnsi="Aptos"/>
                <w:color w:val="202A35"/>
                <w:sz w:val="15"/>
              </w:rPr>
              <w:t>Huang; Kowalski; Petrosian; Document Control</w:t>
            </w:r>
          </w:p>
        </w:tc>
      </w:tr>
      <w:tr>
        <w:trPr>
          <w:cantSplit/>
        </w:trPr>
        <w:tc>
          <w:tcPr>
            <w:tcW w:type="dxa" w:w="1699"/>
            <w:tcMar>
              <w:top w:w="60" w:type="dxa"/>
              <w:start w:w="85" w:type="dxa"/>
              <w:bottom w:w="60" w:type="dxa"/>
              <w:end w:w="85" w:type="dxa"/>
            </w:tcMar>
            <w:vAlign w:val="top"/>
            <w:shd w:fill="F7F9FB"/>
          </w:tcPr>
          <w:p>
            <w:pPr>
              <w:spacing w:after="0" w:line="240" w:lineRule="auto"/>
            </w:pPr>
            <w:r>
              <w:rPr>
                <w:rFonts w:ascii="Aptos" w:hAnsi="Aptos"/>
                <w:color w:val="202A35"/>
                <w:sz w:val="15"/>
              </w:rPr>
              <w:t>Backup / DR tapes</w:t>
            </w:r>
          </w:p>
        </w:tc>
        <w:tc>
          <w:tcPr>
            <w:tcW w:type="dxa" w:w="6998"/>
            <w:tcMar>
              <w:top w:w="60" w:type="dxa"/>
              <w:start w:w="85" w:type="dxa"/>
              <w:bottom w:w="60" w:type="dxa"/>
              <w:end w:w="85" w:type="dxa"/>
            </w:tcMar>
            <w:vAlign w:val="top"/>
            <w:shd w:fill="F7F9FB"/>
          </w:tcPr>
          <w:p>
            <w:pPr>
              <w:spacing w:after="0" w:line="240" w:lineRule="auto"/>
            </w:pPr>
            <w:r>
              <w:rPr>
                <w:rFonts w:ascii="Aptos" w:hAnsi="Aptos"/>
                <w:color w:val="202A35"/>
                <w:sz w:val="15"/>
              </w:rPr>
              <w:t>Suspend rotation/overwrite/destruction of extant potentially relevant tapes; segregate/label; preserve Commvault catalogs, inventories, dates, locations and logs. Identify point-in-time copies of at-risk sources. Do not restore absent a demonstrated source gap; document accessibility/cost.</w:t>
            </w:r>
          </w:p>
        </w:tc>
        <w:tc>
          <w:tcPr>
            <w:tcW w:type="dxa" w:w="1670"/>
            <w:tcMar>
              <w:top w:w="60" w:type="dxa"/>
              <w:start w:w="85" w:type="dxa"/>
              <w:bottom w:w="60" w:type="dxa"/>
              <w:end w:w="85" w:type="dxa"/>
            </w:tcMar>
            <w:vAlign w:val="top"/>
            <w:shd w:fill="F7F9FB"/>
          </w:tcPr>
          <w:p>
            <w:pPr>
              <w:spacing w:after="0" w:line="240" w:lineRule="auto"/>
            </w:pPr>
            <w:r>
              <w:rPr>
                <w:rFonts w:ascii="Aptos" w:hAnsi="Aptos"/>
                <w:color w:val="202A35"/>
                <w:sz w:val="15"/>
              </w:rPr>
              <w:t>Tilden; IT backup admins</w:t>
            </w:r>
          </w:p>
        </w:tc>
      </w:tr>
      <w:tr>
        <w:trPr>
          <w:cantSplit/>
        </w:trPr>
        <w:tc>
          <w:tcPr>
            <w:tcW w:type="dxa" w:w="1699"/>
            <w:tcMar>
              <w:top w:w="60" w:type="dxa"/>
              <w:start w:w="85" w:type="dxa"/>
              <w:bottom w:w="60" w:type="dxa"/>
              <w:end w:w="85" w:type="dxa"/>
            </w:tcMar>
            <w:vAlign w:val="top"/>
          </w:tcPr>
          <w:p>
            <w:pPr>
              <w:spacing w:after="0" w:line="240" w:lineRule="auto"/>
            </w:pPr>
            <w:r>
              <w:rPr>
                <w:rFonts w:ascii="Aptos" w:hAnsi="Aptos"/>
                <w:color w:val="202A35"/>
                <w:sz w:val="15"/>
              </w:rPr>
              <w:t>Ashford Precision Components</w:t>
            </w:r>
          </w:p>
        </w:tc>
        <w:tc>
          <w:tcPr>
            <w:tcW w:type="dxa" w:w="6998"/>
            <w:tcMar>
              <w:top w:w="60" w:type="dxa"/>
              <w:start w:w="85" w:type="dxa"/>
              <w:bottom w:w="60" w:type="dxa"/>
              <w:end w:w="85" w:type="dxa"/>
            </w:tcMar>
            <w:vAlign w:val="top"/>
          </w:tcPr>
          <w:p>
            <w:pPr>
              <w:spacing w:after="0" w:line="240" w:lineRule="auto"/>
            </w:pPr>
            <w:r>
              <w:rPr>
                <w:rFonts w:ascii="Aptos" w:hAnsi="Aptos"/>
                <w:color w:val="202A35"/>
                <w:sz w:val="15"/>
              </w:rPr>
              <w:t>Demand native-format preservation of batches, certifications, process validation, incoming/in-process/final inspection, CAPA/nonconformance, audit and Vantage communications; confirm written hold and impending deletion schedule. Exercise Quality Agreement QA-2017-0044 rights; escalate to subpoena/Rule 45 if noncooperation.</w:t>
            </w:r>
          </w:p>
        </w:tc>
        <w:tc>
          <w:tcPr>
            <w:tcW w:type="dxa" w:w="1670"/>
            <w:tcMar>
              <w:top w:w="60" w:type="dxa"/>
              <w:start w:w="85" w:type="dxa"/>
              <w:bottom w:w="60" w:type="dxa"/>
              <w:end w:w="85" w:type="dxa"/>
            </w:tcMar>
            <w:vAlign w:val="top"/>
          </w:tcPr>
          <w:p>
            <w:pPr>
              <w:spacing w:after="0" w:line="240" w:lineRule="auto"/>
            </w:pPr>
            <w:r>
              <w:rPr>
                <w:rFonts w:ascii="Aptos" w:hAnsi="Aptos"/>
                <w:color w:val="202A35"/>
                <w:sz w:val="15"/>
              </w:rPr>
              <w:t>Legal / outside counsel; Kowalski</w:t>
            </w:r>
          </w:p>
        </w:tc>
      </w:tr>
      <w:tr>
        <w:trPr>
          <w:cantSplit/>
        </w:trPr>
        <w:tc>
          <w:tcPr>
            <w:tcW w:type="dxa" w:w="1699"/>
            <w:tcMar>
              <w:top w:w="60" w:type="dxa"/>
              <w:start w:w="85" w:type="dxa"/>
              <w:bottom w:w="60" w:type="dxa"/>
              <w:end w:w="85" w:type="dxa"/>
            </w:tcMar>
            <w:vAlign w:val="top"/>
            <w:shd w:fill="F7F9FB"/>
          </w:tcPr>
          <w:p>
            <w:pPr>
              <w:spacing w:after="0" w:line="240" w:lineRule="auto"/>
            </w:pPr>
            <w:r>
              <w:rPr>
                <w:rFonts w:ascii="Aptos" w:hAnsi="Aptos"/>
                <w:color w:val="202A35"/>
                <w:sz w:val="15"/>
              </w:rPr>
              <w:t>Personal devices/accounts</w:t>
            </w:r>
          </w:p>
        </w:tc>
        <w:tc>
          <w:tcPr>
            <w:tcW w:type="dxa" w:w="6998"/>
            <w:tcMar>
              <w:top w:w="60" w:type="dxa"/>
              <w:start w:w="85" w:type="dxa"/>
              <w:bottom w:w="60" w:type="dxa"/>
              <w:end w:w="85" w:type="dxa"/>
            </w:tcMar>
            <w:vAlign w:val="top"/>
            <w:shd w:fill="F7F9FB"/>
          </w:tcPr>
          <w:p>
            <w:pPr>
              <w:spacing w:after="0" w:line="240" w:lineRule="auto"/>
            </w:pPr>
            <w:r>
              <w:rPr>
                <w:rFonts w:ascii="Aptos" w:hAnsi="Aptos"/>
                <w:color w:val="202A35"/>
                <w:sz w:val="15"/>
              </w:rPr>
              <w:t>Ask all custodians about work communications on personal devices/accounts/cloud; prioritize Suresh, Petrosian, Torrence, executive custodians and all reps. Preserve relevant business content; arrange consent-based, targeted collection with filters/protocol to avoid unrelated private content.</w:t>
            </w:r>
          </w:p>
        </w:tc>
        <w:tc>
          <w:tcPr>
            <w:tcW w:type="dxa" w:w="1670"/>
            <w:tcMar>
              <w:top w:w="60" w:type="dxa"/>
              <w:start w:w="85" w:type="dxa"/>
              <w:bottom w:w="60" w:type="dxa"/>
              <w:end w:w="85" w:type="dxa"/>
            </w:tcMar>
            <w:vAlign w:val="top"/>
            <w:shd w:fill="F7F9FB"/>
          </w:tcPr>
          <w:p>
            <w:pPr>
              <w:spacing w:after="0" w:line="240" w:lineRule="auto"/>
            </w:pPr>
            <w:r>
              <w:rPr>
                <w:rFonts w:ascii="Aptos" w:hAnsi="Aptos"/>
                <w:color w:val="202A35"/>
                <w:sz w:val="15"/>
              </w:rPr>
              <w:t>Legal; HR; custodians</w:t>
            </w:r>
          </w:p>
        </w:tc>
      </w:tr>
    </w:tbl>
    <w:p>
      <w:pPr>
        <w:spacing w:after="0"/>
      </w:pPr>
    </w:p>
    <w:p>
      <w:pPr>
        <w:pStyle w:val="Heading1"/>
      </w:pPr>
      <w:r>
        <w:t>5. Action register and deadlines</w:t>
      </w:r>
    </w:p>
    <w:p>
      <w:r>
        <w:t>The deadlines below are internal control targets. If an action cannot be completed on time, the owner must notify the General Counsel before the deadline, explain the risk and interim safeguard, and obtain written direction. No routine business deadline authorizes destruction of held data.</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55"/>
            <w:shd w:fill="1F4E79"/>
            <w:tcMar>
              <w:top w:w="75" w:type="dxa"/>
              <w:start w:w="90" w:type="dxa"/>
              <w:bottom w:w="75" w:type="dxa"/>
              <w:end w:w="90" w:type="dxa"/>
            </w:tcMar>
            <w:vAlign w:val="center"/>
          </w:tcPr>
          <w:p>
            <w:pPr>
              <w:spacing w:after="0"/>
            </w:pPr>
            <w:r>
              <w:rPr>
                <w:rFonts w:ascii="Aptos" w:hAnsi="Aptos"/>
                <w:b/>
                <w:color w:val="FFFFFF"/>
                <w:sz w:val="14"/>
              </w:rPr>
              <w:t>Due</w:t>
            </w:r>
          </w:p>
        </w:tc>
        <w:tc>
          <w:tcPr>
            <w:tcW w:type="dxa" w:w="7272"/>
            <w:shd w:fill="1F4E79"/>
            <w:tcMar>
              <w:top w:w="75" w:type="dxa"/>
              <w:start w:w="90" w:type="dxa"/>
              <w:bottom w:w="75" w:type="dxa"/>
              <w:end w:w="90" w:type="dxa"/>
            </w:tcMar>
            <w:vAlign w:val="center"/>
          </w:tcPr>
          <w:p>
            <w:pPr>
              <w:spacing w:after="0"/>
            </w:pPr>
            <w:r>
              <w:rPr>
                <w:rFonts w:ascii="Aptos" w:hAnsi="Aptos"/>
                <w:b/>
                <w:color w:val="FFFFFF"/>
                <w:sz w:val="14"/>
              </w:rPr>
              <w:t>Action / completion evidence</w:t>
            </w:r>
          </w:p>
        </w:tc>
        <w:tc>
          <w:tcPr>
            <w:tcW w:type="dxa" w:w="1540"/>
            <w:shd w:fill="1F4E79"/>
            <w:tcMar>
              <w:top w:w="75" w:type="dxa"/>
              <w:start w:w="90" w:type="dxa"/>
              <w:bottom w:w="75" w:type="dxa"/>
              <w:end w:w="90" w:type="dxa"/>
            </w:tcMar>
            <w:vAlign w:val="center"/>
          </w:tcPr>
          <w:p>
            <w:pPr>
              <w:spacing w:after="0"/>
            </w:pPr>
            <w:r>
              <w:rPr>
                <w:rFonts w:ascii="Aptos" w:hAnsi="Aptos"/>
                <w:b/>
                <w:color w:val="FFFFFF"/>
                <w:sz w:val="14"/>
              </w:rPr>
              <w:t>Accountable</w:t>
            </w:r>
          </w:p>
        </w:tc>
      </w:tr>
      <w:tr>
        <w:trPr>
          <w:cantSplit/>
        </w:trPr>
        <w:tc>
          <w:tcPr>
            <w:tcW w:type="dxa" w:w="1555"/>
            <w:tcMar>
              <w:top w:w="60" w:type="dxa"/>
              <w:start w:w="85" w:type="dxa"/>
              <w:bottom w:w="60" w:type="dxa"/>
              <w:end w:w="85" w:type="dxa"/>
            </w:tcMar>
            <w:vAlign w:val="top"/>
          </w:tcPr>
          <w:p>
            <w:pPr>
              <w:spacing w:after="0" w:line="240" w:lineRule="auto"/>
            </w:pPr>
            <w:r>
              <w:rPr>
                <w:rFonts w:ascii="Aptos" w:hAnsi="Aptos"/>
                <w:color w:val="202A35"/>
                <w:sz w:val="14"/>
              </w:rPr>
              <w:t>June 2</w:t>
            </w:r>
          </w:p>
        </w:tc>
        <w:tc>
          <w:tcPr>
            <w:tcW w:type="dxa" w:w="7272"/>
            <w:tcMar>
              <w:top w:w="60" w:type="dxa"/>
              <w:start w:w="85" w:type="dxa"/>
              <w:bottom w:w="60" w:type="dxa"/>
              <w:end w:w="85" w:type="dxa"/>
            </w:tcMar>
            <w:vAlign w:val="top"/>
          </w:tcPr>
          <w:p>
            <w:pPr>
              <w:spacing w:after="0" w:line="240" w:lineRule="auto"/>
            </w:pPr>
            <w:r>
              <w:rPr>
                <w:rFonts w:ascii="Aptos" w:hAnsi="Aptos"/>
                <w:color w:val="202A35"/>
                <w:sz w:val="14"/>
              </w:rPr>
              <w:t>Issue hold to custodians and all 85 field reps; create distribution/acknowledgment log and confidential hold file.</w:t>
            </w:r>
          </w:p>
        </w:tc>
        <w:tc>
          <w:tcPr>
            <w:tcW w:type="dxa" w:w="1540"/>
            <w:tcMar>
              <w:top w:w="60" w:type="dxa"/>
              <w:start w:w="85" w:type="dxa"/>
              <w:bottom w:w="60" w:type="dxa"/>
              <w:end w:w="85" w:type="dxa"/>
            </w:tcMar>
            <w:vAlign w:val="top"/>
          </w:tcPr>
          <w:p>
            <w:pPr>
              <w:spacing w:after="0" w:line="240" w:lineRule="auto"/>
            </w:pPr>
            <w:r>
              <w:rPr>
                <w:rFonts w:ascii="Aptos" w:hAnsi="Aptos"/>
                <w:color w:val="202A35"/>
                <w:sz w:val="14"/>
              </w:rPr>
              <w:t>Chandrasekaran; HR; Torrence</w:t>
            </w:r>
          </w:p>
        </w:tc>
      </w:tr>
      <w:tr>
        <w:trPr>
          <w:cantSplit/>
        </w:trPr>
        <w:tc>
          <w:tcPr>
            <w:tcW w:type="dxa" w:w="1555"/>
            <w:tcMar>
              <w:top w:w="60" w:type="dxa"/>
              <w:start w:w="85" w:type="dxa"/>
              <w:bottom w:w="60" w:type="dxa"/>
              <w:end w:w="85" w:type="dxa"/>
            </w:tcMar>
            <w:vAlign w:val="top"/>
            <w:shd w:fill="F7F9FB"/>
          </w:tcPr>
          <w:p>
            <w:pPr>
              <w:spacing w:after="0" w:line="240" w:lineRule="auto"/>
            </w:pPr>
            <w:r>
              <w:rPr>
                <w:rFonts w:ascii="Aptos" w:hAnsi="Aptos"/>
                <w:color w:val="202A35"/>
                <w:sz w:val="14"/>
              </w:rPr>
              <w:t>Within 24 hrs of hold (target June 3)</w:t>
            </w:r>
          </w:p>
        </w:tc>
        <w:tc>
          <w:tcPr>
            <w:tcW w:type="dxa" w:w="7272"/>
            <w:tcMar>
              <w:top w:w="60" w:type="dxa"/>
              <w:start w:w="85" w:type="dxa"/>
              <w:bottom w:w="60" w:type="dxa"/>
              <w:end w:w="85" w:type="dxa"/>
            </w:tcMar>
            <w:vAlign w:val="top"/>
            <w:shd w:fill="F7F9FB"/>
          </w:tcPr>
          <w:p>
            <w:pPr>
              <w:spacing w:after="0" w:line="240" w:lineRule="auto"/>
            </w:pPr>
            <w:r>
              <w:rPr>
                <w:rFonts w:ascii="Aptos" w:hAnsi="Aptos"/>
                <w:color w:val="202A35"/>
                <w:sz w:val="14"/>
              </w:rPr>
              <w:t>Disable M365 email/Teams purges, apply holds, preserve relevant shared mailboxes/sites; suspend Veeva draft purge, device wipe/refresh and covered migration/archival. IT written certification/screenshots.</w:t>
            </w:r>
          </w:p>
        </w:tc>
        <w:tc>
          <w:tcPr>
            <w:tcW w:type="dxa" w:w="1540"/>
            <w:tcMar>
              <w:top w:w="60" w:type="dxa"/>
              <w:start w:w="85" w:type="dxa"/>
              <w:bottom w:w="60" w:type="dxa"/>
              <w:end w:w="85" w:type="dxa"/>
            </w:tcMar>
            <w:vAlign w:val="top"/>
            <w:shd w:fill="F7F9FB"/>
          </w:tcPr>
          <w:p>
            <w:pPr>
              <w:spacing w:after="0" w:line="240" w:lineRule="auto"/>
            </w:pPr>
            <w:r>
              <w:rPr>
                <w:rFonts w:ascii="Aptos" w:hAnsi="Aptos"/>
                <w:color w:val="202A35"/>
                <w:sz w:val="14"/>
              </w:rPr>
              <w:t>Tilden; system owners</w:t>
            </w:r>
          </w:p>
        </w:tc>
      </w:tr>
      <w:tr>
        <w:trPr>
          <w:cantSplit/>
        </w:trPr>
        <w:tc>
          <w:tcPr>
            <w:tcW w:type="dxa" w:w="1555"/>
            <w:tcMar>
              <w:top w:w="60" w:type="dxa"/>
              <w:start w:w="85" w:type="dxa"/>
              <w:bottom w:w="60" w:type="dxa"/>
              <w:end w:w="85" w:type="dxa"/>
            </w:tcMar>
            <w:vAlign w:val="top"/>
          </w:tcPr>
          <w:p>
            <w:pPr>
              <w:spacing w:after="0" w:line="240" w:lineRule="auto"/>
            </w:pPr>
            <w:r>
              <w:rPr>
                <w:rFonts w:ascii="Aptos" w:hAnsi="Aptos"/>
                <w:color w:val="202A35"/>
                <w:sz w:val="14"/>
              </w:rPr>
              <w:t>June 3–4</w:t>
            </w:r>
          </w:p>
        </w:tc>
        <w:tc>
          <w:tcPr>
            <w:tcW w:type="dxa" w:w="7272"/>
            <w:tcMar>
              <w:top w:w="60" w:type="dxa"/>
              <w:start w:w="85" w:type="dxa"/>
              <w:bottom w:w="60" w:type="dxa"/>
              <w:end w:w="85" w:type="dxa"/>
            </w:tcMar>
            <w:vAlign w:val="top"/>
          </w:tcPr>
          <w:p>
            <w:pPr>
              <w:spacing w:after="0" w:line="240" w:lineRule="auto"/>
            </w:pPr>
            <w:r>
              <w:rPr>
                <w:rFonts w:ascii="Aptos" w:hAnsi="Aptos"/>
                <w:color w:val="202A35"/>
                <w:sz w:val="14"/>
              </w:rPr>
              <w:t>Preservation meeting with Legal, IT, Manufacturing, HR, Sales, QA/Regulatory and outside counsel; assign owners and daily/48-hour status reports through June 20.</w:t>
            </w:r>
          </w:p>
        </w:tc>
        <w:tc>
          <w:tcPr>
            <w:tcW w:type="dxa" w:w="1540"/>
            <w:tcMar>
              <w:top w:w="60" w:type="dxa"/>
              <w:start w:w="85" w:type="dxa"/>
              <w:bottom w:w="60" w:type="dxa"/>
              <w:end w:w="85" w:type="dxa"/>
            </w:tcMar>
            <w:vAlign w:val="top"/>
          </w:tcPr>
          <w:p>
            <w:pPr>
              <w:spacing w:after="0" w:line="240" w:lineRule="auto"/>
            </w:pPr>
            <w:r>
              <w:rPr>
                <w:rFonts w:ascii="Aptos" w:hAnsi="Aptos"/>
                <w:color w:val="202A35"/>
                <w:sz w:val="14"/>
              </w:rPr>
              <w:t>Chandrasekaran; Prichard</w:t>
            </w:r>
          </w:p>
        </w:tc>
      </w:tr>
      <w:tr>
        <w:trPr>
          <w:cantSplit/>
        </w:trPr>
        <w:tc>
          <w:tcPr>
            <w:tcW w:type="dxa" w:w="1555"/>
            <w:tcMar>
              <w:top w:w="60" w:type="dxa"/>
              <w:start w:w="85" w:type="dxa"/>
              <w:bottom w:w="60" w:type="dxa"/>
              <w:end w:w="85" w:type="dxa"/>
            </w:tcMar>
            <w:vAlign w:val="top"/>
            <w:shd w:fill="F7F9FB"/>
          </w:tcPr>
          <w:p>
            <w:pPr>
              <w:spacing w:after="0" w:line="240" w:lineRule="auto"/>
            </w:pPr>
            <w:r>
              <w:rPr>
                <w:rFonts w:ascii="Aptos" w:hAnsi="Aptos"/>
                <w:color w:val="202A35"/>
                <w:sz w:val="14"/>
              </w:rPr>
              <w:t>June 6</w:t>
            </w:r>
          </w:p>
        </w:tc>
        <w:tc>
          <w:tcPr>
            <w:tcW w:type="dxa" w:w="7272"/>
            <w:tcMar>
              <w:top w:w="60" w:type="dxa"/>
              <w:start w:w="85" w:type="dxa"/>
              <w:bottom w:w="60" w:type="dxa"/>
              <w:end w:w="85" w:type="dxa"/>
            </w:tcMar>
            <w:vAlign w:val="top"/>
            <w:shd w:fill="F7F9FB"/>
          </w:tcPr>
          <w:p>
            <w:pPr>
              <w:spacing w:after="0" w:line="240" w:lineRule="auto"/>
            </w:pPr>
            <w:r>
              <w:rPr>
                <w:rFonts w:ascii="Aptos" w:hAnsi="Aptos"/>
                <w:color w:val="202A35"/>
                <w:sz w:val="14"/>
              </w:rPr>
              <w:t>Issue Ashford preservation demand by email + certified mail; request confirmation. Send VantagePulse demand. Book Corestone; send IT written SAP freeze/carve-out; initiate Petrosian imaging and 30-phone logistics.</w:t>
            </w:r>
          </w:p>
        </w:tc>
        <w:tc>
          <w:tcPr>
            <w:tcW w:type="dxa" w:w="1540"/>
            <w:tcMar>
              <w:top w:w="60" w:type="dxa"/>
              <w:start w:w="85" w:type="dxa"/>
              <w:bottom w:w="60" w:type="dxa"/>
              <w:end w:w="85" w:type="dxa"/>
            </w:tcMar>
            <w:vAlign w:val="top"/>
            <w:shd w:fill="F7F9FB"/>
          </w:tcPr>
          <w:p>
            <w:pPr>
              <w:spacing w:after="0" w:line="240" w:lineRule="auto"/>
            </w:pPr>
            <w:r>
              <w:rPr>
                <w:rFonts w:ascii="Aptos" w:hAnsi="Aptos"/>
                <w:color w:val="202A35"/>
                <w:sz w:val="14"/>
              </w:rPr>
              <w:t>Prichard / Legal; Kowalski; Tilden</w:t>
            </w:r>
          </w:p>
        </w:tc>
      </w:tr>
      <w:tr>
        <w:trPr>
          <w:cantSplit/>
        </w:trPr>
        <w:tc>
          <w:tcPr>
            <w:tcW w:type="dxa" w:w="1555"/>
            <w:tcMar>
              <w:top w:w="60" w:type="dxa"/>
              <w:start w:w="85" w:type="dxa"/>
              <w:bottom w:w="60" w:type="dxa"/>
              <w:end w:w="85" w:type="dxa"/>
            </w:tcMar>
            <w:vAlign w:val="top"/>
          </w:tcPr>
          <w:p>
            <w:pPr>
              <w:spacing w:after="0" w:line="240" w:lineRule="auto"/>
            </w:pPr>
            <w:r>
              <w:rPr>
                <w:rFonts w:ascii="Aptos" w:hAnsi="Aptos"/>
                <w:color w:val="202A35"/>
                <w:sz w:val="14"/>
              </w:rPr>
              <w:t>June 9</w:t>
            </w:r>
          </w:p>
        </w:tc>
        <w:tc>
          <w:tcPr>
            <w:tcW w:type="dxa" w:w="7272"/>
            <w:tcMar>
              <w:top w:w="60" w:type="dxa"/>
              <w:start w:w="85" w:type="dxa"/>
              <w:bottom w:w="60" w:type="dxa"/>
              <w:end w:w="85" w:type="dxa"/>
            </w:tcMar>
            <w:vAlign w:val="top"/>
          </w:tcPr>
          <w:p>
            <w:pPr>
              <w:spacing w:after="0" w:line="240" w:lineRule="auto"/>
            </w:pPr>
            <w:r>
              <w:rPr>
                <w:rFonts w:ascii="Aptos" w:hAnsi="Aptos"/>
                <w:color w:val="202A35"/>
                <w:sz w:val="14"/>
              </w:rPr>
              <w:t>Custodian acknowledgments and BYOD/source questionnaire due; follow up with nonresponders; identify additional custodians. Confirm Veeva workflow holds and names of QMS successor.</w:t>
            </w:r>
          </w:p>
        </w:tc>
        <w:tc>
          <w:tcPr>
            <w:tcW w:type="dxa" w:w="1540"/>
            <w:tcMar>
              <w:top w:w="60" w:type="dxa"/>
              <w:start w:w="85" w:type="dxa"/>
              <w:bottom w:w="60" w:type="dxa"/>
              <w:end w:w="85" w:type="dxa"/>
            </w:tcMar>
            <w:vAlign w:val="top"/>
          </w:tcPr>
          <w:p>
            <w:pPr>
              <w:spacing w:after="0" w:line="240" w:lineRule="auto"/>
            </w:pPr>
            <w:r>
              <w:rPr>
                <w:rFonts w:ascii="Aptos" w:hAnsi="Aptos"/>
                <w:color w:val="202A35"/>
                <w:sz w:val="14"/>
              </w:rPr>
              <w:t>Legal; HR; department heads</w:t>
            </w:r>
          </w:p>
        </w:tc>
      </w:tr>
      <w:tr>
        <w:trPr>
          <w:cantSplit/>
        </w:trPr>
        <w:tc>
          <w:tcPr>
            <w:tcW w:type="dxa" w:w="1555"/>
            <w:tcMar>
              <w:top w:w="60" w:type="dxa"/>
              <w:start w:w="85" w:type="dxa"/>
              <w:bottom w:w="60" w:type="dxa"/>
              <w:end w:w="85" w:type="dxa"/>
            </w:tcMar>
            <w:vAlign w:val="top"/>
            <w:shd w:fill="F7F9FB"/>
          </w:tcPr>
          <w:p>
            <w:pPr>
              <w:spacing w:after="0" w:line="240" w:lineRule="auto"/>
            </w:pPr>
            <w:r>
              <w:rPr>
                <w:rFonts w:ascii="Aptos" w:hAnsi="Aptos"/>
                <w:color w:val="202A35"/>
                <w:sz w:val="14"/>
              </w:rPr>
              <w:t>By June 13</w:t>
            </w:r>
          </w:p>
        </w:tc>
        <w:tc>
          <w:tcPr>
            <w:tcW w:type="dxa" w:w="7272"/>
            <w:tcMar>
              <w:top w:w="60" w:type="dxa"/>
              <w:start w:w="85" w:type="dxa"/>
              <w:bottom w:w="60" w:type="dxa"/>
              <w:end w:w="85" w:type="dxa"/>
            </w:tcMar>
            <w:vAlign w:val="top"/>
            <w:shd w:fill="F7F9FB"/>
          </w:tcPr>
          <w:p>
            <w:pPr>
              <w:spacing w:after="0" w:line="240" w:lineRule="auto"/>
            </w:pPr>
            <w:r>
              <w:rPr>
                <w:rFonts w:ascii="Aptos" w:hAnsi="Aptos"/>
                <w:color w:val="202A35"/>
                <w:sz w:val="14"/>
              </w:rPr>
              <w:t>Complete Petrosian laptop/portable-media forensic imaging (preferred one-week buffer); preserve home/QA drives. Confirm M365 and Veeva data/audit trail remain available, mailbox on legal hold, and transition certification/interview.</w:t>
            </w:r>
          </w:p>
        </w:tc>
        <w:tc>
          <w:tcPr>
            <w:tcW w:type="dxa" w:w="1540"/>
            <w:tcMar>
              <w:top w:w="60" w:type="dxa"/>
              <w:start w:w="85" w:type="dxa"/>
              <w:bottom w:w="60" w:type="dxa"/>
              <w:end w:w="85" w:type="dxa"/>
            </w:tcMar>
            <w:vAlign w:val="top"/>
            <w:shd w:fill="F7F9FB"/>
          </w:tcPr>
          <w:p>
            <w:pPr>
              <w:spacing w:after="0" w:line="240" w:lineRule="auto"/>
            </w:pPr>
            <w:r>
              <w:rPr>
                <w:rFonts w:ascii="Aptos" w:hAnsi="Aptos"/>
                <w:color w:val="202A35"/>
                <w:sz w:val="14"/>
              </w:rPr>
              <w:t>Tilden; Corestone; Waverly; Legal</w:t>
            </w:r>
          </w:p>
        </w:tc>
      </w:tr>
      <w:tr>
        <w:trPr>
          <w:cantSplit/>
        </w:trPr>
        <w:tc>
          <w:tcPr>
            <w:tcW w:type="dxa" w:w="1555"/>
            <w:tcMar>
              <w:top w:w="60" w:type="dxa"/>
              <w:start w:w="85" w:type="dxa"/>
              <w:bottom w:w="60" w:type="dxa"/>
              <w:end w:w="85" w:type="dxa"/>
            </w:tcMar>
            <w:vAlign w:val="top"/>
          </w:tcPr>
          <w:p>
            <w:pPr>
              <w:spacing w:after="0" w:line="240" w:lineRule="auto"/>
            </w:pPr>
            <w:r>
              <w:rPr>
                <w:rFonts w:ascii="Aptos" w:hAnsi="Aptos"/>
                <w:color w:val="202A35"/>
                <w:sz w:val="14"/>
              </w:rPr>
              <w:t>By June 14; before relevant migration activity</w:t>
            </w:r>
          </w:p>
        </w:tc>
        <w:tc>
          <w:tcPr>
            <w:tcW w:type="dxa" w:w="7272"/>
            <w:tcMar>
              <w:top w:w="60" w:type="dxa"/>
              <w:start w:w="85" w:type="dxa"/>
              <w:bottom w:w="60" w:type="dxa"/>
              <w:end w:w="85" w:type="dxa"/>
            </w:tcMar>
            <w:vAlign w:val="top"/>
          </w:tcPr>
          <w:p>
            <w:pPr>
              <w:spacing w:after="0" w:line="240" w:lineRule="auto"/>
            </w:pPr>
            <w:r>
              <w:rPr>
                <w:rFonts w:ascii="Aptos" w:hAnsi="Aptos"/>
                <w:color w:val="202A35"/>
                <w:sz w:val="14"/>
              </w:rPr>
              <w:t>Complete and validate KR-3000 SAP ECC image/export; confirm completeness and hashes, audit/change history and linked items. June 16 go-live may proceed only if relevant source data is protected and preserved under GC-approved plan.</w:t>
            </w:r>
          </w:p>
        </w:tc>
        <w:tc>
          <w:tcPr>
            <w:tcW w:type="dxa" w:w="1540"/>
            <w:tcMar>
              <w:top w:w="60" w:type="dxa"/>
              <w:start w:w="85" w:type="dxa"/>
              <w:bottom w:w="60" w:type="dxa"/>
              <w:end w:w="85" w:type="dxa"/>
            </w:tcMar>
            <w:vAlign w:val="top"/>
          </w:tcPr>
          <w:p>
            <w:pPr>
              <w:spacing w:after="0" w:line="240" w:lineRule="auto"/>
            </w:pPr>
            <w:r>
              <w:rPr>
                <w:rFonts w:ascii="Aptos" w:hAnsi="Aptos"/>
                <w:color w:val="202A35"/>
                <w:sz w:val="14"/>
              </w:rPr>
              <w:t>Tilden; Kowalski; SAP Basis; Corestone</w:t>
            </w:r>
          </w:p>
        </w:tc>
      </w:tr>
      <w:tr>
        <w:trPr>
          <w:cantSplit/>
        </w:trPr>
        <w:tc>
          <w:tcPr>
            <w:tcW w:type="dxa" w:w="1555"/>
            <w:tcMar>
              <w:top w:w="60" w:type="dxa"/>
              <w:start w:w="85" w:type="dxa"/>
              <w:bottom w:w="60" w:type="dxa"/>
              <w:end w:w="85" w:type="dxa"/>
            </w:tcMar>
            <w:vAlign w:val="top"/>
            <w:shd w:fill="F7F9FB"/>
          </w:tcPr>
          <w:p>
            <w:pPr>
              <w:spacing w:after="0" w:line="240" w:lineRule="auto"/>
            </w:pPr>
            <w:r>
              <w:rPr>
                <w:rFonts w:ascii="Aptos" w:hAnsi="Aptos"/>
                <w:color w:val="202A35"/>
                <w:sz w:val="14"/>
              </w:rPr>
              <w:t>June 16–18 target; no later than June 20</w:t>
            </w:r>
          </w:p>
        </w:tc>
        <w:tc>
          <w:tcPr>
            <w:tcW w:type="dxa" w:w="7272"/>
            <w:tcMar>
              <w:top w:w="60" w:type="dxa"/>
              <w:start w:w="85" w:type="dxa"/>
              <w:bottom w:w="60" w:type="dxa"/>
              <w:end w:w="85" w:type="dxa"/>
            </w:tcMar>
            <w:vAlign w:val="top"/>
            <w:shd w:fill="F7F9FB"/>
          </w:tcPr>
          <w:p>
            <w:pPr>
              <w:spacing w:after="0" w:line="240" w:lineRule="auto"/>
            </w:pPr>
            <w:r>
              <w:rPr>
                <w:rFonts w:ascii="Aptos" w:hAnsi="Aptos"/>
                <w:color w:val="202A35"/>
                <w:sz w:val="14"/>
              </w:rPr>
              <w:t>Image/validate 30 at-risk iPhones in 3 batches of 10; ensure no wipe/remote wipe and devices are held until collection. Six to nine business days may be needed; ship/collect early.</w:t>
            </w:r>
          </w:p>
        </w:tc>
        <w:tc>
          <w:tcPr>
            <w:tcW w:type="dxa" w:w="1540"/>
            <w:tcMar>
              <w:top w:w="60" w:type="dxa"/>
              <w:start w:w="85" w:type="dxa"/>
              <w:bottom w:w="60" w:type="dxa"/>
              <w:end w:w="85" w:type="dxa"/>
            </w:tcMar>
            <w:vAlign w:val="top"/>
            <w:shd w:fill="F7F9FB"/>
          </w:tcPr>
          <w:p>
            <w:pPr>
              <w:spacing w:after="0" w:line="240" w:lineRule="auto"/>
            </w:pPr>
            <w:r>
              <w:rPr>
                <w:rFonts w:ascii="Aptos" w:hAnsi="Aptos"/>
                <w:color w:val="202A35"/>
                <w:sz w:val="14"/>
              </w:rPr>
              <w:t>Tilden; Torrence; Corestone</w:t>
            </w:r>
          </w:p>
        </w:tc>
      </w:tr>
      <w:tr>
        <w:trPr>
          <w:cantSplit/>
        </w:trPr>
        <w:tc>
          <w:tcPr>
            <w:tcW w:type="dxa" w:w="1555"/>
            <w:tcMar>
              <w:top w:w="60" w:type="dxa"/>
              <w:start w:w="85" w:type="dxa"/>
              <w:bottom w:w="60" w:type="dxa"/>
              <w:end w:w="85" w:type="dxa"/>
            </w:tcMar>
            <w:vAlign w:val="top"/>
          </w:tcPr>
          <w:p>
            <w:pPr>
              <w:spacing w:after="0" w:line="240" w:lineRule="auto"/>
            </w:pPr>
            <w:r>
              <w:rPr>
                <w:rFonts w:ascii="Aptos" w:hAnsi="Aptos"/>
                <w:color w:val="202A35"/>
                <w:sz w:val="14"/>
              </w:rPr>
              <w:t>June 20</w:t>
            </w:r>
          </w:p>
        </w:tc>
        <w:tc>
          <w:tcPr>
            <w:tcW w:type="dxa" w:w="7272"/>
            <w:tcMar>
              <w:top w:w="60" w:type="dxa"/>
              <w:start w:w="85" w:type="dxa"/>
              <w:bottom w:w="60" w:type="dxa"/>
              <w:end w:w="85" w:type="dxa"/>
            </w:tcMar>
            <w:vAlign w:val="top"/>
          </w:tcPr>
          <w:p>
            <w:pPr>
              <w:spacing w:after="0" w:line="240" w:lineRule="auto"/>
            </w:pPr>
            <w:r>
              <w:rPr>
                <w:rFonts w:ascii="Aptos" w:hAnsi="Aptos"/>
                <w:color w:val="202A35"/>
                <w:sz w:val="14"/>
              </w:rPr>
              <w:t>Petrosian departure: no reimage/redeploy/wipe or mailbox deletion; retain data, audit trails, permissions and legal hold; transfer QMS admin/knowledge; disable login only after preservation plan is confirmed.</w:t>
            </w:r>
          </w:p>
        </w:tc>
        <w:tc>
          <w:tcPr>
            <w:tcW w:type="dxa" w:w="1540"/>
            <w:tcMar>
              <w:top w:w="60" w:type="dxa"/>
              <w:start w:w="85" w:type="dxa"/>
              <w:bottom w:w="60" w:type="dxa"/>
              <w:end w:w="85" w:type="dxa"/>
            </w:tcMar>
            <w:vAlign w:val="top"/>
          </w:tcPr>
          <w:p>
            <w:pPr>
              <w:spacing w:after="0" w:line="240" w:lineRule="auto"/>
            </w:pPr>
            <w:r>
              <w:rPr>
                <w:rFonts w:ascii="Aptos" w:hAnsi="Aptos"/>
                <w:color w:val="202A35"/>
                <w:sz w:val="14"/>
              </w:rPr>
              <w:t>Waverly; Tilden; Petrosian; Legal</w:t>
            </w:r>
          </w:p>
        </w:tc>
      </w:tr>
      <w:tr>
        <w:trPr>
          <w:cantSplit/>
        </w:trPr>
        <w:tc>
          <w:tcPr>
            <w:tcW w:type="dxa" w:w="1555"/>
            <w:tcMar>
              <w:top w:w="60" w:type="dxa"/>
              <w:start w:w="85" w:type="dxa"/>
              <w:bottom w:w="60" w:type="dxa"/>
              <w:end w:w="85" w:type="dxa"/>
            </w:tcMar>
            <w:vAlign w:val="top"/>
            <w:shd w:fill="F7F9FB"/>
          </w:tcPr>
          <w:p>
            <w:pPr>
              <w:spacing w:after="0" w:line="240" w:lineRule="auto"/>
            </w:pPr>
            <w:r>
              <w:rPr>
                <w:rFonts w:ascii="Aptos" w:hAnsi="Aptos"/>
                <w:color w:val="202A35"/>
                <w:sz w:val="14"/>
              </w:rPr>
              <w:t>June 23 and later</w:t>
            </w:r>
          </w:p>
        </w:tc>
        <w:tc>
          <w:tcPr>
            <w:tcW w:type="dxa" w:w="7272"/>
            <w:tcMar>
              <w:top w:w="60" w:type="dxa"/>
              <w:start w:w="85" w:type="dxa"/>
              <w:bottom w:w="60" w:type="dxa"/>
              <w:end w:w="85" w:type="dxa"/>
            </w:tcMar>
            <w:vAlign w:val="top"/>
            <w:shd w:fill="F7F9FB"/>
          </w:tcPr>
          <w:p>
            <w:pPr>
              <w:spacing w:after="0" w:line="240" w:lineRule="auto"/>
            </w:pPr>
            <w:r>
              <w:rPr>
                <w:rFonts w:ascii="Aptos" w:hAnsi="Aptos"/>
                <w:color w:val="202A35"/>
                <w:sz w:val="14"/>
              </w:rPr>
              <w:t>Keep refresh suspended for any device not fully imaged and verified; no factory reset or recycler transfer without written Legal authorization.</w:t>
            </w:r>
          </w:p>
        </w:tc>
        <w:tc>
          <w:tcPr>
            <w:tcW w:type="dxa" w:w="1540"/>
            <w:tcMar>
              <w:top w:w="60" w:type="dxa"/>
              <w:start w:w="85" w:type="dxa"/>
              <w:bottom w:w="60" w:type="dxa"/>
              <w:end w:w="85" w:type="dxa"/>
            </w:tcMar>
            <w:vAlign w:val="top"/>
            <w:shd w:fill="F7F9FB"/>
          </w:tcPr>
          <w:p>
            <w:pPr>
              <w:spacing w:after="0" w:line="240" w:lineRule="auto"/>
            </w:pPr>
            <w:r>
              <w:rPr>
                <w:rFonts w:ascii="Aptos" w:hAnsi="Aptos"/>
                <w:color w:val="202A35"/>
                <w:sz w:val="14"/>
              </w:rPr>
              <w:t>Tilden; MDM team</w:t>
            </w:r>
          </w:p>
        </w:tc>
      </w:tr>
      <w:tr>
        <w:trPr>
          <w:cantSplit/>
        </w:trPr>
        <w:tc>
          <w:tcPr>
            <w:tcW w:type="dxa" w:w="1555"/>
            <w:tcMar>
              <w:top w:w="60" w:type="dxa"/>
              <w:start w:w="85" w:type="dxa"/>
              <w:bottom w:w="60" w:type="dxa"/>
              <w:end w:w="85" w:type="dxa"/>
            </w:tcMar>
            <w:vAlign w:val="top"/>
          </w:tcPr>
          <w:p>
            <w:pPr>
              <w:spacing w:after="0" w:line="240" w:lineRule="auto"/>
            </w:pPr>
            <w:r>
              <w:rPr>
                <w:rFonts w:ascii="Aptos" w:hAnsi="Aptos"/>
                <w:color w:val="202A35"/>
                <w:sz w:val="14"/>
              </w:rPr>
              <w:t>June 27–30</w:t>
            </w:r>
          </w:p>
        </w:tc>
        <w:tc>
          <w:tcPr>
            <w:tcW w:type="dxa" w:w="7272"/>
            <w:tcMar>
              <w:top w:w="60" w:type="dxa"/>
              <w:start w:w="85" w:type="dxa"/>
              <w:bottom w:w="60" w:type="dxa"/>
              <w:end w:w="85" w:type="dxa"/>
            </w:tcMar>
            <w:vAlign w:val="top"/>
          </w:tcPr>
          <w:p>
            <w:pPr>
              <w:spacing w:after="0" w:line="240" w:lineRule="auto"/>
            </w:pPr>
            <w:r>
              <w:rPr>
                <w:rFonts w:ascii="Aptos" w:hAnsi="Aptos"/>
                <w:color w:val="202A35"/>
                <w:sz w:val="14"/>
              </w:rPr>
              <w:t>Written verification that M365 purge is disabled and holds cover relevant custodians; spot-check pre-June 2022 messages and Teams. Ensure June 30 purge cannot run.</w:t>
            </w:r>
          </w:p>
        </w:tc>
        <w:tc>
          <w:tcPr>
            <w:tcW w:type="dxa" w:w="1540"/>
            <w:tcMar>
              <w:top w:w="60" w:type="dxa"/>
              <w:start w:w="85" w:type="dxa"/>
              <w:bottom w:w="60" w:type="dxa"/>
              <w:end w:w="85" w:type="dxa"/>
            </w:tcMar>
            <w:vAlign w:val="top"/>
          </w:tcPr>
          <w:p>
            <w:pPr>
              <w:spacing w:after="0" w:line="240" w:lineRule="auto"/>
            </w:pPr>
            <w:r>
              <w:rPr>
                <w:rFonts w:ascii="Aptos" w:hAnsi="Aptos"/>
                <w:color w:val="202A35"/>
                <w:sz w:val="14"/>
              </w:rPr>
              <w:t>Tilden; Legal</w:t>
            </w:r>
          </w:p>
        </w:tc>
      </w:tr>
      <w:tr>
        <w:trPr>
          <w:cantSplit/>
        </w:trPr>
        <w:tc>
          <w:tcPr>
            <w:tcW w:type="dxa" w:w="1555"/>
            <w:tcMar>
              <w:top w:w="60" w:type="dxa"/>
              <w:start w:w="85" w:type="dxa"/>
              <w:bottom w:w="60" w:type="dxa"/>
              <w:end w:w="85" w:type="dxa"/>
            </w:tcMar>
            <w:vAlign w:val="top"/>
            <w:shd w:fill="F7F9FB"/>
          </w:tcPr>
          <w:p>
            <w:pPr>
              <w:spacing w:after="0" w:line="240" w:lineRule="auto"/>
            </w:pPr>
            <w:r>
              <w:rPr>
                <w:rFonts w:ascii="Aptos" w:hAnsi="Aptos"/>
                <w:color w:val="202A35"/>
                <w:sz w:val="14"/>
              </w:rPr>
              <w:t>June 30</w:t>
            </w:r>
          </w:p>
        </w:tc>
        <w:tc>
          <w:tcPr>
            <w:tcW w:type="dxa" w:w="7272"/>
            <w:tcMar>
              <w:top w:w="60" w:type="dxa"/>
              <w:start w:w="85" w:type="dxa"/>
              <w:bottom w:w="60" w:type="dxa"/>
              <w:end w:w="85" w:type="dxa"/>
            </w:tcMar>
            <w:vAlign w:val="top"/>
            <w:shd w:fill="F7F9FB"/>
          </w:tcPr>
          <w:p>
            <w:pPr>
              <w:spacing w:after="0" w:line="240" w:lineRule="auto"/>
            </w:pPr>
            <w:r>
              <w:rPr>
                <w:rFonts w:ascii="Aptos" w:hAnsi="Aptos"/>
                <w:color w:val="202A35"/>
                <w:sz w:val="14"/>
              </w:rPr>
              <w:t>Complete territory/surgeon/complaint analysis and initiate targeted collection for remaining 55 phones (estimate 15–20 priority devices); continue preservation direction to all reps.</w:t>
            </w:r>
          </w:p>
        </w:tc>
        <w:tc>
          <w:tcPr>
            <w:tcW w:type="dxa" w:w="1540"/>
            <w:tcMar>
              <w:top w:w="60" w:type="dxa"/>
              <w:start w:w="85" w:type="dxa"/>
              <w:bottom w:w="60" w:type="dxa"/>
              <w:end w:w="85" w:type="dxa"/>
            </w:tcMar>
            <w:vAlign w:val="top"/>
            <w:shd w:fill="F7F9FB"/>
          </w:tcPr>
          <w:p>
            <w:pPr>
              <w:spacing w:after="0" w:line="240" w:lineRule="auto"/>
            </w:pPr>
            <w:r>
              <w:rPr>
                <w:rFonts w:ascii="Aptos" w:hAnsi="Aptos"/>
                <w:color w:val="202A35"/>
                <w:sz w:val="14"/>
              </w:rPr>
              <w:t>Torrence; Legal; Corestone</w:t>
            </w:r>
          </w:p>
        </w:tc>
      </w:tr>
      <w:tr>
        <w:trPr>
          <w:cantSplit/>
        </w:trPr>
        <w:tc>
          <w:tcPr>
            <w:tcW w:type="dxa" w:w="1555"/>
            <w:tcMar>
              <w:top w:w="60" w:type="dxa"/>
              <w:start w:w="85" w:type="dxa"/>
              <w:bottom w:w="60" w:type="dxa"/>
              <w:end w:w="85" w:type="dxa"/>
            </w:tcMar>
            <w:vAlign w:val="top"/>
          </w:tcPr>
          <w:p>
            <w:pPr>
              <w:spacing w:after="0" w:line="240" w:lineRule="auto"/>
            </w:pPr>
            <w:r>
              <w:rPr>
                <w:rFonts w:ascii="Aptos" w:hAnsi="Aptos"/>
                <w:color w:val="202A35"/>
                <w:sz w:val="14"/>
              </w:rPr>
              <w:t>Before July 1 / July 15</w:t>
            </w:r>
          </w:p>
        </w:tc>
        <w:tc>
          <w:tcPr>
            <w:tcW w:type="dxa" w:w="7272"/>
            <w:tcMar>
              <w:top w:w="60" w:type="dxa"/>
              <w:start w:w="85" w:type="dxa"/>
              <w:bottom w:w="60" w:type="dxa"/>
              <w:end w:w="85" w:type="dxa"/>
            </w:tcMar>
            <w:vAlign w:val="top"/>
          </w:tcPr>
          <w:p>
            <w:pPr>
              <w:spacing w:after="0" w:line="240" w:lineRule="auto"/>
            </w:pPr>
            <w:r>
              <w:rPr>
                <w:rFonts w:ascii="Aptos" w:hAnsi="Aptos"/>
                <w:color w:val="202A35"/>
                <w:sz w:val="14"/>
              </w:rPr>
              <w:t>Hold KR-3000 paper files out of Iron Mountain transfer pending inventory. No SAP legacy decommissioning July 15 absent verified preservation and written GC approval.</w:t>
            </w:r>
          </w:p>
        </w:tc>
        <w:tc>
          <w:tcPr>
            <w:tcW w:type="dxa" w:w="1540"/>
            <w:tcMar>
              <w:top w:w="60" w:type="dxa"/>
              <w:start w:w="85" w:type="dxa"/>
              <w:bottom w:w="60" w:type="dxa"/>
              <w:end w:w="85" w:type="dxa"/>
            </w:tcMar>
            <w:vAlign w:val="top"/>
          </w:tcPr>
          <w:p>
            <w:pPr>
              <w:spacing w:after="0" w:line="240" w:lineRule="auto"/>
            </w:pPr>
            <w:r>
              <w:rPr>
                <w:rFonts w:ascii="Aptos" w:hAnsi="Aptos"/>
                <w:color w:val="202A35"/>
                <w:sz w:val="14"/>
              </w:rPr>
              <w:t>Kowalski; Tilden; Legal</w:t>
            </w:r>
          </w:p>
        </w:tc>
      </w:tr>
      <w:tr>
        <w:trPr>
          <w:cantSplit/>
        </w:trPr>
        <w:tc>
          <w:tcPr>
            <w:tcW w:type="dxa" w:w="1555"/>
            <w:tcMar>
              <w:top w:w="60" w:type="dxa"/>
              <w:start w:w="85" w:type="dxa"/>
              <w:bottom w:w="60" w:type="dxa"/>
              <w:end w:w="85" w:type="dxa"/>
            </w:tcMar>
            <w:vAlign w:val="top"/>
            <w:shd w:fill="F7F9FB"/>
          </w:tcPr>
          <w:p>
            <w:pPr>
              <w:spacing w:after="0" w:line="240" w:lineRule="auto"/>
            </w:pPr>
            <w:r>
              <w:rPr>
                <w:rFonts w:ascii="Aptos" w:hAnsi="Aptos"/>
                <w:color w:val="202A35"/>
                <w:sz w:val="14"/>
              </w:rPr>
              <w:t>Aug. 1; quarterly thereafter</w:t>
            </w:r>
          </w:p>
        </w:tc>
        <w:tc>
          <w:tcPr>
            <w:tcW w:type="dxa" w:w="7272"/>
            <w:tcMar>
              <w:top w:w="60" w:type="dxa"/>
              <w:start w:w="85" w:type="dxa"/>
              <w:bottom w:w="60" w:type="dxa"/>
              <w:end w:w="85" w:type="dxa"/>
            </w:tcMar>
            <w:vAlign w:val="top"/>
            <w:shd w:fill="F7F9FB"/>
          </w:tcPr>
          <w:p>
            <w:pPr>
              <w:spacing w:after="0" w:line="240" w:lineRule="auto"/>
            </w:pPr>
            <w:r>
              <w:rPr>
                <w:rFonts w:ascii="Aptos" w:hAnsi="Aptos"/>
                <w:color w:val="202A35"/>
                <w:sz w:val="14"/>
              </w:rPr>
              <w:t>First reminder and compliance audit; quarterly reminders, questionnaire updates, interviews and hold log maintenance.</w:t>
            </w:r>
          </w:p>
        </w:tc>
        <w:tc>
          <w:tcPr>
            <w:tcW w:type="dxa" w:w="1540"/>
            <w:tcMar>
              <w:top w:w="60" w:type="dxa"/>
              <w:start w:w="85" w:type="dxa"/>
              <w:bottom w:w="60" w:type="dxa"/>
              <w:end w:w="85" w:type="dxa"/>
            </w:tcMar>
            <w:vAlign w:val="top"/>
            <w:shd w:fill="F7F9FB"/>
          </w:tcPr>
          <w:p>
            <w:pPr>
              <w:spacing w:after="0" w:line="240" w:lineRule="auto"/>
            </w:pPr>
            <w:r>
              <w:rPr>
                <w:rFonts w:ascii="Aptos" w:hAnsi="Aptos"/>
                <w:color w:val="202A35"/>
                <w:sz w:val="14"/>
              </w:rPr>
              <w:t>Legal hold coordinator</w:t>
            </w:r>
          </w:p>
        </w:tc>
      </w:tr>
    </w:tbl>
    <w:p>
      <w:pPr>
        <w:spacing w:after="0"/>
      </w:pPr>
    </w:p>
    <w:p>
      <w:pPr>
        <w:pStyle w:val="Heading1"/>
      </w:pPr>
      <w:r>
        <w:t>6. Preservation, collection, and privilege safeguards</w:t>
      </w:r>
    </w:p>
    <w:p>
      <w:pPr>
        <w:pStyle w:val="CompactBullet"/>
        <w:ind w:left="331" w:hanging="230"/>
      </w:pPr>
      <w:r>
        <w:rPr>
          <w:b/>
          <w:color w:val="0F6B78"/>
        </w:rPr>
        <w:t xml:space="preserve">• </w:t>
      </w:r>
      <w:r>
        <w:t>Separate preservation from discovery collection: source preservation begins now. Collect in a forensically sound manner, with chain-of-custody records, hashes, time zone/source details, tool/operator logs, and data validation. Preserve native formats and metadata; do not rely on PDF renditions or routine backups where they omit audit trails or mobile-local content.</w:t>
      </w:r>
    </w:p>
    <w:p>
      <w:pPr>
        <w:pStyle w:val="CompactBullet"/>
        <w:ind w:left="331" w:hanging="230"/>
      </w:pPr>
      <w:r>
        <w:rPr>
          <w:b/>
          <w:color w:val="0F6B78"/>
        </w:rPr>
        <w:t xml:space="preserve">• </w:t>
      </w:r>
      <w:r>
        <w:t>For the General Counsel’s own files, apply preservation holds but use an outside-counsel supervised, segregated collection/review environment. Designate a privilege coordinator; screen before substantive review or production; maintain privilege log protocol. Seek a Federal Rule of Evidence 502(d) order/clawback protection at the Rule 26(f) or scheduling conference. Privileged materials must not be disclosed to IT, vendor reviewers, insurers, or opposing counsel beyond need-to-know instructions without Legal review.</w:t>
      </w:r>
    </w:p>
    <w:p>
      <w:pPr>
        <w:pStyle w:val="CompactBullet"/>
        <w:ind w:left="331" w:hanging="230"/>
      </w:pPr>
      <w:r>
        <w:rPr>
          <w:b/>
          <w:color w:val="0F6B78"/>
        </w:rPr>
        <w:t xml:space="preserve">• </w:t>
      </w:r>
      <w:r>
        <w:t>Require all recipients to acknowledge receipt, confirm known repositories and mobile/personal use, and report known deletion or system changes. Keep an auditable log of notices, reminders, system holds, migrations, exports, chain of custody, exceptions, and remedial steps. Conduct interviews and verification rather than treating a notice as sufficient by itself.</w:t>
      </w:r>
    </w:p>
    <w:p>
      <w:pPr>
        <w:pStyle w:val="CompactBullet"/>
        <w:ind w:left="331" w:hanging="230"/>
      </w:pPr>
      <w:r>
        <w:rPr>
          <w:b/>
          <w:color w:val="0F6B78"/>
        </w:rPr>
        <w:t xml:space="preserve">• </w:t>
      </w:r>
      <w:r>
        <w:t>Do not restore backup tapes at this stage. Preserve tape media and catalogs as a secondary safeguard. Assess accessibility and restore only if source-level collection identifies a gap or discovery supports restoration; document the burden and unique data value.</w:t>
      </w:r>
    </w:p>
    <w:p>
      <w:pPr>
        <w:pStyle w:val="Heading1"/>
      </w:pPr>
      <w:r>
        <w:t>7. Budget and resource request</w:t>
      </w:r>
    </w:p>
    <w:p>
      <w:r>
        <w:t>Outside counsel’s preliminary estimate for initial hold implementation and preservation is approximately $175,000–$250,000, including forensic imaging, ESI processing, SAP extraction, Veeva export, hosting, outside counsel oversight, and hold administration. The 30 iPhone collection alone is estimated at $9,000–$15,000, and SAP preservation at roughly $25,000–$40,000 (vendor estimates vary by scope and method). Recommend authorizing Corestone Analytics to scope and schedule immediate work, then presenting a written, staged estimate before processing or long-term hosting. Preservation scope must be based on relevance and reasonable preservation obligations, not cost alone.</w:t>
      </w:r>
    </w:p>
    <w:p>
      <w:pPr>
        <w:pStyle w:val="Heading1"/>
      </w:pPr>
      <w:r>
        <w:t>8. Immediate coordination and sign-off</w:t>
      </w:r>
    </w:p>
    <w:p>
      <w:r>
        <w:t>Convene a preservation meeting no later than June 3 with the General Counsel, IT Director, VP Manufacturing, HR Director, Sales &amp; Marketing Director, QA and Regulatory system owners, outside counsel, and Corestone Analytics. Establish a daily or 48-hour status report through June 20. Decisions requiring written GC approval: (1) SAP data preservation plan before migration/archival; (2) any Veeva configuration change in the validated environment; (3) any device wipe, reset, reuse, or disposal; (4) any exception to hold scope; and (5) any SAP ECC decommissioning.</w:t>
      </w:r>
    </w:p>
    <w:tbl>
      <w:tblPr>
        <w:tblW w:type="auto" w:w="0"/>
        <w:jc w:val="center"/>
        <w:tblLayout w:type="fixed"/>
        <w:tblLook w:firstColumn="1" w:firstRow="1" w:lastColumn="0" w:lastRow="0" w:noHBand="0" w:noVBand="1" w:val="04A0"/>
      </w:tblPr>
      <w:tblGrid>
        <w:gridCol w:w="9994"/>
      </w:tblGrid>
      <w:tr>
        <w:tc>
          <w:tcPr>
            <w:tcW w:type="dxa" w:w="9994"/>
            <w:shd w:fill="FCE4D6"/>
            <w:tcMar>
              <w:top w:w="115" w:type="dxa"/>
              <w:start w:w="150" w:type="dxa"/>
              <w:bottom w:w="115" w:type="dxa"/>
              <w:end w:w="150" w:type="dxa"/>
            </w:tcMar>
            <w:tcBorders>
              <w:left w:val="single" w:sz="22" w:color="9C0006"/>
            </w:tcBorders>
          </w:tcPr>
          <w:p>
            <w:pPr>
              <w:spacing w:after="0"/>
            </w:pPr>
            <w:r>
              <w:rPr>
                <w:b/>
                <w:color w:val="17365D"/>
              </w:rPr>
              <w:t xml:space="preserve">STOP-WORK RULE: </w:t>
            </w:r>
            <w:r>
              <w:t>If a scheduled migration, archive, retention purge, offboarding event, device wipe, paper-record transfer, or tape overwrite threatens covered material, pause the affected activity and escalate to the General Counsel before proceeding.</w:t>
            </w:r>
          </w:p>
        </w:tc>
      </w:tr>
    </w:tbl>
    <w:p>
      <w:pPr>
        <w:spacing w:after="0"/>
      </w:pPr>
    </w:p>
    <w:p>
      <w:pPr>
        <w:pStyle w:val="Heading2"/>
      </w:pPr>
      <w:r>
        <w:t>Source materials reviewed</w:t>
      </w:r>
    </w:p>
    <w:p>
      <w:pPr>
        <w:pStyle w:val="Small"/>
      </w:pPr>
      <w:r>
        <w:t>Class Action Complaint (filed May 22, served May 28, 2025); Outside Counsel Preliminary Case Assessment and Preservation Recommendations (May 30, 2025); Custodian &amp; Data Inventory and Urgency Matrix; IT Systems Architecture Summary (VNT-IT-ARCH-001, Rev. 4); Document Retention and Destruction Policy VNT-POL-007, Rev. 3; IT migration/offboarding communications dated May 29–30, 2025.</w:t>
      </w:r>
    </w:p>
    <w:p>
      <w:pPr>
        <w:pStyle w:val="Small"/>
      </w:pPr>
      <w:r>
        <w:t>This is a preliminary plan based on the supplied record and should be updated as custodian interviews, vendor discussions, and technical validation provide more information.</w:t>
      </w:r>
    </w:p>
    <w:sectPr w:rsidR="00FC693F" w:rsidRPr="0006063C" w:rsidSect="00034616">
      <w:headerReference w:type="default" r:id="rId9"/>
      <w:footerReference w:type="default" r:id="rId10"/>
      <w:pgSz w:w="12240" w:h="15840"/>
      <w:pgMar w:top="950" w:right="1123" w:bottom="950"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color w:val="5B6573"/>
        <w:sz w:val="15"/>
      </w:rPr>
      <w:t xml:space="preserve">PRIVILEGED &amp; CONFIDENTIAL  |  VANTAGE MEDICAL DEVICES, INC.  •  </w:t>
    </w:r>
    <w:r>
      <w:rPr>
        <w:color w:val="5B6573"/>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3" w:color="1F4E79"/>
      </w:pBdr>
    </w:pPr>
    <w:r>
      <w:rPr>
        <w:rFonts w:ascii="Aptos" w:hAnsi="Aptos"/>
        <w:b/>
        <w:color w:val="1F4E79"/>
        <w:sz w:val="16"/>
      </w:rPr>
      <w:t>ATTORNEY-CLIENT PRIVILEGED | PRESERVATION ACTION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line="250" w:lineRule="auto"/>
      <w:ind w:left="331" w:hanging="230"/>
    </w:pPr>
    <w:rPr>
      <w:rFonts w:ascii="Aptos" w:hAnsi="Aptos"/>
      <w:sz w:val="19"/>
    </w:rPr>
  </w:style>
  <w:style w:type="paragraph" w:customStyle="1" w:styleId="Small">
    <w:name w:val="Small"/>
    <w:basedOn w:val="Normal"/>
    <w:pPr>
      <w:spacing w:after="4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