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8"/>
        </w:rPr>
        <w:t>VANTAGE MEDICAL DEVICES, INC.</w:t>
      </w:r>
    </w:p>
    <w:p>
      <w:pPr>
        <w:spacing w:after="40"/>
        <w:jc w:val="center"/>
      </w:pPr>
      <w:r>
        <w:rPr>
          <w:sz w:val="19"/>
        </w:rPr>
        <w:t>Office of the General Counsel  |  4100 Stellhorn Road, Fort Wayne, Indiana 46815</w:t>
      </w:r>
    </w:p>
    <w:p>
      <w:pPr>
        <w:spacing w:after="0"/>
        <w:jc w:val="center"/>
      </w:pPr>
      <w:r>
        <w:rPr>
          <w:b/>
          <w:sz w:val="32"/>
        </w:rPr>
        <w:t>LITIGATION HOLD NOTICE</w:t>
      </w:r>
    </w:p>
    <w:p>
      <w:pPr>
        <w:jc w:val="center"/>
      </w:pPr>
      <w:r>
        <w:rPr>
          <w:b/>
          <w:sz w:val="23"/>
        </w:rPr>
        <w:t>Mandatory Preservation of Documents, Data, and Physical Items</w:t>
      </w:r>
    </w:p>
    <w:p>
      <w:pPr>
        <w:pBdr>
          <w:bottom w:val="single" w:sz="8" w:space="1" w:color="1F3A5F"/>
        </w:pBdr>
        <w:spacing w:after="80"/>
      </w:pPr>
    </w:p>
    <w:tbl>
      <w:tblPr>
        <w:tblW w:type="auto" w:w="0"/>
        <w:tblLayout w:type="fixed"/>
        <w:tblLook w:firstColumn="1" w:firstRow="1" w:lastColumn="0" w:lastRow="0" w:noHBand="0" w:noVBand="1" w:val="04A0"/>
      </w:tblPr>
      <w:tblGrid>
        <w:gridCol w:w="4680"/>
        <w:gridCol w:w="4680"/>
      </w:tblGrid>
      <w:tr>
        <w:tc>
          <w:tcPr>
            <w:tcW w:type="dxa" w:w="1872"/>
          </w:tcPr>
          <w:p>
            <w:r/>
            <w:r>
              <w:rPr>
                <w:b/>
              </w:rPr>
              <w:t>TO:</w:t>
            </w:r>
          </w:p>
        </w:tc>
        <w:tc>
          <w:tcPr>
            <w:tcW w:type="dxa" w:w="7488"/>
          </w:tcPr>
          <w:p>
            <w:r/>
            <w:r>
              <w:t>The custodians and departments listed on Schedule A</w:t>
            </w:r>
          </w:p>
        </w:tc>
      </w:tr>
      <w:tr>
        <w:tc>
          <w:tcPr>
            <w:tcW w:type="dxa" w:w="1872"/>
          </w:tcPr>
          <w:p>
            <w:r/>
            <w:r>
              <w:rPr>
                <w:b/>
              </w:rPr>
              <w:t>FROM:</w:t>
            </w:r>
          </w:p>
        </w:tc>
        <w:tc>
          <w:tcPr>
            <w:tcW w:type="dxa" w:w="7488"/>
          </w:tcPr>
          <w:p>
            <w:r/>
            <w:r>
              <w:t>Priya Chandrasekaran, General Counsel (reviewed by Calloway Prichard Weeks LLP, outside counsel)</w:t>
            </w:r>
          </w:p>
        </w:tc>
      </w:tr>
      <w:tr>
        <w:tc>
          <w:tcPr>
            <w:tcW w:type="dxa" w:w="1872"/>
          </w:tcPr>
          <w:p>
            <w:r/>
            <w:r>
              <w:rPr>
                <w:b/>
              </w:rPr>
              <w:t>DATE:</w:t>
            </w:r>
          </w:p>
        </w:tc>
        <w:tc>
          <w:tcPr>
            <w:tcW w:type="dxa" w:w="7488"/>
          </w:tcPr>
          <w:p>
            <w:r/>
            <w:r>
              <w:t>June 2, 2025</w:t>
            </w:r>
          </w:p>
        </w:tc>
      </w:tr>
      <w:tr>
        <w:tc>
          <w:tcPr>
            <w:tcW w:type="dxa" w:w="1872"/>
          </w:tcPr>
          <w:p>
            <w:r/>
            <w:r>
              <w:rPr>
                <w:b/>
              </w:rPr>
              <w:t>MATTER:</w:t>
            </w:r>
          </w:p>
        </w:tc>
        <w:tc>
          <w:tcPr>
            <w:tcW w:type="dxa" w:w="7488"/>
          </w:tcPr>
          <w:p>
            <w:r/>
            <w:r>
              <w:rPr>
                <w:i/>
              </w:rPr>
              <w:t>Kessler et al. v. Vantage Medical Devices, Inc.</w:t>
            </w:r>
            <w:r>
              <w:t>, Case No. 1:25-cv-04387-RLM (U.S. District Court, Southern District of Indiana) — ProFlex KR-3000 Total Knee Replacement System</w:t>
            </w:r>
          </w:p>
        </w:tc>
      </w:tr>
      <w:tr>
        <w:tc>
          <w:tcPr>
            <w:tcW w:type="dxa" w:w="1872"/>
          </w:tcPr>
          <w:p>
            <w:r/>
            <w:r>
              <w:rPr>
                <w:b/>
              </w:rPr>
              <w:t>HOLD ID:</w:t>
            </w:r>
          </w:p>
        </w:tc>
        <w:tc>
          <w:tcPr>
            <w:tcW w:type="dxa" w:w="7488"/>
          </w:tcPr>
          <w:p>
            <w:r/>
            <w:r>
              <w:t>LH-2025-001 (KR-3000)</w:t>
            </w:r>
          </w:p>
        </w:tc>
      </w:tr>
      <w:tr>
        <w:tc>
          <w:tcPr>
            <w:tcW w:type="dxa" w:w="1872"/>
          </w:tcPr>
          <w:p>
            <w:r/>
            <w:r>
              <w:rPr>
                <w:b/>
              </w:rPr>
              <w:t>ACTION:</w:t>
            </w:r>
          </w:p>
        </w:tc>
        <w:tc>
          <w:tcPr>
            <w:tcW w:type="dxa" w:w="7488"/>
          </w:tcPr>
          <w:p>
            <w:r/>
            <w:r>
              <w:rPr>
                <w:b/>
              </w:rPr>
              <w:t>Comply immediately. Sign and return the Acknowledgment (Attachment 1) and Questionnaire (Attachment 2) by 5:00 p.m. ET, Monday, June 9, 2025.</w:t>
            </w:r>
          </w:p>
        </w:tc>
      </w:tr>
    </w:tbl>
    <w:p/>
    <w:tbl>
      <w:tblPr>
        <w:tblStyle w:val="TableGrid"/>
        <w:tblW w:type="auto" w:w="0"/>
        <w:tblLook w:firstColumn="1" w:firstRow="1" w:lastColumn="0" w:lastRow="0" w:noHBand="0" w:noVBand="1" w:val="04A0"/>
      </w:tblPr>
      <w:tblGrid>
        <w:gridCol w:w="9360"/>
      </w:tblGrid>
      <w:tr>
        <w:tc>
          <w:tcPr>
            <w:tcW w:type="dxa" w:w="9360"/>
            <w:shd w:val="clear" w:color="auto" w:fill="FDE9E7"/>
          </w:tcPr>
          <w:p>
            <w:r/>
            <w:r>
              <w:rPr>
                <w:b/>
              </w:rPr>
              <w:t>WHAT YOU MUST DO — STARTING NOW</w:t>
            </w:r>
          </w:p>
          <w:p>
            <w:pPr>
              <w:pStyle w:val="ListBullet"/>
              <w:spacing w:after="40"/>
            </w:pPr>
            <w:r>
              <w:rPr>
                <w:b/>
                <w:sz w:val="20"/>
              </w:rPr>
              <w:t>Do not delete, discard, alter, overwrite, or “clean up”</w:t>
            </w:r>
            <w:r>
              <w:rPr>
                <w:sz w:val="20"/>
              </w:rPr>
              <w:t xml:space="preserve"> any document, email, message, file, or physical item that relates in any way to the ProFlex KR-3000 — even if a Company policy or system would normally delete it.</w:t>
            </w:r>
          </w:p>
          <w:p>
            <w:pPr>
              <w:pStyle w:val="ListBullet"/>
              <w:spacing w:after="40"/>
            </w:pPr>
            <w:r>
              <w:rPr>
                <w:b/>
                <w:sz w:val="20"/>
              </w:rPr>
              <w:t>Do not wipe, reset, trade in, replace, or turn in any phone, laptop, tablet, or storage device</w:t>
            </w:r>
            <w:r>
              <w:rPr>
                <w:sz w:val="20"/>
              </w:rPr>
              <w:t xml:space="preserve"> you have used for work, company-issued or personal, without written clearance from the Legal Department.</w:t>
            </w:r>
          </w:p>
          <w:p>
            <w:pPr>
              <w:pStyle w:val="ListBullet"/>
              <w:spacing w:after="40"/>
            </w:pPr>
            <w:r>
              <w:rPr>
                <w:b/>
                <w:sz w:val="20"/>
              </w:rPr>
              <w:t>Turn off auto-delete settings</w:t>
            </w:r>
            <w:r>
              <w:rPr>
                <w:sz w:val="20"/>
              </w:rPr>
              <w:t xml:space="preserve"> on your phone and messaging apps today (see Section 6).</w:t>
            </w:r>
          </w:p>
          <w:p>
            <w:pPr>
              <w:pStyle w:val="ListBullet"/>
              <w:spacing w:after="40"/>
            </w:pPr>
            <w:r>
              <w:rPr>
                <w:b/>
                <w:sz w:val="20"/>
              </w:rPr>
              <w:t>Keep information where it is.</w:t>
            </w:r>
            <w:r>
              <w:rPr>
                <w:sz w:val="20"/>
              </w:rPr>
              <w:t xml:space="preserve"> Do not move, rename, reorganize, or forward materials to “collect” them yourself. The Legal Department and its vendor will handle collection.</w:t>
            </w:r>
          </w:p>
          <w:p>
            <w:pPr>
              <w:pStyle w:val="ListBullet"/>
              <w:spacing w:after="40"/>
            </w:pPr>
            <w:r>
              <w:rPr>
                <w:b/>
                <w:sz w:val="20"/>
              </w:rPr>
              <w:t>Tell us</w:t>
            </w:r>
            <w:r>
              <w:rPr>
                <w:sz w:val="20"/>
              </w:rPr>
              <w:t xml:space="preserve"> if you know of relevant information anywhere, or if anything may already have been lost.</w:t>
            </w:r>
          </w:p>
          <w:p>
            <w:pPr>
              <w:pStyle w:val="ListBullet"/>
              <w:spacing w:after="40"/>
            </w:pPr>
            <w:r>
              <w:rPr>
                <w:b/>
                <w:sz w:val="20"/>
              </w:rPr>
              <w:t>Sign and return</w:t>
            </w:r>
            <w:r>
              <w:rPr>
                <w:sz w:val="20"/>
              </w:rPr>
              <w:t xml:space="preserve"> Attachments 1 and 2 by </w:t>
            </w:r>
            <w:r>
              <w:rPr>
                <w:b/>
                <w:sz w:val="20"/>
              </w:rPr>
              <w:t>June 9, 2025</w:t>
            </w:r>
            <w:r>
              <w:rPr>
                <w:sz w:val="20"/>
              </w:rPr>
              <w:t>.</w:t>
            </w:r>
          </w:p>
        </w:tc>
      </w:tr>
    </w:tbl>
    <w:p/>
    <w:p>
      <w:pPr>
        <w:pStyle w:val="Heading1"/>
      </w:pPr>
      <w:r>
        <w:t>1. Why You Are Receiving This Notice</w:t>
      </w:r>
    </w:p>
    <w:p>
      <w:pPr>
        <w:jc w:val="both"/>
      </w:pPr>
      <w:r>
        <w:t>On May 28, 2025, Vantage Medical Devices, Inc. (“Vantage” or the “Company”) was served with a putative class action complaint filed in federal court on behalf of persons in the United States implanted with the ProFlex KR-3000 Total Knee Replacement System (“KR-3000”). The complaint asserts claims relating to the design, testing, regulatory clearance, manufacture, marketing, sale, and post-market performance of the KR-3000. The Company disputes the allegations and intends to defend itself vigorously.</w:t>
      </w:r>
    </w:p>
    <w:p>
      <w:pPr>
        <w:jc w:val="both"/>
      </w:pPr>
      <w:r>
        <w:t xml:space="preserve">Because of this lawsuit, the Company and its employees are </w:t>
      </w:r>
      <w:r>
        <w:rPr>
          <w:b/>
        </w:rPr>
        <w:t>legally required to preserve</w:t>
      </w:r>
      <w:r>
        <w:t xml:space="preserve"> all information that may be relevant to the claims or defenses in the case. You are receiving this notice because Company records indicate that you have, or have access to, information that may be relevant. </w:t>
      </w:r>
      <w:r>
        <w:rPr>
          <w:b/>
        </w:rPr>
        <w:t>Receiving this notice does not mean that you have done anything wrong.</w:t>
      </w:r>
      <w:r>
        <w:t xml:space="preserve"> It means that the information you hold is important and must be protected.</w:t>
      </w:r>
    </w:p>
    <w:p>
      <w:pPr>
        <w:jc w:val="both"/>
      </w:pPr>
      <w:r>
        <w:t xml:space="preserve">This notice is issued under Section 7 of the Company’s Document Retention and Destruction Policy, VNT-POL-007, Rev. 3. </w:t>
      </w:r>
      <w:r>
        <w:rPr>
          <w:b/>
        </w:rPr>
        <w:t>It overrides every normal retention period, auto-delete setting, destruction schedule, clean-up practice, device refresh, system migration, and offboarding procedure</w:t>
      </w:r>
      <w:r>
        <w:t xml:space="preserve"> that would otherwise apply to covered information. It remains in effect until you receive written notice from the General Counsel that it has been lifted — even if the lawsuit appears to be over, and even if you change roles or leave the Company.</w:t>
      </w:r>
    </w:p>
    <w:p>
      <w:pPr>
        <w:pStyle w:val="Heading1"/>
      </w:pPr>
      <w:r>
        <w:t>2. Time Period Covered</w:t>
      </w:r>
    </w:p>
    <w:p>
      <w:pPr>
        <w:jc w:val="both"/>
      </w:pPr>
      <w:r>
        <w:t xml:space="preserve">Preserve covered information created, sent, received, or modified from </w:t>
      </w:r>
      <w:r>
        <w:rPr>
          <w:b/>
        </w:rPr>
        <w:t>January 1, 2017 through the present, and going forward</w:t>
      </w:r>
      <w:r>
        <w:t xml:space="preserve"> for as long as this hold is in effect. Information created after today is covered too. If you have older material related to the KR-3000 or its predecessor (the ProFlex KR-2500) that informed KR-3000 design or testing, preserve it as well.</w:t>
      </w:r>
    </w:p>
    <w:p>
      <w:pPr>
        <w:pStyle w:val="Heading1"/>
      </w:pPr>
      <w:r>
        <w:t>3. Subject Matter Covered</w:t>
      </w:r>
    </w:p>
    <w:p>
      <w:r>
        <w:t xml:space="preserve">Preserve </w:t>
      </w:r>
      <w:r>
        <w:rPr>
          <w:b/>
        </w:rPr>
        <w:t>all</w:t>
      </w:r>
      <w:r>
        <w:t xml:space="preserve"> information that refers or relates to any of the following. When in doubt, preserve it and ask.</w:t>
      </w:r>
    </w:p>
    <w:p>
      <w:pPr>
        <w:pStyle w:val="ListBullet"/>
        <w:spacing w:after="60"/>
      </w:pPr>
      <w:r>
        <w:rPr>
          <w:b/>
        </w:rPr>
        <w:t>Design and development</w:t>
      </w:r>
      <w:r>
        <w:t xml:space="preserve"> of the KR-3000, including design inputs/outputs, design history files, design reviews, CAD (SolidWorks) files, finite element analysis (FEA), materials selection, surface finish and polishing specifications, and engineering change orders.</w:t>
      </w:r>
    </w:p>
    <w:p>
      <w:pPr>
        <w:pStyle w:val="ListBullet"/>
        <w:spacing w:after="60"/>
      </w:pPr>
      <w:r>
        <w:rPr>
          <w:b/>
        </w:rPr>
        <w:t>Testing</w:t>
      </w:r>
      <w:r>
        <w:t>, including bench, wear, cyclical-loading, and accelerated wear simulation testing (e.g., ASTM F3141 / ISO 14243), biocompatibility, and any comparison to the KR-2500 or competitor devices.</w:t>
      </w:r>
    </w:p>
    <w:p>
      <w:pPr>
        <w:pStyle w:val="ListBullet"/>
        <w:spacing w:after="60"/>
      </w:pPr>
      <w:r>
        <w:rPr>
          <w:b/>
        </w:rPr>
        <w:t>Regulatory matters</w:t>
      </w:r>
      <w:r>
        <w:t>, including the 510(k) submission K192847 and its preparation, predicate-device comparisons, FDA correspondence and meetings, Medical Device Reports (MDRs), corrections and removals (21 CFR Part 806) evaluations, inspections, and labeling / Instructions for Use.</w:t>
      </w:r>
    </w:p>
    <w:p>
      <w:pPr>
        <w:pStyle w:val="ListBullet"/>
        <w:spacing w:after="60"/>
      </w:pPr>
      <w:r>
        <w:rPr>
          <w:b/>
        </w:rPr>
        <w:t>Metallurgical, failure, retrieval, or surface-characterization analyses</w:t>
      </w:r>
      <w:r>
        <w:t xml:space="preserve"> of KR-3000 components, including the analysis of retrieved femoral components referenced in the complaint as having occurred in or around July–September 2022, and any related reports, drafts, data, images, and communications.</w:t>
      </w:r>
    </w:p>
    <w:p>
      <w:pPr>
        <w:pStyle w:val="ListBullet"/>
        <w:spacing w:after="60"/>
      </w:pPr>
      <w:r>
        <w:rPr>
          <w:b/>
        </w:rPr>
        <w:t>Quality system records</w:t>
      </w:r>
      <w:r>
        <w:t>: complaints, complaint trending, revision-rate analyses, CAPAs (opened, considered, or declined), nonconformances, deviations, health hazard evaluations, risk management files, field action or recall evaluations, and post-market surveillance.</w:t>
      </w:r>
    </w:p>
    <w:p>
      <w:pPr>
        <w:pStyle w:val="ListBullet"/>
        <w:spacing w:after="60"/>
      </w:pPr>
      <w:r>
        <w:rPr>
          <w:b/>
        </w:rPr>
        <w:t>Manufacturing</w:t>
      </w:r>
      <w:r>
        <w:t xml:space="preserve"> at Fort Wayne and at Ashford Precision Components, Inc. (Grand Rapids, Michigan): batch/device history records, process validation (IQ/OQ/PQ), incoming material inspection and certifications (CoCrMo, UHMWPE, titanium alloy), in-process and final inspection, surface finish measurements, supplier audits, and the Quality Agreement (QA-2017-0044).</w:t>
      </w:r>
    </w:p>
    <w:p>
      <w:pPr>
        <w:pStyle w:val="ListBullet"/>
        <w:spacing w:after="60"/>
      </w:pPr>
      <w:r>
        <w:rPr>
          <w:b/>
        </w:rPr>
        <w:t>Sales, marketing, and field communications</w:t>
      </w:r>
      <w:r>
        <w:t>: promotional claims, brochures, surgeon training, launch materials, sales communications with surgeons, hospitals, and OR staff, field complaint reports, Salesforce records, and VantagePulse records.</w:t>
      </w:r>
    </w:p>
    <w:p>
      <w:pPr>
        <w:pStyle w:val="ListBullet"/>
        <w:spacing w:after="60"/>
      </w:pPr>
      <w:r>
        <w:rPr>
          <w:b/>
        </w:rPr>
        <w:t>Clinical and medical affairs</w:t>
      </w:r>
      <w:r>
        <w:t>: surgeon advisory board and key opinion leader (KOL) communications, clinical evaluation reports, post-market clinical follow-up, literature reviews, and adverse event clinical assessments.</w:t>
      </w:r>
    </w:p>
    <w:p>
      <w:pPr>
        <w:pStyle w:val="ListBullet"/>
        <w:spacing w:after="60"/>
      </w:pPr>
      <w:r>
        <w:rPr>
          <w:b/>
        </w:rPr>
        <w:t>Executive, board, and financial matters</w:t>
      </w:r>
      <w:r>
        <w:t>: leadership and board discussions of KR-3000 performance, complaints, recall or field action options, revenue impact, warranty reserves, product liability accruals, and insurance.</w:t>
      </w:r>
    </w:p>
    <w:p>
      <w:pPr>
        <w:pStyle w:val="ListBullet"/>
        <w:spacing w:after="60"/>
      </w:pPr>
      <w:r>
        <w:rPr>
          <w:b/>
        </w:rPr>
        <w:t>The named plaintiffs</w:t>
      </w:r>
      <w:r>
        <w:t xml:space="preserve"> (Dorothy M. Kessler and Raymond A. Dufresne), their implanting and treating surgeons and hospitals (including Riverside Methodist Hospital, Columbus, Ohio, and the implanting facility in Tampa, Florida), and any device lot, complaint, or returned product associated with them.</w:t>
      </w:r>
    </w:p>
    <w:p>
      <w:pPr>
        <w:pStyle w:val="ListBullet"/>
        <w:spacing w:after="60"/>
      </w:pPr>
      <w:r>
        <w:rPr>
          <w:b/>
        </w:rPr>
        <w:t>Training and HR records</w:t>
      </w:r>
      <w:r>
        <w:t xml:space="preserve"> related to KR-3000 product or surgeon training, and any ethics hotline or internal report concerning KR-3000 quality or safety.</w:t>
      </w:r>
    </w:p>
    <w:p>
      <w:pPr>
        <w:pStyle w:val="Heading1"/>
      </w:pPr>
      <w:r>
        <w:t>4. Types of Information and Where It May Be</w:t>
      </w:r>
    </w:p>
    <w:p>
      <w:r>
        <w:t xml:space="preserve">Covered information includes anything in any form, wherever it is stored, including drafts, copies, and versions, </w:t>
      </w:r>
      <w:r>
        <w:rPr>
          <w:b/>
        </w:rPr>
        <w:t>and its metadata</w:t>
      </w:r>
      <w:r>
        <w:t xml:space="preserve"> (dates, authors, edit history, audit trails). Examples: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448"/>
            <w:shd w:val="clear" w:color="auto" w:fill="D9E2F3"/>
          </w:tcPr>
          <w:p>
            <w:r/>
            <w:r>
              <w:rPr>
                <w:b/>
                <w:sz w:val="18"/>
              </w:rPr>
              <w:t>Category</w:t>
            </w:r>
          </w:p>
        </w:tc>
        <w:tc>
          <w:tcPr>
            <w:tcW w:type="dxa" w:w="6912"/>
            <w:shd w:val="clear" w:color="auto" w:fill="D9E2F3"/>
          </w:tcPr>
          <w:p>
            <w:r/>
            <w:r>
              <w:rPr>
                <w:b/>
                <w:sz w:val="18"/>
              </w:rPr>
              <w:t>Examples (not exhaustive)</w:t>
            </w:r>
          </w:p>
        </w:tc>
      </w:tr>
      <w:tr>
        <w:tc>
          <w:tcPr>
            <w:tcW w:type="dxa" w:w="2448"/>
          </w:tcPr>
          <w:p>
            <w:pPr>
              <w:spacing w:after="20"/>
            </w:pPr>
            <w:r/>
            <w:r>
              <w:rPr>
                <w:sz w:val="18"/>
              </w:rPr>
              <w:t>Email &amp; collaboration</w:t>
            </w:r>
          </w:p>
        </w:tc>
        <w:tc>
          <w:tcPr>
            <w:tcW w:type="dxa" w:w="6912"/>
          </w:tcPr>
          <w:p>
            <w:pPr>
              <w:spacing w:after="20"/>
            </w:pPr>
            <w:r/>
            <w:r>
              <w:rPr>
                <w:sz w:val="18"/>
              </w:rPr>
              <w:t>Microsoft 365 email (including Archive, Deleted Items, Sent Items), Teams chats and channel posts, calendar items, OneDrive, SharePoint sites, shared mailboxes (e.g., Quality@, RegulatoryAffairs@)</w:t>
            </w:r>
          </w:p>
        </w:tc>
      </w:tr>
      <w:tr>
        <w:tc>
          <w:tcPr>
            <w:tcW w:type="dxa" w:w="2448"/>
          </w:tcPr>
          <w:p>
            <w:pPr>
              <w:spacing w:after="20"/>
            </w:pPr>
            <w:r/>
            <w:r>
              <w:rPr>
                <w:sz w:val="18"/>
              </w:rPr>
              <w:t>Messaging &amp; phone</w:t>
            </w:r>
          </w:p>
        </w:tc>
        <w:tc>
          <w:tcPr>
            <w:tcW w:type="dxa" w:w="6912"/>
          </w:tcPr>
          <w:p>
            <w:pPr>
              <w:spacing w:after="20"/>
            </w:pPr>
            <w:r/>
            <w:r>
              <w:rPr>
                <w:sz w:val="18"/>
              </w:rPr>
              <w:t>Text messages (SMS/iMessage), WhatsApp, Signal, Telegram, LinkedIn or other app messages, voicemail, call logs, photos and videos (including images shared by surgeons)</w:t>
            </w:r>
          </w:p>
        </w:tc>
      </w:tr>
      <w:tr>
        <w:tc>
          <w:tcPr>
            <w:tcW w:type="dxa" w:w="2448"/>
          </w:tcPr>
          <w:p>
            <w:pPr>
              <w:spacing w:after="20"/>
            </w:pPr>
            <w:r/>
            <w:r>
              <w:rPr>
                <w:sz w:val="18"/>
              </w:rPr>
              <w:t>Business systems</w:t>
            </w:r>
          </w:p>
        </w:tc>
        <w:tc>
          <w:tcPr>
            <w:tcW w:type="dxa" w:w="6912"/>
          </w:tcPr>
          <w:p>
            <w:pPr>
              <w:spacing w:after="20"/>
            </w:pPr>
            <w:r/>
            <w:r>
              <w:rPr>
                <w:sz w:val="18"/>
              </w:rPr>
              <w:t>SAP (ECC 6.0 and S/4HANA), Veeva Vault QMS and Submissions (all versions, drafts, and audit trails), Salesforce CRM, VantagePulse, SolidWorks PDM, Workday, Diligent Boards</w:t>
            </w:r>
          </w:p>
        </w:tc>
      </w:tr>
      <w:tr>
        <w:tc>
          <w:tcPr>
            <w:tcW w:type="dxa" w:w="2448"/>
          </w:tcPr>
          <w:p>
            <w:pPr>
              <w:spacing w:after="20"/>
            </w:pPr>
            <w:r/>
            <w:r>
              <w:rPr>
                <w:sz w:val="18"/>
              </w:rPr>
              <w:t>Files</w:t>
            </w:r>
          </w:p>
        </w:tc>
        <w:tc>
          <w:tcPr>
            <w:tcW w:type="dxa" w:w="6912"/>
          </w:tcPr>
          <w:p>
            <w:pPr>
              <w:spacing w:after="20"/>
            </w:pPr>
            <w:r/>
            <w:r>
              <w:rPr>
                <w:sz w:val="18"/>
              </w:rPr>
              <w:t>Network drives (e.g., \\VNTG-ENG01\RnD\KR3000, \\VNTG-MFG01\Production, H: drives, departmental drives), laptop/desktop local drives, USB drives, external hard drives</w:t>
            </w:r>
          </w:p>
        </w:tc>
      </w:tr>
      <w:tr>
        <w:tc>
          <w:tcPr>
            <w:tcW w:type="dxa" w:w="2448"/>
          </w:tcPr>
          <w:p>
            <w:pPr>
              <w:spacing w:after="20"/>
            </w:pPr>
            <w:r/>
            <w:r>
              <w:rPr>
                <w:sz w:val="18"/>
              </w:rPr>
              <w:t>Personal accounts &amp; devices</w:t>
            </w:r>
          </w:p>
        </w:tc>
        <w:tc>
          <w:tcPr>
            <w:tcW w:type="dxa" w:w="6912"/>
          </w:tcPr>
          <w:p>
            <w:pPr>
              <w:spacing w:after="20"/>
            </w:pPr>
            <w:r/>
            <w:r>
              <w:rPr>
                <w:sz w:val="18"/>
              </w:rPr>
              <w:t>Personal phones, tablets, and computers; personal email (e.g., Gmail); personal cloud storage (iCloud, Google Drive, Dropbox) — if ever used for Company business (see Section 5)</w:t>
            </w:r>
          </w:p>
        </w:tc>
      </w:tr>
      <w:tr>
        <w:tc>
          <w:tcPr>
            <w:tcW w:type="dxa" w:w="2448"/>
          </w:tcPr>
          <w:p>
            <w:pPr>
              <w:spacing w:after="20"/>
            </w:pPr>
            <w:r/>
            <w:r>
              <w:rPr>
                <w:sz w:val="18"/>
              </w:rPr>
              <w:t>Paper &amp; physical items</w:t>
            </w:r>
          </w:p>
        </w:tc>
        <w:tc>
          <w:tcPr>
            <w:tcW w:type="dxa" w:w="6912"/>
          </w:tcPr>
          <w:p>
            <w:pPr>
              <w:spacing w:after="20"/>
            </w:pPr>
            <w:r/>
            <w:r>
              <w:rPr>
                <w:sz w:val="18"/>
              </w:rPr>
              <w:t>Engineering notebooks, lab notebooks, paper batch travelers, signed quality records, meeting notes, desk files, printouts with handwritten notes</w:t>
            </w:r>
          </w:p>
        </w:tc>
      </w:tr>
      <w:tr>
        <w:tc>
          <w:tcPr>
            <w:tcW w:type="dxa" w:w="2448"/>
          </w:tcPr>
          <w:p>
            <w:pPr>
              <w:spacing w:after="20"/>
            </w:pPr>
            <w:r/>
            <w:r>
              <w:rPr>
                <w:sz w:val="18"/>
              </w:rPr>
              <w:t>Physical evidence</w:t>
            </w:r>
          </w:p>
        </w:tc>
        <w:tc>
          <w:tcPr>
            <w:tcW w:type="dxa" w:w="6912"/>
          </w:tcPr>
          <w:p>
            <w:pPr>
              <w:spacing w:after="20"/>
            </w:pPr>
            <w:r/>
            <w:r>
              <w:rPr>
                <w:sz w:val="18"/>
              </w:rPr>
              <w:t xml:space="preserve">Retrieved/explanted or returned KR-3000 devices, test specimens and coupons, bench-test samples, retained production samples, metallurgical mounts, and SEM/profilometry samples. </w:t>
            </w:r>
            <w:r>
              <w:rPr>
                <w:b/>
                <w:sz w:val="18"/>
              </w:rPr>
              <w:t>Do not perform destructive testing, discard, or send out any such item without Legal Department approval.</w:t>
            </w:r>
          </w:p>
        </w:tc>
      </w:tr>
    </w:tbl>
    <w:p>
      <w:pPr>
        <w:spacing w:after="40"/>
      </w:pPr>
    </w:p>
    <w:p>
      <w:pPr>
        <w:pStyle w:val="Heading1"/>
      </w:pPr>
      <w:r>
        <w:t>5. Personal Devices and Personal Accounts</w:t>
      </w:r>
    </w:p>
    <w:p>
      <w:pPr>
        <w:jc w:val="both"/>
      </w:pPr>
      <w:r>
        <w:t xml:space="preserve">If you have </w:t>
      </w:r>
      <w:r>
        <w:rPr>
          <w:b/>
        </w:rPr>
        <w:t>ever</w:t>
      </w:r>
      <w:r>
        <w:t xml:space="preserve"> used a personal phone, personal email account, personal messaging app, or personal cloud storage for any communication or file relating to the subjects in Section 3 — for example, texting or WhatsApp messaging with surgeons, KOLs, colleagues, or field staff — that information is covered by this hold and </w:t>
      </w:r>
      <w:r>
        <w:rPr>
          <w:b/>
        </w:rPr>
        <w:t>you must preserve it</w:t>
      </w:r>
      <w:r>
        <w:t>. Specifically:</w:t>
      </w:r>
    </w:p>
    <w:p>
      <w:pPr>
        <w:pStyle w:val="ListBullet"/>
        <w:spacing w:after="60"/>
      </w:pPr>
      <w:r>
        <w:t>Do not delete work-related messages, threads, photos, or emails from personal devices or accounts.</w:t>
      </w:r>
    </w:p>
    <w:p>
      <w:pPr>
        <w:pStyle w:val="ListBullet"/>
        <w:spacing w:after="60"/>
      </w:pPr>
      <w:r>
        <w:t xml:space="preserve">Do not replace, trade in, sell, reset, or discard a personal device that contains work-related information without first contacting the Legal Department. If a device is lost, damaged, or must be replaced, contact the Legal Department </w:t>
      </w:r>
      <w:r>
        <w:rPr>
          <w:b/>
        </w:rPr>
        <w:t>before</w:t>
      </w:r>
      <w:r>
        <w:t xml:space="preserve"> taking action.</w:t>
      </w:r>
    </w:p>
    <w:p>
      <w:pPr>
        <w:pStyle w:val="ListBullet"/>
        <w:spacing w:after="60"/>
      </w:pPr>
      <w:r>
        <w:t>Keep any personal cloud backups (e.g., iCloud or WhatsApp chat backups) in place; do not disable or delete them.</w:t>
      </w:r>
    </w:p>
    <w:p>
      <w:pPr>
        <w:pStyle w:val="ListBullet"/>
        <w:spacing w:after="60"/>
      </w:pPr>
      <w:r>
        <w:t>Identify all such devices and accounts on the Questionnaire (Attachment 2).</w:t>
      </w:r>
    </w:p>
    <w:p>
      <w:pPr>
        <w:jc w:val="both"/>
      </w:pPr>
      <w:r>
        <w:rPr>
          <w:i/>
        </w:rPr>
        <w:t>The Company will not access your personal devices or accounts without discussing it with you first. Any collection will be limited to work-related information and handled with appropriate respect for your personal privacy.</w:t>
      </w:r>
    </w:p>
    <w:p>
      <w:pPr>
        <w:pStyle w:val="Heading1"/>
      </w:pPr>
      <w:r>
        <w:t>6. Specific Instructions — Mobile Devices and Messaging Apps (Do This Today)</w:t>
      </w:r>
    </w:p>
    <w:p>
      <w:pPr>
        <w:pStyle w:val="ListNumber"/>
        <w:spacing w:after="60"/>
      </w:pPr>
      <w:r>
        <w:rPr>
          <w:b/>
        </w:rPr>
        <w:t>iPhone Messages:</w:t>
      </w:r>
      <w:r>
        <w:t xml:space="preserve"> Settings → Messages → Keep Messages → select </w:t>
      </w:r>
      <w:r>
        <w:rPr>
          <w:b/>
        </w:rPr>
        <w:t>“Forever.”</w:t>
      </w:r>
      <w:r>
        <w:t xml:space="preserve"> (If set to 30 days or 1 year, messages are being deleted automatically.)</w:t>
      </w:r>
    </w:p>
    <w:p>
      <w:pPr>
        <w:pStyle w:val="ListNumber"/>
        <w:spacing w:after="60"/>
      </w:pPr>
      <w:r>
        <w:rPr>
          <w:b/>
        </w:rPr>
        <w:t>WhatsApp / Signal / other apps:</w:t>
      </w:r>
      <w:r>
        <w:t xml:space="preserve"> turn </w:t>
      </w:r>
      <w:r>
        <w:rPr>
          <w:b/>
        </w:rPr>
        <w:t>off</w:t>
      </w:r>
      <w:r>
        <w:t xml:space="preserve"> “Disappearing Messages” / default message timers for all chats, and do not “clear” or “delete” chats.</w:t>
      </w:r>
    </w:p>
    <w:p>
      <w:pPr>
        <w:pStyle w:val="ListNumber"/>
        <w:spacing w:after="60"/>
      </w:pPr>
      <w:r>
        <w:rPr>
          <w:b/>
        </w:rPr>
        <w:t>Voicemail:</w:t>
      </w:r>
      <w:r>
        <w:t xml:space="preserve"> do not delete voicemails relating to the KR-3000. The Legal Department is directing IT to suspend automated voicemail deletion.</w:t>
      </w:r>
    </w:p>
    <w:p>
      <w:pPr>
        <w:pStyle w:val="ListNumber"/>
        <w:spacing w:after="60"/>
      </w:pPr>
      <w:r>
        <w:rPr>
          <w:b/>
        </w:rPr>
        <w:t>Do not uninstall</w:t>
      </w:r>
      <w:r>
        <w:t xml:space="preserve"> VantagePulse, WhatsApp, or any messaging app, and do not log out of VantagePulse in a way that clears local data. If you are asked by IT to return a device, </w:t>
      </w:r>
      <w:r>
        <w:rPr>
          <w:b/>
        </w:rPr>
        <w:t>confirm with the Legal Department first</w:t>
      </w:r>
      <w:r>
        <w:t xml:space="preserve"> unless the request is for forensic imaging under this hold.</w:t>
      </w:r>
    </w:p>
    <w:p>
      <w:pPr>
        <w:pStyle w:val="ListNumber"/>
        <w:spacing w:after="60"/>
      </w:pPr>
      <w:r>
        <w:rPr>
          <w:b/>
        </w:rPr>
        <w:t>Company device refresh is suspended.</w:t>
      </w:r>
      <w:r>
        <w:t xml:space="preserve"> No company-issued device covered by this hold will be wiped or replaced until it has been forensically preserved. Keep your current device powered, charged, and in your possession unless and until you receive shipping instructions for preservation.</w:t>
      </w:r>
    </w:p>
    <w:p>
      <w:pPr>
        <w:pStyle w:val="Heading1"/>
      </w:pPr>
      <w:r>
        <w:t>7. What Else You Must Not Do</w:t>
      </w:r>
    </w:p>
    <w:p>
      <w:pPr>
        <w:pStyle w:val="ListBullet"/>
        <w:spacing w:after="60"/>
      </w:pPr>
      <w:r>
        <w:t>Do not delete, shred, or discard documents, even duplicates or drafts, and do not empty “Deleted Items,” recycle bins, or trash folders.</w:t>
      </w:r>
    </w:p>
    <w:p>
      <w:pPr>
        <w:pStyle w:val="ListBullet"/>
        <w:spacing w:after="60"/>
      </w:pPr>
      <w:r>
        <w:t>Do not run disk clean-up, file-shredding, or “optimization” software on any device containing covered information.</w:t>
      </w:r>
    </w:p>
    <w:p>
      <w:pPr>
        <w:pStyle w:val="ListBullet"/>
        <w:spacing w:after="60"/>
      </w:pPr>
      <w:r>
        <w:t>Do not modify, obsolete, retire, or archive Veeva Vault documents, or allow drafts to lapse, relating to the KR-3000 without Legal Department authorization.</w:t>
      </w:r>
    </w:p>
    <w:p>
      <w:pPr>
        <w:pStyle w:val="ListBullet"/>
        <w:spacing w:after="60"/>
      </w:pPr>
      <w:r>
        <w:t>Do not move, rename, reorganize, or annotate existing files, or delete Salesforce records or activity notes.</w:t>
      </w:r>
    </w:p>
    <w:p>
      <w:pPr>
        <w:pStyle w:val="ListBullet"/>
        <w:spacing w:after="60"/>
      </w:pPr>
      <w:r>
        <w:t>Do not send KR-3000 records or paper files to off-site storage (including Iron Mountain) without Legal Department clearance.</w:t>
      </w:r>
    </w:p>
    <w:p>
      <w:pPr>
        <w:pStyle w:val="ListBullet"/>
        <w:spacing w:after="60"/>
      </w:pPr>
      <w:r>
        <w:t>Do not forward covered information to personal accounts, and do not attempt to gather or copy documents yourself unless the Legal Department asks you to.</w:t>
      </w:r>
    </w:p>
    <w:p>
      <w:pPr>
        <w:pStyle w:val="Heading1"/>
      </w:pPr>
      <w:r>
        <w:t>8. Confidentiality and Communications About the Lawsuit</w:t>
      </w:r>
    </w:p>
    <w:p>
      <w:pPr>
        <w:jc w:val="both"/>
      </w:pPr>
      <w:r>
        <w:t>This notice is a confidential communication from the Legal Department. Please do not forward it outside the Company. Do not discuss the lawsuit or this notice with anyone outside the Company (including plaintiffs, their lawyers, surgeons, customers, or the media) and refer any inquiries about the lawsuit to the Legal Department. Please avoid creating new documents, emails, or messages commenting on the lawsuit or speculating about the issues in it; if you have concerns or relevant information, bring them directly to the Legal Department.</w:t>
      </w:r>
    </w:p>
    <w:p>
      <w:pPr>
        <w:jc w:val="both"/>
      </w:pPr>
      <w:r>
        <w:rPr>
          <w:b/>
        </w:rPr>
        <w:t>Protected reporting.</w:t>
      </w:r>
      <w:r>
        <w:t xml:space="preserve"> Nothing in this notice prohibits or restricts you from reporting possible violations of law to, communicating with, or providing information to any government agency (including the FDA, SEC, or Department of Justice), or from exercising any right protected by law. You do not need the Company’s permission to do so. Normal business operations — including complaint handling, MDR reporting, and regulatory obligations — must continue as usual.</w:t>
      </w:r>
    </w:p>
    <w:p>
      <w:pPr>
        <w:pStyle w:val="Heading1"/>
      </w:pPr>
      <w:r>
        <w:t>9. Privileged Materials</w:t>
      </w:r>
    </w:p>
    <w:p>
      <w:pPr>
        <w:jc w:val="both"/>
      </w:pPr>
      <w:r>
        <w:t xml:space="preserve">This hold applies to communications with lawyers (in-house or outside counsel), legal memoranda, and other privileged or work-product materials. </w:t>
      </w:r>
      <w:r>
        <w:rPr>
          <w:b/>
        </w:rPr>
        <w:t>Preserve them like everything else.</w:t>
      </w:r>
      <w:r>
        <w:t xml:space="preserve"> Preservation does not mean production: privileged materials will be collected and reviewed under separate procedures supervised by the Legal Department and outside counsel and will not be disclosed without appropriate privilege review.</w:t>
      </w:r>
    </w:p>
    <w:p>
      <w:pPr>
        <w:pStyle w:val="Heading1"/>
      </w:pPr>
      <w:r>
        <w:t>10. If You Change Roles or Leave the Company</w:t>
      </w:r>
    </w:p>
    <w:p>
      <w:pPr>
        <w:jc w:val="both"/>
      </w:pPr>
      <w:r>
        <w:t xml:space="preserve">Your obligations continue if you transfer roles. If you plan to leave the Company, notify the Legal Department </w:t>
      </w:r>
      <w:r>
        <w:rPr>
          <w:b/>
        </w:rPr>
        <w:t>as soon as you give notice</w:t>
      </w:r>
      <w:r>
        <w:t>. Before your last day, the Legal Department will arrange preservation of your devices and accounts and a brief exit interview. Do not return, wipe, or dispose of any device, and do not remove, delete, or take any covered information. Human Resources and IT will not process standard offboarding for any person subject to this hold without Legal Department clearance.</w:t>
      </w:r>
    </w:p>
    <w:p>
      <w:pPr>
        <w:pStyle w:val="Heading1"/>
      </w:pPr>
      <w:r>
        <w:t>11. If Information May Already Have Been Lost</w:t>
      </w:r>
    </w:p>
    <w:p>
      <w:pPr>
        <w:jc w:val="both"/>
      </w:pPr>
      <w:r>
        <w:t xml:space="preserve">If you know or suspect that any covered information has been deleted, lost, wiped, overwritten, or altered — at any time, before or after this notice (for example, through a device replacement, an auto-delete setting, or a routine clean-up) — tell the Legal Department </w:t>
      </w:r>
      <w:r>
        <w:rPr>
          <w:b/>
        </w:rPr>
        <w:t>immediately</w:t>
      </w:r>
      <w:r>
        <w:t>. Do not try to recover or recreate it yourself. Prompt reporting allows the Company to take recovery steps; it will be treated as cooperation.</w:t>
      </w:r>
    </w:p>
    <w:p>
      <w:pPr>
        <w:pStyle w:val="Heading1"/>
      </w:pPr>
      <w:r>
        <w:t>12. Duration, Reminders, and Compliance</w:t>
      </w:r>
    </w:p>
    <w:p>
      <w:pPr>
        <w:jc w:val="both"/>
      </w:pPr>
      <w:r>
        <w:t>This hold remains in effect until lifted in writing by the General Counsel. You will receive periodic reminders (the first on or about August 1, 2025, and at least quarterly thereafter) and may be asked to confirm continued compliance or to participate in an interview or data collection. Compliance with this notice is mandatory. Failure to comply can expose the Company to serious court sanctions and may result in disciplinary action up to and including termination, consistent with VNT-POL-007, Section 8.</w:t>
      </w:r>
    </w:p>
    <w:p>
      <w:pPr>
        <w:pStyle w:val="Heading1"/>
      </w:pPr>
      <w:r>
        <w:t>13. Questions and Contacts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val="clear" w:color="auto" w:fill="D9E2F3"/>
          </w:tcPr>
          <w:p>
            <w:r/>
            <w:r>
              <w:rPr>
                <w:b/>
                <w:sz w:val="18"/>
              </w:rPr>
              <w:t>Contact</w:t>
            </w:r>
          </w:p>
        </w:tc>
        <w:tc>
          <w:tcPr>
            <w:tcW w:type="dxa" w:w="3456"/>
            <w:shd w:val="clear" w:color="auto" w:fill="D9E2F3"/>
          </w:tcPr>
          <w:p>
            <w:r/>
            <w:r>
              <w:rPr>
                <w:b/>
                <w:sz w:val="18"/>
              </w:rPr>
              <w:t>For</w:t>
            </w:r>
          </w:p>
        </w:tc>
        <w:tc>
          <w:tcPr>
            <w:tcW w:type="dxa" w:w="3024"/>
            <w:shd w:val="clear" w:color="auto" w:fill="D9E2F3"/>
          </w:tcPr>
          <w:p>
            <w:r/>
            <w:r>
              <w:rPr>
                <w:b/>
                <w:sz w:val="18"/>
              </w:rPr>
              <w:t>Details</w:t>
            </w:r>
          </w:p>
        </w:tc>
      </w:tr>
      <w:tr>
        <w:tc>
          <w:tcPr>
            <w:tcW w:type="dxa" w:w="2880"/>
          </w:tcPr>
          <w:p>
            <w:pPr>
              <w:spacing w:after="20"/>
            </w:pPr>
            <w:r/>
            <w:r>
              <w:rPr>
                <w:sz w:val="18"/>
              </w:rPr>
              <w:t>Priya Chandrasekaran, General Counsel</w:t>
            </w:r>
          </w:p>
        </w:tc>
        <w:tc>
          <w:tcPr>
            <w:tcW w:type="dxa" w:w="3456"/>
          </w:tcPr>
          <w:p>
            <w:pPr>
              <w:spacing w:after="20"/>
            </w:pPr>
            <w:r/>
            <w:r>
              <w:rPr>
                <w:sz w:val="18"/>
              </w:rPr>
              <w:t>Scope questions; reporting loss; departures; device replacement</w:t>
            </w:r>
          </w:p>
        </w:tc>
        <w:tc>
          <w:tcPr>
            <w:tcW w:type="dxa" w:w="3024"/>
          </w:tcPr>
          <w:p>
            <w:pPr>
              <w:spacing w:after="20"/>
            </w:pPr>
            <w:r/>
            <w:r>
              <w:rPr>
                <w:sz w:val="18"/>
              </w:rPr>
              <w:t>pchandrasekaran@vantagemeddevices.com | ext. 4200</w:t>
            </w:r>
          </w:p>
        </w:tc>
      </w:tr>
      <w:tr>
        <w:tc>
          <w:tcPr>
            <w:tcW w:type="dxa" w:w="2880"/>
          </w:tcPr>
          <w:p>
            <w:pPr>
              <w:spacing w:after="20"/>
            </w:pPr>
            <w:r/>
            <w:r>
              <w:rPr>
                <w:sz w:val="18"/>
              </w:rPr>
              <w:t>Natalie R. Prichard, Calloway Prichard Weeks LLP (outside counsel)</w:t>
            </w:r>
          </w:p>
        </w:tc>
        <w:tc>
          <w:tcPr>
            <w:tcW w:type="dxa" w:w="3456"/>
          </w:tcPr>
          <w:p>
            <w:pPr>
              <w:spacing w:after="20"/>
            </w:pPr>
            <w:r/>
            <w:r>
              <w:rPr>
                <w:sz w:val="18"/>
              </w:rPr>
              <w:t>Legal questions; personal-device questions</w:t>
            </w:r>
          </w:p>
        </w:tc>
        <w:tc>
          <w:tcPr>
            <w:tcW w:type="dxa" w:w="3024"/>
          </w:tcPr>
          <w:p>
            <w:pPr>
              <w:spacing w:after="20"/>
            </w:pPr>
            <w:r/>
            <w:r>
              <w:rPr>
                <w:sz w:val="18"/>
              </w:rPr>
              <w:t>nprichard@callowayweeks.com | (317) 555-0142</w:t>
            </w:r>
          </w:p>
        </w:tc>
      </w:tr>
      <w:tr>
        <w:tc>
          <w:tcPr>
            <w:tcW w:type="dxa" w:w="2880"/>
          </w:tcPr>
          <w:p>
            <w:pPr>
              <w:spacing w:after="20"/>
            </w:pPr>
            <w:r/>
            <w:r>
              <w:rPr>
                <w:sz w:val="18"/>
              </w:rPr>
              <w:t>Marcus Tilden, Director of IT</w:t>
            </w:r>
          </w:p>
        </w:tc>
        <w:tc>
          <w:tcPr>
            <w:tcW w:type="dxa" w:w="3456"/>
          </w:tcPr>
          <w:p>
            <w:pPr>
              <w:spacing w:after="20"/>
            </w:pPr>
            <w:r/>
            <w:r>
              <w:rPr>
                <w:sz w:val="18"/>
              </w:rPr>
              <w:t>Technical questions only (device settings, system access). IT will act on preservation only as directed in writing by Legal.</w:t>
            </w:r>
          </w:p>
        </w:tc>
        <w:tc>
          <w:tcPr>
            <w:tcW w:type="dxa" w:w="3024"/>
          </w:tcPr>
          <w:p>
            <w:pPr>
              <w:spacing w:after="20"/>
            </w:pPr>
            <w:r/>
            <w:r>
              <w:rPr>
                <w:sz w:val="18"/>
              </w:rPr>
              <w:t>mtilden@vantagemeddevices.com | (260) 555-0184</w:t>
            </w:r>
          </w:p>
        </w:tc>
      </w:tr>
    </w:tbl>
    <w:p>
      <w:pPr>
        <w:spacing w:after="40"/>
      </w:pPr>
    </w:p>
    <w:p>
      <w:r>
        <w:t xml:space="preserve">When in doubt, </w:t>
      </w:r>
      <w:r>
        <w:rPr>
          <w:b/>
        </w:rPr>
        <w:t>preserve</w:t>
      </w:r>
      <w:r>
        <w:t xml:space="preserve"> — and ask. Thank you for your prompt cooperation.</w:t>
      </w:r>
    </w:p>
    <w:p/>
    <w:p>
      <w:pPr>
        <w:spacing w:after="0"/>
      </w:pPr>
      <w:r>
        <w:t>Priya Chandrasekaran</w:t>
      </w:r>
    </w:p>
    <w:p>
      <w:r>
        <w:t>General Counsel, Vantage Medical Devices, Inc.</w:t>
      </w:r>
    </w:p>
    <w:p>
      <w:r>
        <w:br w:type="page"/>
      </w:r>
    </w:p>
    <w:p>
      <w:pPr>
        <w:pStyle w:val="Heading1"/>
      </w:pPr>
      <w:r>
        <w:t>Schedule A — Distribution List (Hold LH-2025-001)</w:t>
      </w:r>
    </w:p>
    <w:p>
      <w:pPr>
        <w:jc w:val="both"/>
      </w:pPr>
      <w:r>
        <w:rPr>
          <w:i/>
          <w:sz w:val="19"/>
        </w:rPr>
        <w:t>Delivery: email with read receipt plus hard copy (hand delivery) for all individually named custodians. Field sales representatives receive this notice together with the Supplemental Notice at Attachment 3. Custodian-specific instructions (Attachment 4) are delivered only to the named individual.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504"/>
            <w:shd w:val="clear" w:color="auto" w:fill="D9E2F3"/>
          </w:tcPr>
          <w:p>
            <w:r/>
            <w:r>
              <w:rPr>
                <w:b/>
                <w:sz w:val="18"/>
              </w:rPr>
              <w:t>#</w:t>
            </w:r>
          </w:p>
        </w:tc>
        <w:tc>
          <w:tcPr>
            <w:tcW w:type="dxa" w:w="3312"/>
            <w:shd w:val="clear" w:color="auto" w:fill="D9E2F3"/>
          </w:tcPr>
          <w:p>
            <w:r/>
            <w:r>
              <w:rPr>
                <w:b/>
                <w:sz w:val="18"/>
              </w:rPr>
              <w:t>Custodian / Group</w:t>
            </w:r>
          </w:p>
        </w:tc>
        <w:tc>
          <w:tcPr>
            <w:tcW w:type="dxa" w:w="5544"/>
            <w:shd w:val="clear" w:color="auto" w:fill="D9E2F3"/>
          </w:tcPr>
          <w:p>
            <w:r/>
            <w:r>
              <w:rPr>
                <w:b/>
                <w:sz w:val="18"/>
              </w:rPr>
              <w:t>Role (per Company records — HR to confirm)</w:t>
            </w:r>
          </w:p>
        </w:tc>
      </w:tr>
      <w:tr>
        <w:tc>
          <w:tcPr>
            <w:tcW w:type="dxa" w:w="504"/>
          </w:tcPr>
          <w:p>
            <w:pPr>
              <w:spacing w:after="20"/>
            </w:pPr>
            <w:r/>
            <w:r>
              <w:rPr>
                <w:sz w:val="18"/>
              </w:rPr>
              <w:t>1</w:t>
            </w:r>
          </w:p>
        </w:tc>
        <w:tc>
          <w:tcPr>
            <w:tcW w:type="dxa" w:w="3312"/>
          </w:tcPr>
          <w:p>
            <w:pPr>
              <w:spacing w:after="20"/>
            </w:pPr>
            <w:r/>
            <w:r>
              <w:rPr>
                <w:sz w:val="18"/>
              </w:rPr>
              <w:t>Gerald T. Morrissey</w:t>
            </w:r>
          </w:p>
        </w:tc>
        <w:tc>
          <w:tcPr>
            <w:tcW w:type="dxa" w:w="5544"/>
          </w:tcPr>
          <w:p>
            <w:pPr>
              <w:spacing w:after="20"/>
            </w:pPr>
            <w:r/>
            <w:r>
              <w:rPr>
                <w:sz w:val="18"/>
              </w:rPr>
              <w:t>Chief Executive Officer</w:t>
            </w:r>
          </w:p>
        </w:tc>
      </w:tr>
      <w:tr>
        <w:tc>
          <w:tcPr>
            <w:tcW w:type="dxa" w:w="504"/>
          </w:tcPr>
          <w:p>
            <w:pPr>
              <w:spacing w:after="20"/>
            </w:pPr>
            <w:r/>
            <w:r>
              <w:rPr>
                <w:sz w:val="18"/>
              </w:rPr>
              <w:t>2</w:t>
            </w:r>
          </w:p>
        </w:tc>
        <w:tc>
          <w:tcPr>
            <w:tcW w:type="dxa" w:w="3312"/>
          </w:tcPr>
          <w:p>
            <w:pPr>
              <w:spacing w:after="20"/>
            </w:pPr>
            <w:r/>
            <w:r>
              <w:rPr>
                <w:sz w:val="18"/>
              </w:rPr>
              <w:t>Dr. Wei-Lin Huang</w:t>
            </w:r>
          </w:p>
        </w:tc>
        <w:tc>
          <w:tcPr>
            <w:tcW w:type="dxa" w:w="5544"/>
          </w:tcPr>
          <w:p>
            <w:pPr>
              <w:spacing w:after="20"/>
            </w:pPr>
            <w:r/>
            <w:r>
              <w:rPr>
                <w:sz w:val="18"/>
              </w:rPr>
              <w:t>Vice President, Research &amp; Development</w:t>
            </w:r>
          </w:p>
        </w:tc>
      </w:tr>
      <w:tr>
        <w:tc>
          <w:tcPr>
            <w:tcW w:type="dxa" w:w="504"/>
          </w:tcPr>
          <w:p>
            <w:pPr>
              <w:spacing w:after="20"/>
            </w:pPr>
            <w:r/>
            <w:r>
              <w:rPr>
                <w:sz w:val="18"/>
              </w:rPr>
              <w:t>3</w:t>
            </w:r>
          </w:p>
        </w:tc>
        <w:tc>
          <w:tcPr>
            <w:tcW w:type="dxa" w:w="3312"/>
          </w:tcPr>
          <w:p>
            <w:pPr>
              <w:spacing w:after="20"/>
            </w:pPr>
            <w:r/>
            <w:r>
              <w:rPr>
                <w:sz w:val="18"/>
              </w:rPr>
              <w:t>Sandra K. Petrosian</w:t>
            </w:r>
          </w:p>
        </w:tc>
        <w:tc>
          <w:tcPr>
            <w:tcW w:type="dxa" w:w="5544"/>
          </w:tcPr>
          <w:p>
            <w:pPr>
              <w:spacing w:after="20"/>
            </w:pPr>
            <w:r/>
            <w:r>
              <w:rPr>
                <w:sz w:val="18"/>
              </w:rPr>
              <w:t>Director of Quality Assurance (departing June 20, 2025)</w:t>
            </w:r>
          </w:p>
        </w:tc>
      </w:tr>
      <w:tr>
        <w:tc>
          <w:tcPr>
            <w:tcW w:type="dxa" w:w="504"/>
          </w:tcPr>
          <w:p>
            <w:pPr>
              <w:spacing w:after="20"/>
            </w:pPr>
            <w:r/>
            <w:r>
              <w:rPr>
                <w:sz w:val="18"/>
              </w:rPr>
              <w:t>4</w:t>
            </w:r>
          </w:p>
        </w:tc>
        <w:tc>
          <w:tcPr>
            <w:tcW w:type="dxa" w:w="3312"/>
          </w:tcPr>
          <w:p>
            <w:pPr>
              <w:spacing w:after="20"/>
            </w:pPr>
            <w:r/>
            <w:r>
              <w:rPr>
                <w:sz w:val="18"/>
              </w:rPr>
              <w:t>Thomas J. Braddock</w:t>
            </w:r>
          </w:p>
        </w:tc>
        <w:tc>
          <w:tcPr>
            <w:tcW w:type="dxa" w:w="5544"/>
          </w:tcPr>
          <w:p>
            <w:pPr>
              <w:spacing w:after="20"/>
            </w:pPr>
            <w:r/>
            <w:r>
              <w:rPr>
                <w:sz w:val="18"/>
              </w:rPr>
              <w:t>Vice President, Regulatory Affairs (interim manager, Quality Assurance)</w:t>
            </w:r>
          </w:p>
        </w:tc>
      </w:tr>
      <w:tr>
        <w:tc>
          <w:tcPr>
            <w:tcW w:type="dxa" w:w="504"/>
          </w:tcPr>
          <w:p>
            <w:pPr>
              <w:spacing w:after="20"/>
            </w:pPr>
            <w:r/>
            <w:r>
              <w:rPr>
                <w:sz w:val="18"/>
              </w:rPr>
              <w:t>5</w:t>
            </w:r>
          </w:p>
        </w:tc>
        <w:tc>
          <w:tcPr>
            <w:tcW w:type="dxa" w:w="3312"/>
          </w:tcPr>
          <w:p>
            <w:pPr>
              <w:spacing w:after="20"/>
            </w:pPr>
            <w:r/>
            <w:r>
              <w:rPr>
                <w:sz w:val="18"/>
              </w:rPr>
              <w:t>Dr. Anita Suresh</w:t>
            </w:r>
          </w:p>
        </w:tc>
        <w:tc>
          <w:tcPr>
            <w:tcW w:type="dxa" w:w="5544"/>
          </w:tcPr>
          <w:p>
            <w:pPr>
              <w:spacing w:after="20"/>
            </w:pPr>
            <w:r/>
            <w:r>
              <w:rPr>
                <w:sz w:val="18"/>
              </w:rPr>
              <w:t>Medical Director / Chief Medical Officer (Clinical Affairs)</w:t>
            </w:r>
          </w:p>
        </w:tc>
      </w:tr>
      <w:tr>
        <w:tc>
          <w:tcPr>
            <w:tcW w:type="dxa" w:w="504"/>
          </w:tcPr>
          <w:p>
            <w:pPr>
              <w:spacing w:after="20"/>
            </w:pPr>
            <w:r/>
            <w:r>
              <w:rPr>
                <w:sz w:val="18"/>
              </w:rPr>
              <w:t>6</w:t>
            </w:r>
          </w:p>
        </w:tc>
        <w:tc>
          <w:tcPr>
            <w:tcW w:type="dxa" w:w="3312"/>
          </w:tcPr>
          <w:p>
            <w:pPr>
              <w:spacing w:after="20"/>
            </w:pPr>
            <w:r/>
            <w:r>
              <w:rPr>
                <w:sz w:val="18"/>
              </w:rPr>
              <w:t>James D. Kowalski</w:t>
            </w:r>
          </w:p>
        </w:tc>
        <w:tc>
          <w:tcPr>
            <w:tcW w:type="dxa" w:w="5544"/>
          </w:tcPr>
          <w:p>
            <w:pPr>
              <w:spacing w:after="20"/>
            </w:pPr>
            <w:r/>
            <w:r>
              <w:rPr>
                <w:sz w:val="18"/>
              </w:rPr>
              <w:t>Vice President, Manufacturing Operations</w:t>
            </w:r>
          </w:p>
        </w:tc>
      </w:tr>
      <w:tr>
        <w:tc>
          <w:tcPr>
            <w:tcW w:type="dxa" w:w="504"/>
          </w:tcPr>
          <w:p>
            <w:pPr>
              <w:spacing w:after="20"/>
            </w:pPr>
            <w:r/>
            <w:r>
              <w:rPr>
                <w:sz w:val="18"/>
              </w:rPr>
              <w:t>7</w:t>
            </w:r>
          </w:p>
        </w:tc>
        <w:tc>
          <w:tcPr>
            <w:tcW w:type="dxa" w:w="3312"/>
          </w:tcPr>
          <w:p>
            <w:pPr>
              <w:spacing w:after="20"/>
            </w:pPr>
            <w:r/>
            <w:r>
              <w:rPr>
                <w:sz w:val="18"/>
              </w:rPr>
              <w:t>Michelle R. Torrence</w:t>
            </w:r>
          </w:p>
        </w:tc>
        <w:tc>
          <w:tcPr>
            <w:tcW w:type="dxa" w:w="5544"/>
          </w:tcPr>
          <w:p>
            <w:pPr>
              <w:spacing w:after="20"/>
            </w:pPr>
            <w:r/>
            <w:r>
              <w:rPr>
                <w:sz w:val="18"/>
              </w:rPr>
              <w:t>Director of Sales &amp; Marketing</w:t>
            </w:r>
          </w:p>
        </w:tc>
      </w:tr>
      <w:tr>
        <w:tc>
          <w:tcPr>
            <w:tcW w:type="dxa" w:w="504"/>
          </w:tcPr>
          <w:p>
            <w:pPr>
              <w:spacing w:after="20"/>
            </w:pPr>
            <w:r/>
            <w:r>
              <w:rPr>
                <w:sz w:val="18"/>
              </w:rPr>
              <w:t>8</w:t>
            </w:r>
          </w:p>
        </w:tc>
        <w:tc>
          <w:tcPr>
            <w:tcW w:type="dxa" w:w="3312"/>
          </w:tcPr>
          <w:p>
            <w:pPr>
              <w:spacing w:after="20"/>
            </w:pPr>
            <w:r/>
            <w:r>
              <w:rPr>
                <w:sz w:val="18"/>
              </w:rPr>
              <w:t>Brian P. Callahan</w:t>
            </w:r>
          </w:p>
        </w:tc>
        <w:tc>
          <w:tcPr>
            <w:tcW w:type="dxa" w:w="5544"/>
          </w:tcPr>
          <w:p>
            <w:pPr>
              <w:spacing w:after="20"/>
            </w:pPr>
            <w:r/>
            <w:r>
              <w:rPr>
                <w:sz w:val="18"/>
              </w:rPr>
              <w:t>Vice President of Finance / CFO</w:t>
            </w:r>
          </w:p>
        </w:tc>
      </w:tr>
      <w:tr>
        <w:tc>
          <w:tcPr>
            <w:tcW w:type="dxa" w:w="504"/>
          </w:tcPr>
          <w:p>
            <w:pPr>
              <w:spacing w:after="20"/>
            </w:pPr>
            <w:r/>
            <w:r>
              <w:rPr>
                <w:sz w:val="18"/>
              </w:rPr>
              <w:t>9</w:t>
            </w:r>
          </w:p>
        </w:tc>
        <w:tc>
          <w:tcPr>
            <w:tcW w:type="dxa" w:w="3312"/>
          </w:tcPr>
          <w:p>
            <w:pPr>
              <w:spacing w:after="20"/>
            </w:pPr>
            <w:r/>
            <w:r>
              <w:rPr>
                <w:sz w:val="18"/>
              </w:rPr>
              <w:t>Priya Chandrasekaran</w:t>
            </w:r>
          </w:p>
        </w:tc>
        <w:tc>
          <w:tcPr>
            <w:tcW w:type="dxa" w:w="5544"/>
          </w:tcPr>
          <w:p>
            <w:pPr>
              <w:spacing w:after="20"/>
            </w:pPr>
            <w:r/>
            <w:r>
              <w:rPr>
                <w:sz w:val="18"/>
              </w:rPr>
              <w:t>General Counsel (self-applied; privilege protocol applies)</w:t>
            </w:r>
          </w:p>
        </w:tc>
      </w:tr>
      <w:tr>
        <w:tc>
          <w:tcPr>
            <w:tcW w:type="dxa" w:w="504"/>
          </w:tcPr>
          <w:p>
            <w:pPr>
              <w:spacing w:after="20"/>
            </w:pPr>
            <w:r/>
            <w:r>
              <w:rPr>
                <w:sz w:val="18"/>
              </w:rPr>
              <w:t>10</w:t>
            </w:r>
          </w:p>
        </w:tc>
        <w:tc>
          <w:tcPr>
            <w:tcW w:type="dxa" w:w="3312"/>
          </w:tcPr>
          <w:p>
            <w:pPr>
              <w:spacing w:after="20"/>
            </w:pPr>
            <w:r/>
            <w:r>
              <w:rPr>
                <w:sz w:val="18"/>
              </w:rPr>
              <w:t>Marcus Tilden</w:t>
            </w:r>
          </w:p>
        </w:tc>
        <w:tc>
          <w:tcPr>
            <w:tcW w:type="dxa" w:w="5544"/>
          </w:tcPr>
          <w:p>
            <w:pPr>
              <w:spacing w:after="20"/>
            </w:pPr>
            <w:r/>
            <w:r>
              <w:rPr>
                <w:sz w:val="18"/>
              </w:rPr>
              <w:t>Director of Information Technology (custodian and IT preservation liaison)</w:t>
            </w:r>
          </w:p>
        </w:tc>
      </w:tr>
      <w:tr>
        <w:tc>
          <w:tcPr>
            <w:tcW w:type="dxa" w:w="504"/>
          </w:tcPr>
          <w:p>
            <w:pPr>
              <w:spacing w:after="20"/>
            </w:pPr>
            <w:r/>
            <w:r>
              <w:rPr>
                <w:sz w:val="18"/>
              </w:rPr>
              <w:t>11</w:t>
            </w:r>
          </w:p>
        </w:tc>
        <w:tc>
          <w:tcPr>
            <w:tcW w:type="dxa" w:w="3312"/>
          </w:tcPr>
          <w:p>
            <w:pPr>
              <w:spacing w:after="20"/>
            </w:pPr>
            <w:r/>
            <w:r>
              <w:rPr>
                <w:sz w:val="18"/>
              </w:rPr>
              <w:t>Colleen M. Waverly</w:t>
            </w:r>
          </w:p>
        </w:tc>
        <w:tc>
          <w:tcPr>
            <w:tcW w:type="dxa" w:w="5544"/>
          </w:tcPr>
          <w:p>
            <w:pPr>
              <w:spacing w:after="20"/>
            </w:pPr>
            <w:r/>
            <w:r>
              <w:rPr>
                <w:sz w:val="18"/>
              </w:rPr>
              <w:t>Human Resources</w:t>
            </w:r>
          </w:p>
        </w:tc>
      </w:tr>
      <w:tr>
        <w:tc>
          <w:tcPr>
            <w:tcW w:type="dxa" w:w="504"/>
          </w:tcPr>
          <w:p>
            <w:pPr>
              <w:spacing w:after="20"/>
            </w:pPr>
            <w:r/>
            <w:r>
              <w:rPr>
                <w:sz w:val="18"/>
              </w:rPr>
              <w:t>12</w:t>
            </w:r>
          </w:p>
        </w:tc>
        <w:tc>
          <w:tcPr>
            <w:tcW w:type="dxa" w:w="3312"/>
          </w:tcPr>
          <w:p>
            <w:pPr>
              <w:spacing w:after="20"/>
            </w:pPr>
            <w:r/>
            <w:r>
              <w:rPr>
                <w:sz w:val="18"/>
              </w:rPr>
              <w:t>Quality Assurance team</w:t>
            </w:r>
          </w:p>
        </w:tc>
        <w:tc>
          <w:tcPr>
            <w:tcW w:type="dxa" w:w="5544"/>
          </w:tcPr>
          <w:p>
            <w:pPr>
              <w:spacing w:after="20"/>
            </w:pPr>
            <w:r/>
            <w:r>
              <w:rPr>
                <w:sz w:val="18"/>
              </w:rPr>
              <w:t>Two QA Managers and Complaint Handling Specialist reporting to Ms. Petrosian; QA document control / Records Archive Room 2-104 staff</w:t>
            </w:r>
          </w:p>
        </w:tc>
      </w:tr>
      <w:tr>
        <w:tc>
          <w:tcPr>
            <w:tcW w:type="dxa" w:w="504"/>
          </w:tcPr>
          <w:p>
            <w:pPr>
              <w:spacing w:after="20"/>
            </w:pPr>
            <w:r/>
            <w:r>
              <w:rPr>
                <w:sz w:val="18"/>
              </w:rPr>
              <w:t>13</w:t>
            </w:r>
          </w:p>
        </w:tc>
        <w:tc>
          <w:tcPr>
            <w:tcW w:type="dxa" w:w="3312"/>
          </w:tcPr>
          <w:p>
            <w:pPr>
              <w:spacing w:after="20"/>
            </w:pPr>
            <w:r/>
            <w:r>
              <w:rPr>
                <w:sz w:val="18"/>
              </w:rPr>
              <w:t>R&amp;D engineering team</w:t>
            </w:r>
          </w:p>
        </w:tc>
        <w:tc>
          <w:tcPr>
            <w:tcW w:type="dxa" w:w="5544"/>
          </w:tcPr>
          <w:p>
            <w:pPr>
              <w:spacing w:after="20"/>
            </w:pPr>
            <w:r/>
            <w:r>
              <w:rPr>
                <w:sz w:val="18"/>
              </w:rPr>
              <w:t>Six engineers with access to \\VNTG-ENG01\RnD\KR3000 and SolidWorks PDM; metallurgy/test lab personnel</w:t>
            </w:r>
          </w:p>
        </w:tc>
      </w:tr>
      <w:tr>
        <w:tc>
          <w:tcPr>
            <w:tcW w:type="dxa" w:w="504"/>
          </w:tcPr>
          <w:p>
            <w:pPr>
              <w:spacing w:after="20"/>
            </w:pPr>
            <w:r/>
            <w:r>
              <w:rPr>
                <w:sz w:val="18"/>
              </w:rPr>
              <w:t>14</w:t>
            </w:r>
          </w:p>
        </w:tc>
        <w:tc>
          <w:tcPr>
            <w:tcW w:type="dxa" w:w="3312"/>
          </w:tcPr>
          <w:p>
            <w:pPr>
              <w:spacing w:after="20"/>
            </w:pPr>
            <w:r/>
            <w:r>
              <w:rPr>
                <w:sz w:val="18"/>
              </w:rPr>
              <w:t>Regulatory Affairs staff</w:t>
            </w:r>
          </w:p>
        </w:tc>
        <w:tc>
          <w:tcPr>
            <w:tcW w:type="dxa" w:w="5544"/>
          </w:tcPr>
          <w:p>
            <w:pPr>
              <w:spacing w:after="20"/>
            </w:pPr>
            <w:r/>
            <w:r>
              <w:rPr>
                <w:sz w:val="18"/>
              </w:rPr>
              <w:t>Personnel supporting K192847, MDRs, and FDA correspondence</w:t>
            </w:r>
          </w:p>
        </w:tc>
      </w:tr>
      <w:tr>
        <w:tc>
          <w:tcPr>
            <w:tcW w:type="dxa" w:w="504"/>
          </w:tcPr>
          <w:p>
            <w:pPr>
              <w:spacing w:after="20"/>
            </w:pPr>
            <w:r/>
            <w:r>
              <w:rPr>
                <w:sz w:val="18"/>
              </w:rPr>
              <w:t>15</w:t>
            </w:r>
          </w:p>
        </w:tc>
        <w:tc>
          <w:tcPr>
            <w:tcW w:type="dxa" w:w="3312"/>
          </w:tcPr>
          <w:p>
            <w:pPr>
              <w:spacing w:after="20"/>
            </w:pPr>
            <w:r/>
            <w:r>
              <w:rPr>
                <w:sz w:val="18"/>
              </w:rPr>
              <w:t>Manufacturing &amp; supplier quality</w:t>
            </w:r>
          </w:p>
        </w:tc>
        <w:tc>
          <w:tcPr>
            <w:tcW w:type="dxa" w:w="5544"/>
          </w:tcPr>
          <w:p>
            <w:pPr>
              <w:spacing w:after="20"/>
            </w:pPr>
            <w:r/>
            <w:r>
              <w:rPr>
                <w:sz w:val="18"/>
              </w:rPr>
              <w:t>Fort Wayne production, document control, and supplier quality staff responsible for Ashford oversight</w:t>
            </w:r>
          </w:p>
        </w:tc>
      </w:tr>
      <w:tr>
        <w:tc>
          <w:tcPr>
            <w:tcW w:type="dxa" w:w="504"/>
          </w:tcPr>
          <w:p>
            <w:pPr>
              <w:spacing w:after="20"/>
            </w:pPr>
            <w:r/>
            <w:r>
              <w:rPr>
                <w:sz w:val="18"/>
              </w:rPr>
              <w:t>16</w:t>
            </w:r>
          </w:p>
        </w:tc>
        <w:tc>
          <w:tcPr>
            <w:tcW w:type="dxa" w:w="3312"/>
          </w:tcPr>
          <w:p>
            <w:pPr>
              <w:spacing w:after="20"/>
            </w:pPr>
            <w:r/>
            <w:r>
              <w:rPr>
                <w:sz w:val="18"/>
              </w:rPr>
              <w:t>Sales Operations &amp; Marketing</w:t>
            </w:r>
          </w:p>
        </w:tc>
        <w:tc>
          <w:tcPr>
            <w:tcW w:type="dxa" w:w="5544"/>
          </w:tcPr>
          <w:p>
            <w:pPr>
              <w:spacing w:after="20"/>
            </w:pPr>
            <w:r/>
            <w:r>
              <w:rPr>
                <w:sz w:val="18"/>
              </w:rPr>
              <w:t>Salesforce administrators, Sales Operations, marketing/promotional review staff</w:t>
            </w:r>
          </w:p>
        </w:tc>
      </w:tr>
      <w:tr>
        <w:tc>
          <w:tcPr>
            <w:tcW w:type="dxa" w:w="504"/>
          </w:tcPr>
          <w:p>
            <w:pPr>
              <w:spacing w:after="20"/>
            </w:pPr>
            <w:r/>
            <w:r>
              <w:rPr>
                <w:sz w:val="18"/>
              </w:rPr>
              <w:t>17</w:t>
            </w:r>
          </w:p>
        </w:tc>
        <w:tc>
          <w:tcPr>
            <w:tcW w:type="dxa" w:w="3312"/>
          </w:tcPr>
          <w:p>
            <w:pPr>
              <w:spacing w:after="20"/>
            </w:pPr>
            <w:r/>
            <w:r>
              <w:rPr>
                <w:sz w:val="18"/>
              </w:rPr>
              <w:t>Field Sales Representatives (85)</w:t>
            </w:r>
          </w:p>
        </w:tc>
        <w:tc>
          <w:tcPr>
            <w:tcW w:type="dxa" w:w="5544"/>
          </w:tcPr>
          <w:p>
            <w:pPr>
              <w:spacing w:after="20"/>
            </w:pPr>
            <w:r/>
            <w:r>
              <w:rPr>
                <w:sz w:val="18"/>
              </w:rPr>
              <w:t>All field representatives in 22 territories — with Attachment 3</w:t>
            </w:r>
          </w:p>
        </w:tc>
      </w:tr>
      <w:tr>
        <w:tc>
          <w:tcPr>
            <w:tcW w:type="dxa" w:w="504"/>
          </w:tcPr>
          <w:p>
            <w:pPr>
              <w:spacing w:after="20"/>
            </w:pPr>
            <w:r/>
            <w:r>
              <w:rPr>
                <w:sz w:val="18"/>
              </w:rPr>
              <w:t>18</w:t>
            </w:r>
          </w:p>
        </w:tc>
        <w:tc>
          <w:tcPr>
            <w:tcW w:type="dxa" w:w="3312"/>
          </w:tcPr>
          <w:p>
            <w:pPr>
              <w:spacing w:after="20"/>
            </w:pPr>
            <w:r/>
            <w:r>
              <w:rPr>
                <w:sz w:val="18"/>
              </w:rPr>
              <w:t>Clinical Affairs staff</w:t>
            </w:r>
          </w:p>
        </w:tc>
        <w:tc>
          <w:tcPr>
            <w:tcW w:type="dxa" w:w="5544"/>
          </w:tcPr>
          <w:p>
            <w:pPr>
              <w:spacing w:after="20"/>
            </w:pPr>
            <w:r/>
            <w:r>
              <w:rPr>
                <w:sz w:val="18"/>
              </w:rPr>
              <w:t>Staff supporting surgeon advisory board, KOL programs, and clinical evaluations</w:t>
            </w:r>
          </w:p>
        </w:tc>
      </w:tr>
      <w:tr>
        <w:tc>
          <w:tcPr>
            <w:tcW w:type="dxa" w:w="504"/>
          </w:tcPr>
          <w:p>
            <w:pPr>
              <w:spacing w:after="20"/>
            </w:pPr>
            <w:r/>
            <w:r>
              <w:rPr>
                <w:sz w:val="18"/>
              </w:rPr>
              <w:t>19</w:t>
            </w:r>
          </w:p>
        </w:tc>
        <w:tc>
          <w:tcPr>
            <w:tcW w:type="dxa" w:w="3312"/>
          </w:tcPr>
          <w:p>
            <w:pPr>
              <w:spacing w:after="20"/>
            </w:pPr>
            <w:r/>
            <w:r>
              <w:rPr>
                <w:sz w:val="18"/>
              </w:rPr>
              <w:t>IT Department</w:t>
            </w:r>
          </w:p>
        </w:tc>
        <w:tc>
          <w:tcPr>
            <w:tcW w:type="dxa" w:w="5544"/>
          </w:tcPr>
          <w:p>
            <w:pPr>
              <w:spacing w:after="20"/>
            </w:pPr>
            <w:r/>
            <w:r>
              <w:rPr>
                <w:sz w:val="18"/>
              </w:rPr>
              <w:t>SAP Basis/migration team, M365 administrators, MDM/endpoint team, backup (Commvault/LTO) operators, Salesforce and Veeva administrators</w:t>
            </w:r>
          </w:p>
        </w:tc>
      </w:tr>
      <w:tr>
        <w:tc>
          <w:tcPr>
            <w:tcW w:type="dxa" w:w="504"/>
          </w:tcPr>
          <w:p>
            <w:pPr>
              <w:spacing w:after="20"/>
            </w:pPr>
            <w:r/>
            <w:r>
              <w:rPr>
                <w:sz w:val="18"/>
              </w:rPr>
              <w:t>20</w:t>
            </w:r>
          </w:p>
        </w:tc>
        <w:tc>
          <w:tcPr>
            <w:tcW w:type="dxa" w:w="3312"/>
          </w:tcPr>
          <w:p>
            <w:pPr>
              <w:spacing w:after="20"/>
            </w:pPr>
            <w:r/>
            <w:r>
              <w:rPr>
                <w:sz w:val="18"/>
              </w:rPr>
              <w:t>Finance</w:t>
            </w:r>
          </w:p>
        </w:tc>
        <w:tc>
          <w:tcPr>
            <w:tcW w:type="dxa" w:w="5544"/>
          </w:tcPr>
          <w:p>
            <w:pPr>
              <w:spacing w:after="20"/>
            </w:pPr>
            <w:r/>
            <w:r>
              <w:rPr>
                <w:sz w:val="18"/>
              </w:rPr>
              <w:t>Staff preparing warranty reserve, accrual, and KR-3000 revenue/forecast analyses</w:t>
            </w:r>
          </w:p>
        </w:tc>
      </w:tr>
      <w:tr>
        <w:tc>
          <w:tcPr>
            <w:tcW w:type="dxa" w:w="504"/>
          </w:tcPr>
          <w:p>
            <w:pPr>
              <w:spacing w:after="20"/>
            </w:pPr>
            <w:r/>
            <w:r>
              <w:rPr>
                <w:sz w:val="18"/>
              </w:rPr>
              <w:t>21</w:t>
            </w:r>
          </w:p>
        </w:tc>
        <w:tc>
          <w:tcPr>
            <w:tcW w:type="dxa" w:w="3312"/>
          </w:tcPr>
          <w:p>
            <w:pPr>
              <w:spacing w:after="20"/>
            </w:pPr>
            <w:r/>
            <w:r>
              <w:rPr>
                <w:sz w:val="18"/>
              </w:rPr>
              <w:t>Executive assistants</w:t>
            </w:r>
          </w:p>
        </w:tc>
        <w:tc>
          <w:tcPr>
            <w:tcW w:type="dxa" w:w="5544"/>
          </w:tcPr>
          <w:p>
            <w:pPr>
              <w:spacing w:after="20"/>
            </w:pPr>
            <w:r/>
            <w:r>
              <w:rPr>
                <w:sz w:val="18"/>
              </w:rPr>
              <w:t>Assistants to the CEO, VP R&amp;D, VP Regulatory Affairs, CMO, VP Manufacturing, and CFO</w:t>
            </w:r>
          </w:p>
        </w:tc>
      </w:tr>
    </w:tbl>
    <w:p>
      <w:pPr>
        <w:spacing w:after="40"/>
      </w:pPr>
    </w:p>
    <w:p>
      <w:r>
        <w:br w:type="page"/>
      </w:r>
    </w:p>
    <w:p>
      <w:pPr>
        <w:pStyle w:val="Heading1"/>
      </w:pPr>
      <w:r>
        <w:t>Attachment 1 — Litigation Hold Acknowledgment and Certification (Form VNT-FRM-045)</w:t>
      </w:r>
    </w:p>
    <w:tbl>
      <w:tblPr>
        <w:tblW w:type="auto" w:w="0"/>
        <w:tblLayout w:type="fixed"/>
        <w:tblLook w:firstColumn="1" w:firstRow="1" w:lastColumn="0" w:lastRow="0" w:noHBand="0" w:noVBand="1" w:val="04A0"/>
      </w:tblPr>
      <w:tblGrid>
        <w:gridCol w:w="4680"/>
        <w:gridCol w:w="4680"/>
      </w:tblGrid>
      <w:tr>
        <w:tc>
          <w:tcPr>
            <w:tcW w:type="dxa" w:w="2160"/>
          </w:tcPr>
          <w:p>
            <w:r/>
            <w:r>
              <w:rPr>
                <w:b/>
              </w:rPr>
              <w:t>Matter:</w:t>
            </w:r>
          </w:p>
        </w:tc>
        <w:tc>
          <w:tcPr>
            <w:tcW w:type="dxa" w:w="7200"/>
          </w:tcPr>
          <w:p>
            <w:r/>
            <w:r>
              <w:rPr>
                <w:i/>
              </w:rPr>
              <w:t>Kessler et al. v. Vantage Medical Devices, Inc.</w:t>
            </w:r>
            <w:r>
              <w:t>, No. 1:25-cv-04387-RLM (S.D. Ind.) — Hold LH-2025-001</w:t>
            </w:r>
          </w:p>
        </w:tc>
      </w:tr>
      <w:tr>
        <w:tc>
          <w:tcPr>
            <w:tcW w:type="dxa" w:w="2160"/>
          </w:tcPr>
          <w:p>
            <w:r/>
            <w:r>
              <w:rPr>
                <w:b/>
              </w:rPr>
              <w:t>Notice date:</w:t>
            </w:r>
          </w:p>
        </w:tc>
        <w:tc>
          <w:tcPr>
            <w:tcW w:type="dxa" w:w="7200"/>
          </w:tcPr>
          <w:p>
            <w:r/>
            <w:r>
              <w:t>June 2, 2025</w:t>
            </w:r>
          </w:p>
        </w:tc>
      </w:tr>
      <w:tr>
        <w:tc>
          <w:tcPr>
            <w:tcW w:type="dxa" w:w="2160"/>
          </w:tcPr>
          <w:p>
            <w:r/>
            <w:r>
              <w:rPr>
                <w:b/>
              </w:rPr>
              <w:t>Return by:</w:t>
            </w:r>
          </w:p>
        </w:tc>
        <w:tc>
          <w:tcPr>
            <w:tcW w:type="dxa" w:w="7200"/>
          </w:tcPr>
          <w:p>
            <w:r/>
            <w:r>
              <w:rPr>
                <w:b/>
              </w:rPr>
              <w:t>5:00 p.m. ET, Monday, June 9, 2025</w:t>
            </w:r>
          </w:p>
        </w:tc>
      </w:tr>
      <w:tr>
        <w:tc>
          <w:tcPr>
            <w:tcW w:type="dxa" w:w="2160"/>
          </w:tcPr>
          <w:p>
            <w:r/>
            <w:r>
              <w:rPr>
                <w:b/>
              </w:rPr>
              <w:t>Custodian name:</w:t>
            </w:r>
          </w:p>
        </w:tc>
        <w:tc>
          <w:tcPr>
            <w:tcW w:type="dxa" w:w="7200"/>
          </w:tcPr>
          <w:p>
            <w:r/>
            <w:r>
              <w:t>_______________________________</w:t>
            </w:r>
          </w:p>
        </w:tc>
      </w:tr>
      <w:tr>
        <w:tc>
          <w:tcPr>
            <w:tcW w:type="dxa" w:w="2160"/>
          </w:tcPr>
          <w:p>
            <w:r/>
            <w:r>
              <w:rPr>
                <w:b/>
              </w:rPr>
              <w:t>Title / Dept.:</w:t>
            </w:r>
          </w:p>
        </w:tc>
        <w:tc>
          <w:tcPr>
            <w:tcW w:type="dxa" w:w="7200"/>
          </w:tcPr>
          <w:p>
            <w:r/>
            <w:r>
              <w:t>_______________________________</w:t>
            </w:r>
          </w:p>
        </w:tc>
      </w:tr>
      <w:tr>
        <w:tc>
          <w:tcPr>
            <w:tcW w:type="dxa" w:w="2160"/>
          </w:tcPr>
          <w:p>
            <w:r/>
            <w:r>
              <w:rPr>
                <w:b/>
              </w:rPr>
              <w:t>Date received:</w:t>
            </w:r>
          </w:p>
        </w:tc>
        <w:tc>
          <w:tcPr>
            <w:tcW w:type="dxa" w:w="7200"/>
          </w:tcPr>
          <w:p>
            <w:r/>
            <w:r>
              <w:t>_______________________________</w:t>
            </w:r>
          </w:p>
        </w:tc>
      </w:tr>
    </w:tbl>
    <w:p/>
    <w:p>
      <w:pPr>
        <w:spacing w:after="40"/>
      </w:pPr>
      <w:r>
        <w:t>By signing below, I certify that:</w:t>
      </w:r>
    </w:p>
    <w:p>
      <w:pPr>
        <w:pStyle w:val="ListNumber"/>
        <w:spacing w:after="60"/>
      </w:pPr>
      <w:r>
        <w:t>I have received and read the Litigation Hold Notice dated June 2, 2025, including all attachments, and I understand it.</w:t>
      </w:r>
    </w:p>
    <w:p>
      <w:pPr>
        <w:pStyle w:val="ListNumber"/>
        <w:spacing w:after="60"/>
      </w:pPr>
      <w:r>
        <w:t>I understand that I must preserve all documents, electronically stored information, and physical items within the scope of the hold, wherever located — including on Company systems, personal devices, personal email accounts, personal messaging apps, and personal cloud storage — until notified in writing that the hold has been lifted.</w:t>
      </w:r>
    </w:p>
    <w:p>
      <w:pPr>
        <w:pStyle w:val="ListNumber"/>
        <w:spacing w:after="60"/>
      </w:pPr>
      <w:r>
        <w:t>I have changed the auto-delete settings on my phone(s) and messaging apps as instructed in Section 6.</w:t>
      </w:r>
    </w:p>
    <w:p>
      <w:pPr>
        <w:pStyle w:val="ListNumber"/>
        <w:spacing w:after="60"/>
      </w:pPr>
      <w:r>
        <w:t xml:space="preserve">I have not destroyed, deleted, or altered any potentially relevant information since I became aware of this lawsuit, </w:t>
      </w:r>
      <w:r>
        <w:rPr>
          <w:b/>
        </w:rPr>
        <w:t>except as described below</w:t>
      </w:r>
      <w:r>
        <w:t xml:space="preserve"> (write “None” if none):</w:t>
        <w:br/>
        <w:t>_____________________________________________________________________</w:t>
      </w:r>
    </w:p>
    <w:p>
      <w:pPr>
        <w:pStyle w:val="ListNumber"/>
        <w:spacing w:after="60"/>
      </w:pPr>
      <w:r>
        <w:t>I have completed the Questionnaire (Attachment 2) truthfully and to the best of my knowledge.</w:t>
      </w:r>
    </w:p>
    <w:p>
      <w:pPr>
        <w:pStyle w:val="ListNumber"/>
        <w:spacing w:after="60"/>
      </w:pPr>
      <w:r>
        <w:t>I will contact the Legal Department with any questions, if I learn of relevant information at risk, or before leaving the Company or replacing any device.</w:t>
      </w:r>
    </w:p>
    <w:p/>
    <w:p>
      <w:r>
        <w:t>Signature: _______________________________      Date: ________________</w:t>
      </w:r>
    </w:p>
    <w:p>
      <w:r>
        <w:rPr>
          <w:i/>
          <w:sz w:val="19"/>
        </w:rPr>
        <w:t>Return to: Office of the General Counsel, Attn: Priya Chandrasekaran — by email (scanned or e-signature) to pchandrasekaran@vantagemeddevices.com, or by hand to the Legal Department, 4100 Stellhorn Road, Fort Wayne, IN 46815.</w:t>
      </w:r>
    </w:p>
    <w:p>
      <w:r>
        <w:br w:type="page"/>
      </w:r>
    </w:p>
    <w:p>
      <w:pPr>
        <w:pStyle w:val="Heading1"/>
      </w:pPr>
      <w:r>
        <w:t>Attachment 2 — Custodian Data Source &amp; Personal Device Questionnaire</w:t>
      </w:r>
    </w:p>
    <w:p>
      <w:pPr>
        <w:jc w:val="both"/>
      </w:pPr>
      <w:r>
        <w:rPr>
          <w:i/>
          <w:sz w:val="20"/>
        </w:rPr>
        <w:t xml:space="preserve">Return with Attachment 1 by </w:t>
      </w:r>
      <w:r>
        <w:rPr>
          <w:b/>
          <w:i/>
          <w:sz w:val="20"/>
        </w:rPr>
        <w:t>June 9, 2025</w:t>
      </w:r>
      <w:r>
        <w:rPr>
          <w:i/>
          <w:sz w:val="20"/>
        </w:rPr>
        <w:t>. Your answers help the Legal Department preserve information properly; they are confidential communications with Company counsel. Attach additional pages as needed.</w:t>
      </w:r>
    </w:p>
    <w:p>
      <w:pPr>
        <w:pStyle w:val="Heading3"/>
      </w:pPr>
      <w:r>
        <w:t>A. Company systems and files</w:t>
      </w:r>
    </w:p>
    <w:p>
      <w:pPr>
        <w:pStyle w:val="ListNumber"/>
        <w:spacing w:after="20"/>
      </w:pPr>
      <w:r>
        <w:rPr>
          <w:sz w:val="20"/>
        </w:rPr>
        <w:t>List the Company systems you have used for KR-3000-related work (e.g., M365, SAP, Veeva Vault, Salesforce, VantagePulse, SolidWorks PDM, Diligent Boards, Workday).</w:t>
      </w:r>
    </w:p>
    <w:p>
      <w:pPr>
        <w:spacing w:after="80"/>
      </w:pPr>
      <w:r>
        <w:rPr>
          <w:sz w:val="20"/>
        </w:rPr>
        <w:t>_____________________________________________________________________________</w:t>
      </w:r>
    </w:p>
    <w:p>
      <w:pPr>
        <w:pStyle w:val="ListNumber"/>
        <w:spacing w:after="20"/>
      </w:pPr>
      <w:r>
        <w:rPr>
          <w:sz w:val="20"/>
        </w:rPr>
        <w:t>List network drive locations, SharePoint sites, Teams channels, or shared mailboxes where you keep KR-3000-related files.</w:t>
      </w:r>
    </w:p>
    <w:p>
      <w:pPr>
        <w:spacing w:after="80"/>
      </w:pPr>
      <w:r>
        <w:rPr>
          <w:sz w:val="20"/>
        </w:rPr>
        <w:t>_____________________________________________________________________________</w:t>
      </w:r>
    </w:p>
    <w:p>
      <w:pPr>
        <w:pStyle w:val="ListNumber"/>
        <w:spacing w:after="20"/>
      </w:pPr>
      <w:r>
        <w:rPr>
          <w:sz w:val="20"/>
        </w:rPr>
        <w:t>Do you keep KR-3000 files on your laptop/desktop hard drive, USB drives, or external drives? Describe.</w:t>
      </w:r>
    </w:p>
    <w:p>
      <w:pPr>
        <w:spacing w:after="80"/>
      </w:pPr>
      <w:r>
        <w:rPr>
          <w:sz w:val="20"/>
        </w:rPr>
        <w:t>_____________________________________________________________________________</w:t>
      </w:r>
    </w:p>
    <w:p>
      <w:pPr>
        <w:pStyle w:val="ListNumber"/>
        <w:spacing w:after="20"/>
      </w:pPr>
      <w:r>
        <w:rPr>
          <w:sz w:val="20"/>
        </w:rPr>
        <w:t>Do you have paper files, notebooks, or physical items (including retrieved devices or test samples) related to the KR-3000? Where are they kept?</w:t>
      </w:r>
    </w:p>
    <w:p>
      <w:pPr>
        <w:spacing w:after="80"/>
      </w:pPr>
      <w:r>
        <w:rPr>
          <w:sz w:val="20"/>
        </w:rPr>
        <w:t>_____________________________________________________________________________</w:t>
      </w:r>
    </w:p>
    <w:p>
      <w:pPr>
        <w:pStyle w:val="Heading3"/>
      </w:pPr>
      <w:r>
        <w:t>B. Mobile devices</w:t>
      </w:r>
    </w:p>
    <w:p>
      <w:pPr>
        <w:pStyle w:val="ListNumber"/>
        <w:spacing w:after="20"/>
      </w:pPr>
      <w:r>
        <w:rPr>
          <w:sz w:val="20"/>
        </w:rPr>
        <w:t>List every phone or tablet (company-issued or personal) you have used for work since January 1, 2017, including any replaced devices, and what happened to each prior device.</w:t>
      </w:r>
    </w:p>
    <w:p>
      <w:pPr>
        <w:spacing w:after="80"/>
      </w:pPr>
      <w:r>
        <w:rPr>
          <w:sz w:val="20"/>
        </w:rPr>
        <w:t>_____________________________________________________________________________</w:t>
      </w:r>
    </w:p>
    <w:p>
      <w:pPr>
        <w:pStyle w:val="ListNumber"/>
        <w:spacing w:after="20"/>
      </w:pPr>
      <w:r>
        <w:rPr>
          <w:sz w:val="20"/>
        </w:rPr>
        <w:t>Have you changed your iPhone “Keep Messages” setting to “Forever” and turned off disappearing-message timers? (Yes / No)</w:t>
      </w:r>
    </w:p>
    <w:p>
      <w:pPr>
        <w:spacing w:after="80"/>
      </w:pPr>
      <w:r>
        <w:rPr>
          <w:sz w:val="20"/>
        </w:rPr>
        <w:t>_____________________________________________________________________________</w:t>
      </w:r>
    </w:p>
    <w:p>
      <w:pPr>
        <w:pStyle w:val="Heading3"/>
      </w:pPr>
      <w:r>
        <w:t>C. Personal accounts and messaging apps</w:t>
      </w:r>
    </w:p>
    <w:p>
      <w:pPr>
        <w:pStyle w:val="ListNumber"/>
        <w:spacing w:after="20"/>
      </w:pPr>
      <w:r>
        <w:rPr>
          <w:sz w:val="20"/>
        </w:rPr>
        <w:t>Have you ever used a personal phone for work-related calls, texts, or messages? With whom (e.g., surgeons, KOLs, advisory board members, colleagues, field staff, suppliers)? Approximate dates?</w:t>
      </w:r>
    </w:p>
    <w:p>
      <w:pPr>
        <w:spacing w:after="80"/>
      </w:pPr>
      <w:r>
        <w:rPr>
          <w:sz w:val="20"/>
        </w:rPr>
        <w:t>_____________________________________________________________________________</w:t>
      </w:r>
    </w:p>
    <w:p>
      <w:pPr>
        <w:pStyle w:val="ListNumber"/>
        <w:spacing w:after="20"/>
      </w:pPr>
      <w:r>
        <w:rPr>
          <w:sz w:val="20"/>
        </w:rPr>
        <w:t>Have you ever used a personal email account (e.g., Gmail) for Company business? Which account(s) and approximate dates?</w:t>
      </w:r>
    </w:p>
    <w:p>
      <w:pPr>
        <w:spacing w:after="80"/>
      </w:pPr>
      <w:r>
        <w:rPr>
          <w:sz w:val="20"/>
        </w:rPr>
        <w:t>_____________________________________________________________________________</w:t>
      </w:r>
    </w:p>
    <w:p>
      <w:pPr>
        <w:pStyle w:val="ListNumber"/>
        <w:spacing w:after="20"/>
      </w:pPr>
      <w:r>
        <w:rPr>
          <w:sz w:val="20"/>
        </w:rPr>
        <w:t>Which messaging apps have you used for work (iMessage/SMS, WhatsApp, Signal, Telegram, LinkedIn, other)? Were disappearing messages ever enabled?</w:t>
      </w:r>
    </w:p>
    <w:p>
      <w:pPr>
        <w:spacing w:after="80"/>
      </w:pPr>
      <w:r>
        <w:rPr>
          <w:sz w:val="20"/>
        </w:rPr>
        <w:t>_____________________________________________________________________________</w:t>
      </w:r>
    </w:p>
    <w:p>
      <w:pPr>
        <w:pStyle w:val="ListNumber"/>
        <w:spacing w:after="20"/>
      </w:pPr>
      <w:r>
        <w:rPr>
          <w:sz w:val="20"/>
        </w:rPr>
        <w:t>Have you stored work files in personal cloud storage (iCloud, Google Drive, Dropbox, OneDrive personal)? Describe.</w:t>
      </w:r>
    </w:p>
    <w:p>
      <w:pPr>
        <w:spacing w:after="80"/>
      </w:pPr>
      <w:r>
        <w:rPr>
          <w:sz w:val="20"/>
        </w:rPr>
        <w:t>_____________________________________________________________________________</w:t>
      </w:r>
    </w:p>
    <w:p>
      <w:pPr>
        <w:pStyle w:val="ListNumber"/>
        <w:spacing w:after="20"/>
      </w:pPr>
      <w:r>
        <w:rPr>
          <w:sz w:val="20"/>
        </w:rPr>
        <w:t>Do you back up your phone or WhatsApp to a personal cloud account? (Yes / No / Don’t know)</w:t>
      </w:r>
    </w:p>
    <w:p>
      <w:pPr>
        <w:spacing w:after="80"/>
      </w:pPr>
      <w:r>
        <w:rPr>
          <w:sz w:val="20"/>
        </w:rPr>
        <w:t>_____________________________________________________________________________</w:t>
      </w:r>
    </w:p>
    <w:p>
      <w:pPr>
        <w:pStyle w:val="Heading3"/>
      </w:pPr>
      <w:r>
        <w:t>D. Other sources and people</w:t>
      </w:r>
    </w:p>
    <w:p>
      <w:pPr>
        <w:pStyle w:val="ListNumber"/>
        <w:spacing w:after="20"/>
      </w:pPr>
      <w:r>
        <w:rPr>
          <w:sz w:val="20"/>
        </w:rPr>
        <w:t>Identify any other person (inside or outside the Company) who you believe has KR-3000-related information not listed above, including former employees.</w:t>
      </w:r>
    </w:p>
    <w:p>
      <w:pPr>
        <w:spacing w:after="80"/>
      </w:pPr>
      <w:r>
        <w:rPr>
          <w:sz w:val="20"/>
        </w:rPr>
        <w:t>_____________________________________________________________________________</w:t>
      </w:r>
    </w:p>
    <w:p>
      <w:pPr>
        <w:pStyle w:val="ListNumber"/>
        <w:spacing w:after="20"/>
      </w:pPr>
      <w:r>
        <w:rPr>
          <w:sz w:val="20"/>
        </w:rPr>
        <w:t>Are you aware of any KR-3000-related information that has been deleted, lost, or discarded at any time? Describe.</w:t>
      </w:r>
    </w:p>
    <w:p>
      <w:pPr>
        <w:spacing w:after="80"/>
      </w:pPr>
      <w:r>
        <w:rPr>
          <w:sz w:val="20"/>
        </w:rPr>
        <w:t>_____________________________________________________________________________</w:t>
      </w:r>
    </w:p>
    <w:p>
      <w:pPr>
        <w:pStyle w:val="ListNumber"/>
        <w:spacing w:after="20"/>
      </w:pPr>
      <w:r>
        <w:rPr>
          <w:sz w:val="20"/>
        </w:rPr>
        <w:t>Do you anticipate leaving the Company or changing roles in the next six months? (Yes / No)</w:t>
      </w:r>
    </w:p>
    <w:p>
      <w:pPr>
        <w:spacing w:after="80"/>
      </w:pPr>
      <w:r>
        <w:rPr>
          <w:sz w:val="20"/>
        </w:rPr>
        <w:t>_____________________________________________________________________________</w:t>
      </w:r>
    </w:p>
    <w:p>
      <w:r>
        <w:t>Name: ___________________________   Signature: ___________________________   Date: ____________</w:t>
      </w:r>
    </w:p>
    <w:p>
      <w:r>
        <w:br w:type="page"/>
      </w:r>
    </w:p>
    <w:p>
      <w:pPr>
        <w:pStyle w:val="Heading1"/>
      </w:pPr>
      <w:r>
        <w:t>Attachment 3 — Supplemental Hold Notice to Field Sales Representatives</w:t>
      </w:r>
    </w:p>
    <w:p>
      <w:r>
        <w:rPr>
          <w:b/>
          <w:sz w:val="20"/>
        </w:rPr>
        <w:t>To:</w:t>
      </w:r>
      <w:r>
        <w:rPr>
          <w:sz w:val="20"/>
        </w:rPr>
        <w:t xml:space="preserve"> All Field Sales Representatives (via Michelle R. Torrence, Director of Sales &amp; Marketing)   </w:t>
      </w:r>
      <w:r>
        <w:rPr>
          <w:b/>
          <w:sz w:val="20"/>
        </w:rPr>
        <w:t>Date:</w:t>
      </w:r>
      <w:r>
        <w:rPr>
          <w:sz w:val="20"/>
        </w:rPr>
        <w:t xml:space="preserve"> June 2, 2025   </w:t>
      </w:r>
      <w:r>
        <w:rPr>
          <w:b/>
          <w:sz w:val="20"/>
        </w:rPr>
        <w:t>Acknowledge by:</w:t>
      </w:r>
      <w:r>
        <w:rPr>
          <w:sz w:val="20"/>
        </w:rPr>
        <w:t xml:space="preserve"> June 9, 2025 (e-signature link to follow)</w:t>
      </w:r>
    </w:p>
    <w:p>
      <w:pPr>
        <w:jc w:val="both"/>
      </w:pPr>
      <w:r>
        <w:t>You are receiving the Litigation Hold Notice above because your communications with surgeons, hospitals, and operating room staff about the ProFlex KR-3000 may be relevant to a lawsuit against the Company. Please read the full notice. The key points for field representatives are:</w:t>
      </w:r>
    </w:p>
    <w:p>
      <w:pPr>
        <w:pStyle w:val="ListNumber"/>
        <w:spacing w:after="60"/>
      </w:pPr>
      <w:r>
        <w:rPr>
          <w:b/>
        </w:rPr>
        <w:t>Keep your company iPhone.</w:t>
      </w:r>
      <w:r>
        <w:t xml:space="preserve"> The scheduled device refresh (including the replacement cycle that was to begin June 23, 2025) is </w:t>
      </w:r>
      <w:r>
        <w:rPr>
          <w:b/>
        </w:rPr>
        <w:t>suspended</w:t>
      </w:r>
      <w:r>
        <w:t>. Do not return, reset, wipe, or trade in your device unless you receive written shipping instructions from the Legal Department or its forensic vendor, Corestone Analytics, for preservation imaging. If your device is lost, stolen, or broken, notify the Legal Department and IT the same day.</w:t>
      </w:r>
    </w:p>
    <w:p>
      <w:pPr>
        <w:pStyle w:val="ListNumber"/>
        <w:spacing w:after="60"/>
      </w:pPr>
      <w:r>
        <w:rPr>
          <w:b/>
        </w:rPr>
        <w:t>Do not delete texts, iMessages, WhatsApp chats, call logs, voicemails, or photos</w:t>
      </w:r>
      <w:r>
        <w:t xml:space="preserve"> relating to the KR-3000, surgeons, cases, complaints, device performance, or patient outcomes — including group chats.</w:t>
      </w:r>
    </w:p>
    <w:p>
      <w:pPr>
        <w:pStyle w:val="ListNumber"/>
        <w:spacing w:after="60"/>
      </w:pPr>
      <w:r>
        <w:rPr>
          <w:b/>
        </w:rPr>
        <w:t>Change your settings today:</w:t>
      </w:r>
      <w:r>
        <w:t xml:space="preserve"> Settings → Messages → Keep Messages → </w:t>
      </w:r>
      <w:r>
        <w:rPr>
          <w:b/>
        </w:rPr>
        <w:t>Forever</w:t>
      </w:r>
      <w:r>
        <w:t>; turn off WhatsApp “Disappearing messages” and any default message timer.</w:t>
      </w:r>
    </w:p>
    <w:p>
      <w:pPr>
        <w:pStyle w:val="ListNumber"/>
        <w:spacing w:after="60"/>
      </w:pPr>
      <w:r>
        <w:rPr>
          <w:b/>
        </w:rPr>
        <w:t>VantagePulse:</w:t>
      </w:r>
      <w:r>
        <w:t xml:space="preserve"> do not uninstall the app, clear its data, or delete notes, messages, photos, feedback forms, or offline logs. If you are prompted to sync, you may sync — but do not delete anything after syncing.</w:t>
      </w:r>
    </w:p>
    <w:p>
      <w:pPr>
        <w:pStyle w:val="ListNumber"/>
        <w:spacing w:after="60"/>
      </w:pPr>
      <w:r>
        <w:rPr>
          <w:b/>
        </w:rPr>
        <w:t>Salesforce:</w:t>
      </w:r>
      <w:r>
        <w:t xml:space="preserve"> do not delete or edit existing activity records, notes, or complaint escalations. Continue to log new activity normally.</w:t>
      </w:r>
    </w:p>
    <w:p>
      <w:pPr>
        <w:pStyle w:val="ListNumber"/>
        <w:spacing w:after="60"/>
      </w:pPr>
      <w:r>
        <w:rPr>
          <w:b/>
        </w:rPr>
        <w:t>Personal phones:</w:t>
      </w:r>
      <w:r>
        <w:t xml:space="preserve"> if you have ever used a personal phone or personal account to communicate with surgeons or colleagues about the KR-3000, you must preserve those messages as well. Identify this on the Questionnaire (Attachment 2). Do not replace or reset that phone without contacting the Legal Department.</w:t>
      </w:r>
    </w:p>
    <w:p>
      <w:pPr>
        <w:pStyle w:val="ListNumber"/>
        <w:spacing w:after="60"/>
      </w:pPr>
      <w:r>
        <w:rPr>
          <w:b/>
        </w:rPr>
        <w:t>Continue reporting complaints normally.</w:t>
      </w:r>
      <w:r>
        <w:t xml:space="preserve"> Any report of a device problem or adverse patient outcome must still be forwarded promptly through the Company’s standard complaint-handling process. Nothing in this hold changes your complaint-reporting obligations.</w:t>
      </w:r>
    </w:p>
    <w:p>
      <w:pPr>
        <w:pStyle w:val="ListNumber"/>
        <w:spacing w:after="60"/>
      </w:pPr>
      <w:r>
        <w:rPr>
          <w:b/>
        </w:rPr>
        <w:t>Do not discuss the lawsuit</w:t>
      </w:r>
      <w:r>
        <w:t xml:space="preserve"> with surgeons, hospital staff, or customers. Refer any questions about the lawsuit to the Legal Department. (This does not limit protected reporting to government agencies — see Section 8 of the notice.)</w:t>
      </w:r>
    </w:p>
    <w:p>
      <w:r>
        <w:br w:type="page"/>
      </w:r>
    </w:p>
    <w:p>
      <w:pPr>
        <w:pStyle w:val="Heading1"/>
      </w:pPr>
      <w:r>
        <w:t>Attachment 4 — Custodian-Specific Preservation Instructions</w:t>
      </w:r>
    </w:p>
    <w:p>
      <w:r>
        <w:rPr>
          <w:i/>
          <w:sz w:val="19"/>
        </w:rPr>
        <w:t>Each addendum below is delivered only to the named custodian, in addition to the general notice.</w:t>
      </w:r>
    </w:p>
    <w:p>
      <w:pPr>
        <w:pStyle w:val="Heading3"/>
      </w:pPr>
      <w:r>
        <w:t>Sandra K. Petrosian — Director of Quality Assurance</w:t>
      </w:r>
    </w:p>
    <w:p>
      <w:pPr>
        <w:pStyle w:val="ListBullet"/>
        <w:spacing w:after="60"/>
      </w:pPr>
      <w:r>
        <w:t xml:space="preserve">Because your last day is June 20, 2025, the Legal Department has directed HR and IT to </w:t>
      </w:r>
      <w:r>
        <w:rPr>
          <w:b/>
        </w:rPr>
        <w:t>suspend standard offboarding</w:t>
      </w:r>
      <w:r>
        <w:t xml:space="preserve"> for you. Your laptop, company iPhone, H: drive, M365 mailbox, SAP access, and Veeva Vault account will </w:t>
      </w:r>
      <w:r>
        <w:rPr>
          <w:b/>
        </w:rPr>
        <w:t>not</w:t>
      </w:r>
      <w:r>
        <w:t xml:space="preserve"> be reimaged, wiped, converted, purged, or deleted.</w:t>
      </w:r>
    </w:p>
    <w:p>
      <w:pPr>
        <w:pStyle w:val="ListBullet"/>
        <w:spacing w:after="60"/>
      </w:pPr>
      <w:r>
        <w:t xml:space="preserve">Corestone Analytics will forensically image your laptop, company iPhone, and H: drive, and export Veeva Vault data under your credentials, on a date to be scheduled </w:t>
      </w:r>
      <w:r>
        <w:rPr>
          <w:b/>
        </w:rPr>
        <w:t>no later than June 13, 2025</w:t>
      </w:r>
      <w:r>
        <w:t>. Please make yourself available and be prepared to unlock devices (including BitLocker).</w:t>
      </w:r>
    </w:p>
    <w:p>
      <w:pPr>
        <w:pStyle w:val="ListBullet"/>
        <w:spacing w:after="60"/>
      </w:pPr>
      <w:r>
        <w:t>Please participate in a Veeva Vault QMS administrator knowledge-transfer session (to be scheduled by June 12) and a brief preservation interview with counsel to identify record locations (including paper records in Room 2-104 and personal devices, if any).</w:t>
      </w:r>
    </w:p>
    <w:p>
      <w:pPr>
        <w:pStyle w:val="ListBullet"/>
        <w:spacing w:after="60"/>
      </w:pPr>
      <w:r>
        <w:t>Please do not change the lifecycle state of any KR-3000 Veeva Vault record, and confirm in writing that no KR-3000 Veeva records have been obsoleted, archived, or deleted since May 28, 2025.</w:t>
      </w:r>
    </w:p>
    <w:p>
      <w:pPr>
        <w:pStyle w:val="ListBullet"/>
        <w:spacing w:after="60"/>
      </w:pPr>
      <w:r>
        <w:t>Your preservation obligations continue after your departure with respect to any work-related information in your possession, including on personal devices or accounts. You will be asked to sign a departure certification.</w:t>
      </w:r>
    </w:p>
    <w:p>
      <w:pPr>
        <w:pStyle w:val="Heading3"/>
      </w:pPr>
      <w:r>
        <w:t>Dr. Anita Suresh — Medical Director / Chief Medical Officer</w:t>
      </w:r>
    </w:p>
    <w:p>
      <w:pPr>
        <w:pStyle w:val="ListBullet"/>
        <w:spacing w:after="60"/>
      </w:pPr>
      <w:r>
        <w:t xml:space="preserve">Preliminary information indicates you may have used a personal iPhone and a personal Gmail account for some surgeon advisory board / KOL communications. </w:t>
      </w:r>
      <w:r>
        <w:rPr>
          <w:b/>
        </w:rPr>
        <w:t>Preserve all such messages, emails, attachments, and backups immediately</w:t>
      </w:r>
      <w:r>
        <w:t>, and do not delete, archive, or reset any of them.</w:t>
      </w:r>
    </w:p>
    <w:p>
      <w:pPr>
        <w:pStyle w:val="ListBullet"/>
        <w:spacing w:after="60"/>
      </w:pPr>
      <w:r>
        <w:t>Please complete Attachment 2 in full and meet with outside counsel (Natalie R. Prichard) this week to discuss a targeted, privacy-respecting collection limited to work-related communications.</w:t>
      </w:r>
    </w:p>
    <w:p>
      <w:pPr>
        <w:pStyle w:val="Heading3"/>
      </w:pPr>
      <w:r>
        <w:t>Dr. Wei-Lin Huang — Vice President, R&amp;D</w:t>
      </w:r>
    </w:p>
    <w:p>
      <w:pPr>
        <w:pStyle w:val="ListBullet"/>
        <w:spacing w:after="60"/>
      </w:pPr>
      <w:r>
        <w:t>The Legal Department will take custody of the KR-3000 engineering notebooks (approximately 14 notebooks, 2017–2023). Please do not annotate or remove pages; a chain-of-custody log will be maintained and copies made available for ongoing work.</w:t>
      </w:r>
    </w:p>
    <w:p>
      <w:pPr>
        <w:pStyle w:val="ListBullet"/>
        <w:spacing w:after="60"/>
      </w:pPr>
      <w:r>
        <w:t>\\VNTG-ENG01\RnD\KR3000 will be forensically imaged and hashed; please do not move, rename, or delete files. Preserve all retrieved/explanted components, metallurgical specimens, SEM/EDS/profilometry data, and bench-test samples; no destructive testing without Legal approval.</w:t>
      </w:r>
    </w:p>
    <w:p>
      <w:pPr>
        <w:pStyle w:val="Heading3"/>
      </w:pPr>
      <w:r>
        <w:t>James D. Kowalski — Vice President, Manufacturing Operations</w:t>
      </w:r>
    </w:p>
    <w:p>
      <w:pPr>
        <w:pStyle w:val="ListBullet"/>
        <w:spacing w:after="60"/>
      </w:pPr>
      <w:r>
        <w:t xml:space="preserve">Work with IT and Corestone to identify all KR-3000 SAP data (material numbers, production orders, batches, QM lots, change documents) for preservation </w:t>
      </w:r>
      <w:r>
        <w:rPr>
          <w:b/>
        </w:rPr>
        <w:t>before June 16, 2025</w:t>
      </w:r>
      <w:r>
        <w:t>. No archival, ILM move, or decommissioning of KR-3000 data may occur without the General Counsel’s written sign-off.</w:t>
      </w:r>
    </w:p>
    <w:p>
      <w:pPr>
        <w:pStyle w:val="ListBullet"/>
        <w:spacing w:after="60"/>
      </w:pPr>
      <w:r>
        <w:t>Identify Ashford Precision Components contacts and confirm KR-3000 components Ashford manufactures, to support the preservation demand being sent to Ashford. Preserve paper batch travelers and retained production samples.</w:t>
      </w:r>
    </w:p>
    <w:p>
      <w:pPr>
        <w:pStyle w:val="Heading3"/>
      </w:pPr>
      <w:r>
        <w:t>Thomas J. Braddock — Vice President, Regulatory Affairs</w:t>
      </w:r>
    </w:p>
    <w:p>
      <w:pPr>
        <w:pStyle w:val="ListBullet"/>
        <w:spacing w:after="60"/>
      </w:pPr>
      <w:r>
        <w:t>Suspend obsolescence, archival, and draft-purge workflows for KR-3000 records in Veeva Vault Submissions (and, as interim QMS administrator, in Veeva Vault QMS). Preserve FDA ESG portal correspondence. Do not convert or delete Ms. Petrosian’s mailbox or accounts.</w:t>
      </w:r>
    </w:p>
    <w:p>
      <w:pPr>
        <w:pStyle w:val="Heading3"/>
      </w:pPr>
      <w:r>
        <w:t>Michelle R. Torrence — Director of Sales &amp; Marketing</w:t>
      </w:r>
    </w:p>
    <w:p>
      <w:pPr>
        <w:pStyle w:val="ListBullet"/>
        <w:spacing w:after="60"/>
      </w:pPr>
      <w:r>
        <w:t>Distribute Attachment 3 to all 85 field representatives today and support acknowledgment tracking. Instruct Sales Operations to cease any Salesforce data clean-up or record deletion. Preserve your company iPhone and VantagePulse data.</w:t>
      </w:r>
    </w:p>
    <w:p>
      <w:pPr>
        <w:pStyle w:val="Heading3"/>
      </w:pPr>
      <w:r>
        <w:t>Gerald T. Morrissey, Brian P. Callahan, and Priya Chandrasekaran</w:t>
      </w:r>
    </w:p>
    <w:p>
      <w:pPr>
        <w:pStyle w:val="ListBullet"/>
        <w:spacing w:after="60"/>
      </w:pPr>
      <w:r>
        <w:t>Preserve executive and board materials (including Diligent Boards content, board decks, and forecasts referencing the KR-3000), warranty reserve and accrual analyses, and insurer correspondence. Complete the personal-device questions in Attachment 2. Materials involving legal advice will be collected under a separate privilege protocol supervised by outside counsel.</w:t>
      </w:r>
    </w:p>
    <w:p>
      <w:pPr>
        <w:pStyle w:val="Heading3"/>
      </w:pPr>
      <w:r>
        <w:t>Marcus Tilden — Director of IT; Colleen M. Waverly — Human Resources</w:t>
      </w:r>
    </w:p>
    <w:p>
      <w:pPr>
        <w:pStyle w:val="ListBullet"/>
        <w:spacing w:after="60"/>
      </w:pPr>
      <w:r>
        <w:t>Separate written preservation directives are being issued to IT and HR today. Your own emails, files, and records concerning retention settings, the SAP migration, device refresh, and offboarding are themselves subject to this hold and must be preserved independently of your role in carrying out preservation steps.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7"/>
      </w:rPr>
      <w:t>PRIVILEGED &amp; CONFIDENTIAL — ATTORNEY-CLIENT COMMUNICATION — LEGAL HOLD NOTICE — DO NOT DELETE OR DISCARD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