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val="0"/>
        <w:keepLines w:val="0"/>
        <w:widowControl/>
        <w:spacing w:before="0" w:after="0" w:line="240" w:lineRule="auto"/>
        <w:ind w:left="0" w:right="0" w:firstLine="0"/>
        <w:jc w:val="center"/>
      </w:pPr>
      <w:r>
        <w:rPr>
          <w:rFonts w:ascii="Times New Roman" w:hAnsi="Times New Roman" w:eastAsia="Times New Roman"/>
          <w:b/>
          <w:sz w:val="24"/>
        </w:rPr>
        <w:t xml:space="preserve">UNITED STATES DISTRICT COURT</w:t>
      </w:r>
      <w:r>
        <w:rPr>
          <w:rFonts w:ascii="Times New Roman" w:hAnsi="Times New Roman" w:eastAsia="Times New Roman"/>
          <w:b/>
          <w:sz w:val="24"/>
        </w:rPr>
        <w:br/>
      </w:r>
      <w:r>
        <w:rPr>
          <w:rFonts w:ascii="Times New Roman" w:hAnsi="Times New Roman" w:eastAsia="Times New Roman"/>
          <w:b/>
          <w:sz w:val="24"/>
        </w:rPr>
        <w:t xml:space="preserve">DISTRICT OF MASSACHUSETTS</w:t>
      </w:r>
    </w:p>
    <w:p>
      <w:pPr>
        <w:pStyle w:val="BodyText"/>
        <w:keepNext w:val="0"/>
        <w:keepLines w:val="0"/>
        <w:widowControl/>
        <w:spacing w:before="0" w:after="0" w:line="240" w:lineRule="auto"/>
        <w:ind w:left="0" w:right="0" w:firstLine="0"/>
        <w:jc w:val="center"/>
      </w:pPr>
      <w:r>
        <w:rPr>
          <w:rFonts w:ascii="Times New Roman" w:hAnsi="Times New Roman" w:eastAsia="Times New Roman"/>
          <w:b/>
          <w:bCs/>
          <w:sz w:val="24"/>
        </w:rPr>
        <w:t xml:space="preserve">GREENFIELD BOTANICAL SCIENCES, INC.,</w:t>
      </w:r>
      <w:r>
        <w:rPr>
          <w:rFonts w:ascii="Times New Roman" w:hAnsi="Times New Roman" w:eastAsia="Times New Roman"/>
          <w:b/>
          <w:sz w:val="24"/>
        </w:rPr>
        <w:br/>
      </w:r>
      <w:r>
        <w:rPr>
          <w:rFonts w:ascii="Times New Roman" w:hAnsi="Times New Roman" w:eastAsia="Times New Roman"/>
          <w:b/>
          <w:sz w:val="24"/>
        </w:rPr>
        <w:t xml:space="preserve">Plaintiff,</w:t>
      </w:r>
    </w:p>
    <w:p>
      <w:pPr>
        <w:pStyle w:val="FirstParagraph"/>
        <w:keepNext w:val="0"/>
        <w:keepLines w:val="0"/>
        <w:widowControl/>
        <w:spacing w:before="0" w:after="0" w:line="240" w:lineRule="auto"/>
        <w:ind w:left="0" w:right="0" w:firstLine="0"/>
        <w:jc w:val="center"/>
      </w:pPr>
      <w:r>
        <w:rPr>
          <w:rFonts w:ascii="Times New Roman" w:hAnsi="Times New Roman" w:eastAsia="Times New Roman"/>
          <w:b/>
          <w:bCs/>
          <w:sz w:val="24"/>
        </w:rPr>
        <w:t xml:space="preserve">DR. ELENA VASQUEZ and CANOPY RIDGE THERAPEUTICS, LLC,</w:t>
      </w:r>
      <w:r>
        <w:rPr>
          <w:rFonts w:ascii="Times New Roman" w:hAnsi="Times New Roman" w:eastAsia="Times New Roman"/>
          <w:b/>
          <w:sz w:val="24"/>
        </w:rPr>
        <w:br/>
      </w:r>
      <w:r>
        <w:rPr>
          <w:rFonts w:ascii="Times New Roman" w:hAnsi="Times New Roman" w:eastAsia="Times New Roman"/>
          <w:b/>
          <w:sz w:val="24"/>
        </w:rPr>
        <w:t xml:space="preserve">Defendants.</w:t>
      </w:r>
    </w:p>
    <w:p>
      <w:pPr>
        <w:pStyle w:val="BodyText"/>
        <w:keepNext w:val="0"/>
        <w:keepLines w:val="0"/>
        <w:widowControl/>
        <w:spacing w:before="0" w:after="0" w:line="240" w:lineRule="auto"/>
        <w:ind w:left="0" w:right="0" w:firstLine="0"/>
        <w:jc w:val="center"/>
      </w:pPr>
      <w:r>
        <w:rPr>
          <w:rFonts w:ascii="Times New Roman" w:hAnsi="Times New Roman" w:eastAsia="Times New Roman"/>
          <w:sz w:val="24"/>
        </w:rPr>
        <w:t xml:space="preserve">Civil Action No. 1:25-cv-00482-DJC</w:t>
      </w:r>
      <w:r>
        <w:rPr>
          <w:rFonts w:ascii="Times New Roman" w:hAnsi="Times New Roman" w:eastAsia="Times New Roman"/>
          <w:sz w:val="24"/>
        </w:rPr>
        <w:br/>
      </w:r>
      <w:r>
        <w:rPr>
          <w:rFonts w:ascii="Times New Roman" w:hAnsi="Times New Roman" w:eastAsia="Times New Roman"/>
          <w:sz w:val="24"/>
        </w:rPr>
        <w:t xml:space="preserve">Hon. Diana J. Chen</w:t>
      </w:r>
    </w:p>
    <w:bookmarkStart w:id="36" w:name="X167873de41659d54c606a0bffefc801fbdd3eb9"/>
    <w:p>
      <w:pPr>
        <w:pStyle w:val="Heading1"/>
        <w:keepNext/>
        <w:keepLines/>
        <w:widowControl/>
        <w:spacing w:before="280" w:after="360" w:line="240" w:lineRule="auto"/>
        <w:ind w:firstLine="0" w:left="0"/>
        <w:jc w:val="center"/>
      </w:pPr>
      <w:r>
        <w:rPr>
          <w:rFonts w:ascii="Times New Roman" w:hAnsi="Times New Roman" w:eastAsia="Times New Roman"/>
          <w:b/>
          <w:sz w:val="24"/>
        </w:rPr>
        <w:t xml:space="preserve">PLAINTIFF GREENFIELD BOTANICAL SCIENCES, INC.’S MEMORANDUM OF LAW IN SUPPORT OF ITS MOTION FOR PRELIMINARY INJUNCTION</w:t>
      </w:r>
    </w:p>
    <w:bookmarkStart w:id="20" w:name="preliminary-statement"/>
    <w:p>
      <w:pPr>
        <w:pStyle w:val="Heading2"/>
        <w:keepNext/>
        <w:keepLines/>
        <w:widowControl/>
        <w:spacing w:before="240" w:after="80" w:line="240" w:lineRule="auto"/>
        <w:ind w:firstLine="0" w:left="0"/>
        <w:jc w:val="left"/>
      </w:pPr>
      <w:r>
        <w:rPr>
          <w:rFonts w:ascii="Times New Roman" w:hAnsi="Times New Roman" w:eastAsia="Times New Roman"/>
          <w:b/>
          <w:sz w:val="24"/>
        </w:rPr>
        <w:t xml:space="preserve">PRELIMINARY STATEMENT</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This motion concerns a concrete, documented transfer of a competitor’s research—not a request to restrain Dr. Elena Vasquez merely because she changed jobs or remembers general scientific knowledge. During the twelve days before she resigned as Greenfield’s Vice President of Research, Dr. Vasquez used an unregistered personal USB drive, in seven after-hours or weekend sessions, to copy approximately 14,200 files (3.8 gigabytes) from Greenfield’s systems. The copied material included Greenfield’s complete GBS-4400 formulation records, unpublished Phase II clinical data, extraction parameters for twelve compounds, supplier and pricing information, and five-year R&amp;D roadmap. A neutral forensic firm reconstructed the transfers from multiple artifacts, verified its forensic image by matching SHA-256 hashes, and recovered evidence that Dr. Vasquez later cleared system artifacts. Pinnacle Forensic Technologies Report (</w:t>
      </w:r>
      <w:r>
        <w:rPr>
          <w:rFonts w:ascii="Times New Roman" w:hAnsi="Times New Roman" w:eastAsia="Times New Roman"/>
          <w:sz w:val="24"/>
        </w:rPr>
        <w:t xml:space="preserve">“</w:t>
      </w:r>
      <w:r>
        <w:rPr>
          <w:rFonts w:ascii="Times New Roman" w:hAnsi="Times New Roman" w:eastAsia="Times New Roman"/>
          <w:sz w:val="24"/>
        </w:rPr>
        <w:t xml:space="preserve">Pinnacle Report</w:t>
      </w:r>
      <w:r>
        <w:rPr>
          <w:rFonts w:ascii="Times New Roman" w:hAnsi="Times New Roman" w:eastAsia="Times New Roman"/>
          <w:sz w:val="24"/>
        </w:rPr>
        <w:t xml:space="preserve">”</w:t>
      </w:r>
      <w:r>
        <w:rPr>
          <w:rFonts w:ascii="Times New Roman" w:hAnsi="Times New Roman" w:eastAsia="Times New Roman"/>
          <w:sz w:val="24"/>
        </w:rPr>
        <w:t xml:space="preserve">) §§ 1–2, 4–6, 8–9; Greenfield Decl. ¶¶ 16–18, Ex. D.</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sequence then continued. Beginning two weeks before the transfers, Dr. Vasquez visited Canopy Ridge’s website, including its employment and pipeline pages; she forwarded confidential R&amp;D emails to her personal account; and she copied Greenfield files to removable media. Thirty-eight days after her last day at Greenfield, Canopy Ridge announced Dr. Vasquez as Chief Scientific Officer and unveiled CRT-7100, an Andean-plant anti-inflammatory being developed with supercritical extraction as part of an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accelerated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pipeline. Canopy Ridge’s announcement does not alone prove use of Greenfield’s secrets. But considered with the forensic record, the timing and the highly relevant executive role support a strong inference of threatened and ongoing use—not merely the possibility that a scientist may carry general skills to a new job. Pinnacle Report §§ 6, 9; Canopy Ridge Press Release; Greenfield Decl. ¶¶ 22–25.</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record also shows a separate, well-documented contractual breach: while the twenty-four-month non-solicitation covenant was in force, Dr. Vasquez privately offered Dr. Lisa Chow—a senior Greenfield scientist on the GBS-4400 team—a Canopy Ridge position 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at least 40% above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her current salary and asked her to keep the approach confidential. Chow Decl. ¶¶ 6–12, Ex. A. Dr. Vasquez’s repeated, specific conduct makes voluntary compliance an inadequate safeguard.</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Greenfield seeks a focused order that preserves secrecy and prevents further competitive use while this case is litigated. It does not ask the Court to award final relief now, to claim ownership of the general concept of supercritical fluid extraction, or to prevent Canopy Ridge from pursuing genuinely independent research. The Court can prohibit use, disclosure, retention, and dissemination of identified Greenfield information; require a neutral forensic expert to locate and sequester copies under a privacy-protective protocol; and enforce the contractual restrictions to the extent permitted by the Massachusetts Noncompetition Agreement Act (</w:t>
      </w:r>
      <w:r>
        <w:rPr>
          <w:rFonts w:ascii="Times New Roman" w:hAnsi="Times New Roman" w:eastAsia="Times New Roman"/>
          <w:sz w:val="24"/>
        </w:rPr>
        <w:t xml:space="preserve">“</w:t>
      </w:r>
      <w:r>
        <w:rPr>
          <w:rFonts w:ascii="Times New Roman" w:hAnsi="Times New Roman" w:eastAsia="Times New Roman"/>
          <w:sz w:val="24"/>
        </w:rPr>
        <w:t xml:space="preserve">MNAA</w:t>
      </w:r>
      <w:r>
        <w:rPr>
          <w:rFonts w:ascii="Times New Roman" w:hAnsi="Times New Roman" w:eastAsia="Times New Roman"/>
          <w:sz w:val="24"/>
        </w:rPr>
        <w:t xml:space="preserve">”</w:t>
      </w:r>
      <w:r>
        <w:rPr>
          <w:rFonts w:ascii="Times New Roman" w:hAnsi="Times New Roman" w:eastAsia="Times New Roman"/>
          <w:sz w:val="24"/>
        </w:rPr>
        <w:t xml:space="preserve">), with appropriate narrowing if needed. The evidence and the governing statutes support that relief.</w:t>
      </w:r>
    </w:p>
    <w:bookmarkEnd w:id="20"/>
    <w:bookmarkStart w:id="24" w:name="relevant-facts"/>
    <w:p>
      <w:pPr>
        <w:pStyle w:val="Heading2"/>
        <w:keepNext/>
        <w:keepLines/>
        <w:widowControl/>
        <w:spacing w:before="240" w:after="80" w:line="240" w:lineRule="auto"/>
        <w:ind w:firstLine="0" w:left="0"/>
        <w:jc w:val="left"/>
      </w:pPr>
      <w:r>
        <w:rPr>
          <w:rFonts w:ascii="Times New Roman" w:hAnsi="Times New Roman" w:eastAsia="Times New Roman"/>
          <w:b/>
          <w:sz w:val="24"/>
        </w:rPr>
        <w:t xml:space="preserve">RELEVANT FACTS</w:t>
      </w:r>
    </w:p>
    <w:bookmarkStart w:id="21" w:name="Xff9c4061870e9705489a73219c0c16a43694b57"/>
    <w:p>
      <w:pPr>
        <w:pStyle w:val="Heading3"/>
        <w:keepNext/>
        <w:keepLines/>
        <w:widowControl/>
        <w:spacing w:before="240" w:after="80" w:line="240" w:lineRule="auto"/>
        <w:ind w:firstLine="0" w:left="0"/>
        <w:jc w:val="left"/>
      </w:pPr>
      <w:r>
        <w:rPr>
          <w:rFonts w:ascii="Times New Roman" w:hAnsi="Times New Roman" w:eastAsia="Times New Roman"/>
          <w:b/>
          <w:sz w:val="24"/>
        </w:rPr>
        <w:t xml:space="preserve">A. Greenfield’s identified, valuable secrets are protected through multiple measures.</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Greenfield has invested approximately $47.3 million in R&amp;D since 2016. Its lead candidate, GBS-4400, is an anti-inflammatory derived from a high-altitude Andean plant and is in Phase II FDA trials. Greenfield projects five-year post-approval revenue of $220 million. An independent valuation placed the trade-secret portfolio at $85 million, including $52 million attributable to GBS-4400-related secrets. Greenfield Decl. ¶¶ 2–7, Ex. A; Linden Valuation Group Report §§ 1, 3–5.</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information at issue is specific and nonpublic: formulation ratios and stabilization methods; unpublished patient, efficacy, safety, and dosing data; optimized temperature, pressure, solvent, flow-rate, and timing parameters for twelve compounds; negotiated supplier terms; and a forward-looking R&amp;D roadmap. These are not claims to generic scientific principles. The SFE technique itself and general interest in Andean botanicals may be publicly known; Greenfield’s claim is to its particular data, combinations, optimization, clinical results, and commercial intelligence. Greenfield’s CEO explains that the parameters resulted from years of experimentation and cannot be reverse-engineered from finished compounds or Greenfield’s patents. Greenfield Decl. ¶¶ 5–7.</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Greenfield required confidentiality agreements, restricted sensitive data by role and need to know, used encrypted systems and multifactor authentication, marked R&amp;D files confidential or restricted, maintained physical access controls, and required employees to acknowledge a written policy prohibiting transfers to personal devices without written authorization. The independent report confirmed encryption, access controls, classification tags, unique credentials, and the absence of any authorization for Dr. Vasquez’s transfers. Greenfield Decl. ¶¶ 8–10; Pinnacle Report § 7. The fact that an approved-instrument USB exception existed does not convert an unregistered personal drive into an approved instrument or authorized transfer. Greenfield Decl. ¶ 9; Pinnacle Report § 4.1.</w:t>
      </w:r>
    </w:p>
    <w:bookmarkEnd w:id="21"/>
    <w:bookmarkStart w:id="22" w:name="X5d3c3e26ebc1f5ebbe6438939df4566b8b52a30"/>
    <w:p>
      <w:pPr>
        <w:pStyle w:val="Heading3"/>
        <w:keepNext/>
        <w:keepLines/>
        <w:widowControl/>
        <w:spacing w:before="240" w:after="80" w:line="240" w:lineRule="auto"/>
        <w:ind w:firstLine="0" w:left="0"/>
        <w:jc w:val="left"/>
      </w:pPr>
      <w:r>
        <w:rPr>
          <w:rFonts w:ascii="Times New Roman" w:hAnsi="Times New Roman" w:eastAsia="Times New Roman"/>
          <w:b/>
          <w:sz w:val="24"/>
        </w:rPr>
        <w:t xml:space="preserve">B. The forensic record documents systematic exfiltration and concealment.</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Dr. Vasquez was Greenfield’s Vice President of Research, led GBS-4400 development, and had access to the company’s most sensitive R&amp;D information. On November 28, 2024, she forwarded three confidential internal R&amp;D emails to her personal account. Beginning November 15, she visited Canopy Ridge’s website twenty-three times, including its career, leadership, and pipeline pages. Pinnacle Report §§ 6.1–6.2.</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From December 1 through December 12, 2024, Dr. Vasquez connected a personal, unregistered SanDisk portable drive in seven sessions and transferred approximately 14,200 files totaling 3.8 GB. The transfers included the formulation database, unpublished Phase II data, SFE parameter sets, supplier/pricing information, and R&amp;D roadmap, as well as other R&amp;D files. They occurred during evenings and weekends. Dr. Vasquez resigned on December 12, with her last day January 17, 2025. On January 15, two days before departure, she ran Disk Cleanup and emptied the Recycle Bin; Pinnacle recovered transfer-related artifacts. Pinnacle Report §§ 1, 4–6, 9; Greenfield Decl. ¶¶ 15–18.</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Pinnacle made a bit-for-bit image, verified the source and image through matching cryptographic hashes, and corroborated transfers through registry, file-system, shortcut, Jump List, and other artifacts. Its report is based on an identified examiner, described methods, and a documented chain of custody. Pinnacle Report §§ 2, 5, 8, 10. The downloads were not authorized and violated both the written policy and Agreement § 5.2. Greenfield Decl. ¶¶ 8–10, 17–18; Employment Agreement § 5.2.</w:t>
      </w:r>
    </w:p>
    <w:bookmarkEnd w:id="22"/>
    <w:bookmarkStart w:id="23" w:name="X93d865f4ded1f92986c8d1ca264a90568380afa"/>
    <w:p>
      <w:pPr>
        <w:pStyle w:val="Heading3"/>
        <w:keepNext/>
        <w:keepLines/>
        <w:widowControl/>
        <w:spacing w:before="240" w:after="80" w:line="240" w:lineRule="auto"/>
        <w:ind w:firstLine="0" w:left="0"/>
        <w:jc w:val="left"/>
      </w:pPr>
      <w:r>
        <w:rPr>
          <w:rFonts w:ascii="Times New Roman" w:hAnsi="Times New Roman" w:eastAsia="Times New Roman"/>
          <w:b/>
          <w:sz w:val="24"/>
        </w:rPr>
        <w:t xml:space="preserve">C. Canopy Ridge announced a directly overlapping program and Dr. Vasquez solicited a key scientist.</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On February 24, 2025, Canopy Ridge announced Dr. Vasquez as its Chief Scientific Officer and introduced CRT-7100, an Andean-plant anti-inflammatory using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next-generation supercritical extraction.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The release said Canopy Ridge expected to advance CRT-7100 into preclinical studies within months and aimed to be first to market with a botanical anti-inflammatory. Canopy Ridge is headquartered in Waltham, approximately eight miles from Greenfield’s Cambridge headquarters. Canopy Ridge Press Release; Greenfield Decl. ¶¶ 22–25. The public description is not itself a trade secret; its significance is the combination of close subject-matter overlap, the compressed timeline, the hiring of the executive who had just copied Greenfield’s underlying data, and the forensic evidence of pre-departure contact and concealment.</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On February 20, 2025, Dr. Vasquez emailed Dr. Chow at a personal address, offered her a senior research position at Canopy Ridge with compensation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at least 40% above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Greenfield’s, and asked her to keep the communication between them and respond only to a personal email. Chow Decl. ¶¶ 6–12, Ex. A. Dr. Chow is a senior scientist on the GBS-4400 team with specialized expertise that Greenfield would be difficult to replace. Id. ¶¶ 3, 14–15. Greenfield’s January 28 cease-and-desist letter demanded return of all materials, confirmation of destruction, and compliance with the covenants. Dr. Vasquez acknowledged receipt but did not then provide a substantive response or return the materials. Greenfield Decl. ¶ 19, Ex. E. Defendants’ counsel now asserts that Dr. Vasquez certified destruction, but the present record contains no forensic verification of her personal devices, storage media, or Canopy Ridge systems. Defense Counsel Letter (Mar. 14, 2025) at 2. A neutral examination can resolve that factual dispute without exposing unrelated data.</w:t>
      </w:r>
    </w:p>
    <w:bookmarkEnd w:id="23"/>
    <w:bookmarkEnd w:id="24"/>
    <w:bookmarkStart w:id="25" w:name="governing-standard"/>
    <w:p>
      <w:pPr>
        <w:pStyle w:val="Heading2"/>
        <w:keepNext/>
        <w:keepLines/>
        <w:widowControl/>
        <w:spacing w:before="240" w:after="80" w:line="240" w:lineRule="auto"/>
        <w:ind w:firstLine="0" w:left="0"/>
        <w:jc w:val="left"/>
      </w:pPr>
      <w:r>
        <w:rPr>
          <w:rFonts w:ascii="Times New Roman" w:hAnsi="Times New Roman" w:eastAsia="Times New Roman"/>
          <w:b/>
          <w:sz w:val="24"/>
        </w:rPr>
        <w:t xml:space="preserve">GOVERNING STANDARD</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A preliminary injunction requires Greenfield to establish (1) a likelihood of success on the merits, (2) a likelihood of irreparable harm absent relief, (3) that the balance of equities favors relief, and (4) that an injunction serves the public interest.</w:t>
      </w:r>
      <w:r>
        <w:rPr>
          <w:rFonts w:ascii="Times New Roman" w:hAnsi="Times New Roman" w:eastAsia="Times New Roman"/>
          <w:sz w:val="24"/>
        </w:rPr>
        <w:t xml:space="preserve"> </w:t>
      </w:r>
      <w:r>
        <w:rPr>
          <w:rFonts w:ascii="Times New Roman" w:hAnsi="Times New Roman" w:eastAsia="Times New Roman"/>
          <w:i/>
          <w:iCs/>
          <w:sz w:val="24"/>
        </w:rPr>
        <w:t xml:space="preserve">Winter v. Natural Resources Defense Council, Inc.</w:t>
      </w:r>
      <w:r>
        <w:rPr>
          <w:rFonts w:ascii="Times New Roman" w:hAnsi="Times New Roman" w:eastAsia="Times New Roman"/>
          <w:sz w:val="24"/>
        </w:rPr>
        <w:t xml:space="preserve">, 555 U.S. 7, 20 (2008);</w:t>
      </w:r>
      <w:r>
        <w:rPr>
          <w:rFonts w:ascii="Times New Roman" w:hAnsi="Times New Roman" w:eastAsia="Times New Roman"/>
          <w:sz w:val="24"/>
        </w:rPr>
        <w:t xml:space="preserve"> </w:t>
      </w:r>
      <w:r>
        <w:rPr>
          <w:rFonts w:ascii="Times New Roman" w:hAnsi="Times New Roman" w:eastAsia="Times New Roman"/>
          <w:i/>
          <w:iCs/>
          <w:sz w:val="24"/>
        </w:rPr>
        <w:t xml:space="preserve">Ross-Simons of Warwick, Inc. v. Baccarat, Inc.</w:t>
      </w:r>
      <w:r>
        <w:rPr>
          <w:rFonts w:ascii="Times New Roman" w:hAnsi="Times New Roman" w:eastAsia="Times New Roman"/>
          <w:sz w:val="24"/>
        </w:rPr>
        <w:t xml:space="preserve">, 102 F.3d 12, 16 (1st Cir. 1996). The First Circuit applies these factors through a flexible, equitable analysis in which the strength of the merits informs the balance.</w:t>
      </w:r>
      <w:r>
        <w:rPr>
          <w:rFonts w:ascii="Times New Roman" w:hAnsi="Times New Roman" w:eastAsia="Times New Roman"/>
          <w:sz w:val="24"/>
        </w:rPr>
        <w:t xml:space="preserve"> </w:t>
      </w:r>
      <w:r>
        <w:rPr>
          <w:rFonts w:ascii="Times New Roman" w:hAnsi="Times New Roman" w:eastAsia="Times New Roman"/>
          <w:i/>
          <w:iCs/>
          <w:sz w:val="24"/>
        </w:rPr>
        <w:t xml:space="preserve">Ross-Simons</w:t>
      </w:r>
      <w:r>
        <w:rPr>
          <w:rFonts w:ascii="Times New Roman" w:hAnsi="Times New Roman" w:eastAsia="Times New Roman"/>
          <w:sz w:val="24"/>
        </w:rPr>
        <w:t xml:space="preserve">, 102 F.3d at 16. Irreparable harm must be likely, not conjectural, and cannot rest on unsubstantiated fear.</w:t>
      </w:r>
      <w:r>
        <w:rPr>
          <w:rFonts w:ascii="Times New Roman" w:hAnsi="Times New Roman" w:eastAsia="Times New Roman"/>
          <w:sz w:val="24"/>
        </w:rPr>
        <w:t xml:space="preserve"> </w:t>
      </w:r>
      <w:r>
        <w:rPr>
          <w:rFonts w:ascii="Times New Roman" w:hAnsi="Times New Roman" w:eastAsia="Times New Roman"/>
          <w:i/>
          <w:iCs/>
          <w:sz w:val="24"/>
        </w:rPr>
        <w:t xml:space="preserve">Voice of the Arab World, Inc. v. MDTV Medical News Now, Inc.</w:t>
      </w:r>
      <w:r>
        <w:rPr>
          <w:rFonts w:ascii="Times New Roman" w:hAnsi="Times New Roman" w:eastAsia="Times New Roman"/>
          <w:sz w:val="24"/>
        </w:rPr>
        <w:t xml:space="preserve">, 645 F.3d 26, 32 (1st Cir. 2011).</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Under the DTSA, a court may enjoin actual or threatened misappropriation, but any employment conditions must be based on evidence of threatened misappropriation and not merely on information the employee knows; a DTSA injunction may not simply prevent a person from entering an employment relationship. 18 U.S.C. § 1836(b)(3)(A). The Massachusetts Trade Secrets Act (</w:t>
      </w:r>
      <w:r>
        <w:rPr>
          <w:rFonts w:ascii="Times New Roman" w:hAnsi="Times New Roman" w:eastAsia="Times New Roman"/>
          <w:sz w:val="24"/>
        </w:rPr>
        <w:t xml:space="preserve">“</w:t>
      </w:r>
      <w:r>
        <w:rPr>
          <w:rFonts w:ascii="Times New Roman" w:hAnsi="Times New Roman" w:eastAsia="Times New Roman"/>
          <w:sz w:val="24"/>
        </w:rPr>
        <w:t xml:space="preserve">MTSA</w:t>
      </w:r>
      <w:r>
        <w:rPr>
          <w:rFonts w:ascii="Times New Roman" w:hAnsi="Times New Roman" w:eastAsia="Times New Roman"/>
          <w:sz w:val="24"/>
        </w:rPr>
        <w:t xml:space="preserve">”</w:t>
      </w:r>
      <w:r>
        <w:rPr>
          <w:rFonts w:ascii="Times New Roman" w:hAnsi="Times New Roman" w:eastAsia="Times New Roman"/>
          <w:sz w:val="24"/>
        </w:rPr>
        <w:t xml:space="preserve">) likewise authorizes injunctive relief against actual or threatened misappropriation. Mass. Gen. Laws ch. 93, § 42. Greenfield relies on concrete acquisition, transfer, concealment, overlap, and solicitation evidence—not inevitable disclosure based solely on Dr. Vasquez’s knowledge.</w:t>
      </w:r>
    </w:p>
    <w:bookmarkEnd w:id="25"/>
    <w:bookmarkStart w:id="34" w:name="argument"/>
    <w:p>
      <w:pPr>
        <w:pStyle w:val="Heading2"/>
        <w:keepNext/>
        <w:keepLines/>
        <w:widowControl/>
        <w:spacing w:before="240" w:after="80" w:line="240" w:lineRule="auto"/>
        <w:ind w:firstLine="0" w:left="0"/>
        <w:jc w:val="left"/>
      </w:pPr>
      <w:r>
        <w:rPr>
          <w:rFonts w:ascii="Times New Roman" w:hAnsi="Times New Roman" w:eastAsia="Times New Roman"/>
          <w:b/>
          <w:sz w:val="24"/>
        </w:rPr>
        <w:t xml:space="preserve">ARGUMENT</w:t>
      </w:r>
    </w:p>
    <w:bookmarkStart w:id="29" w:name="Xaa1c4a17f65a8da2ab8024b8cd7698887aaeb65"/>
    <w:p>
      <w:pPr>
        <w:pStyle w:val="Heading3"/>
        <w:keepNext/>
        <w:keepLines/>
        <w:widowControl/>
        <w:spacing w:before="240" w:after="80" w:line="240" w:lineRule="auto"/>
        <w:ind w:firstLine="0" w:left="0"/>
        <w:jc w:val="left"/>
      </w:pPr>
      <w:r>
        <w:rPr>
          <w:rFonts w:ascii="Times New Roman" w:hAnsi="Times New Roman" w:eastAsia="Times New Roman"/>
          <w:b/>
          <w:sz w:val="24"/>
        </w:rPr>
        <w:t xml:space="preserve">I. Greenfield is likely to succeed on its trade-secret claims and its core contractual claims.</w:t>
      </w:r>
    </w:p>
    <w:bookmarkStart w:id="26" w:name="Xa9f9a1621cd899ecac2bb5df84e3948f90911e4"/>
    <w:p>
      <w:pPr>
        <w:pStyle w:val="Heading4"/>
        <w:keepNext/>
        <w:keepLines/>
        <w:widowControl/>
        <w:spacing w:before="240" w:after="80" w:line="240" w:lineRule="auto"/>
        <w:ind w:firstLine="0" w:left="0"/>
        <w:jc w:val="left"/>
      </w:pPr>
      <w:r>
        <w:rPr>
          <w:rFonts w:ascii="Times New Roman" w:hAnsi="Times New Roman" w:eastAsia="Times New Roman"/>
          <w:b/>
          <w:sz w:val="24"/>
        </w:rPr>
        <w:t xml:space="preserve">A. The identified information qualifies as trade secrets, and Greenfield took reasonable steps to preserve secrecy.</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Under the DTSA, a trade secret is information that derives independent economic value from not being generally known or readily ascertainable by proper means, and that its owner has taken reasonable measures to keep secret. 18 U.S.C. § 1839(3). The MTSA adopts materially similar requirements. Mass. Gen. Laws ch. 93, § 42. Massachusetts considers the information’s accessibility, measures taken to guard secrecy, and the value of secrecy to the owner and competitors.</w:t>
      </w:r>
      <w:r>
        <w:rPr>
          <w:rFonts w:ascii="Times New Roman" w:hAnsi="Times New Roman" w:eastAsia="Times New Roman"/>
          <w:sz w:val="24"/>
        </w:rPr>
        <w:t xml:space="preserve"> </w:t>
      </w:r>
      <w:r>
        <w:rPr>
          <w:rFonts w:ascii="Times New Roman" w:hAnsi="Times New Roman" w:eastAsia="Times New Roman"/>
          <w:i/>
          <w:iCs/>
          <w:sz w:val="24"/>
        </w:rPr>
        <w:t xml:space="preserve">Jet Spray Cooler, Inc. v. Crampton</w:t>
      </w:r>
      <w:r>
        <w:rPr>
          <w:rFonts w:ascii="Times New Roman" w:hAnsi="Times New Roman" w:eastAsia="Times New Roman"/>
          <w:sz w:val="24"/>
        </w:rPr>
        <w:t xml:space="preserve">, 377 Mass. 159, 166–67 (1979).</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Greenfield satisfies both elements. It identifies concrete categories and, as to GBS-4400, particular formulations, clinical results, and extraction settings. Its $47.3 million R&amp;D investment, $85 million independent portfolio valuation, $52 million valuation for GBS-4400 secrets, and years-long time advantage show substantial economic value in secrecy. Greenfield Decl. ¶¶ 3–7; Linden Report §§ 1, 4–5. The information is not the general SFE process or public scientific knowledge. Specific parameter combinations, formulation data, unpublished trial outcomes, negotiated supplier terms, and the roadmap are not disclosed by the public description in Canopy Ridge’s press release or by Greenfield’s patents. See</w:t>
      </w:r>
      <w:r>
        <w:rPr>
          <w:rFonts w:ascii="Times New Roman" w:hAnsi="Times New Roman" w:eastAsia="Times New Roman"/>
          <w:sz w:val="24"/>
        </w:rPr>
        <w:t xml:space="preserve"> </w:t>
      </w:r>
      <w:r>
        <w:rPr>
          <w:rFonts w:ascii="Times New Roman" w:hAnsi="Times New Roman" w:eastAsia="Times New Roman"/>
          <w:i/>
          <w:iCs/>
          <w:sz w:val="24"/>
        </w:rPr>
        <w:t xml:space="preserve">Jet Spray</w:t>
      </w:r>
      <w:r>
        <w:rPr>
          <w:rFonts w:ascii="Times New Roman" w:hAnsi="Times New Roman" w:eastAsia="Times New Roman"/>
          <w:sz w:val="24"/>
        </w:rPr>
        <w:t xml:space="preserve">, 377 Mass. at 166 (information may be protectable where it is not generally known and reasonable efforts are made to preserve secrecy).</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Greenfield also used layered, practical safeguards: role-based access, encryption, multifactor authentication, restricted facilities, classification markings, confidentiality agreements, a personal-device prohibition, and exit audits. Pinnacle confirmed these measures and that Dr. Vasquez was among a small number of employees with access to the most sensitive repositories. Greenfield Decl. ¶¶ 8–10; Pinnacle Report § 7. Reasonable measures do not require an infallible system; the breach demonstrates why Greenfield’s access limits, policy, monitoring, and exit audit mattered. The claimed USB exception for approved laboratory instruments does not negate those protections: the drive here was personal and unregistered, and no authorization was issued. Pinnacle Report § 4.1.</w:t>
      </w:r>
    </w:p>
    <w:bookmarkEnd w:id="26"/>
    <w:bookmarkStart w:id="27" w:name="X140365456aa3085f42383d1ca97b1801c23b790"/>
    <w:p>
      <w:pPr>
        <w:pStyle w:val="Heading4"/>
        <w:keepNext/>
        <w:keepLines/>
        <w:widowControl/>
        <w:spacing w:before="240" w:after="80" w:line="240" w:lineRule="auto"/>
        <w:ind w:firstLine="0" w:left="0"/>
        <w:jc w:val="left"/>
      </w:pPr>
      <w:r>
        <w:rPr>
          <w:rFonts w:ascii="Times New Roman" w:hAnsi="Times New Roman" w:eastAsia="Times New Roman"/>
          <w:b/>
          <w:sz w:val="24"/>
        </w:rPr>
        <w:t xml:space="preserve">B. The evidence establishes Dr. Vasquez’s improper acquisition and a substantial threat of continued use or disclosure.</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The DTSA defines misappropriation to include acquisition by improper means and unauthorized use or disclosure where the actor knew or had reason to know the information was acquired under a duty of secrecy or through improper means. 18 U.S.C. § 1839(5). The same core principles govern the MTSA. Dr. Vasquez agreed not to transfer Company Systems data to personal devices without prior written authorization, to return all copies, and never to use or disclose Greenfield’s secrets. Employment Agreement §§ 5.2–5.3, 8.1–8.2. She copied thousands of files on a personal device, in violation of that express restriction, and has not produced verifiable evidence that all copies were recovered or destroyed.</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objective forensic evidence is unusually specific: seven sessions; a particular unregistered USB device; 14,200 files and 3.8 GB; identified confidential source directories; personal email forwards; after-hours timing; recovered transfer artifacts; and a deletion event shortly before departure. Pinnacle Report §§ 4–6, 9. This is not an inference from Dr. Vasquez’s expertise alone. The contemporaneous Canopy Ridge website activity and forwarding of confidential emails strengthen the inference that the acquisition was directed toward competitive employment. The subsequent announcement of an overlapping anti-inflammatory, extraction platform, and accelerated pipeline—only thirty-eight days after her departure—supports a substantial risk that the copied information is being used or is available for use in her CSO role. Greenfield Decl. ¶¶ 22–25; Pinnacle Report §§ 6, 9.</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Defendants answer that CRT-7100 was independently developed and that the downloaded files were personal, published, or authored by Dr. Vasquez. Defense Counsel Letter at 2. That unsworn characterization does not explain why a personal drive received 14,200 files from restricted company directories, why the files included unpublished trial data and supplier pricing, why three confidential emails were forwarded, or why transfer artifacts were later deleted. Nor has Defendants’ asserted certification been independently verified. The Court need not decide ultimate attribution on this motion; it need only find a likelihood of success and a concrete threat. A narrowly designed neutral examination and sequestration process will preserve evidence and prevent use while allowing Canopy Ridge to prove any independent work.</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Canopy Ridge is also likely liable under the DTSA and MTSA. Canopy Ridge hired Dr. Vasquez into the position responsible for all R&amp;D, publicly emphasized her expertise in supercritical extraction, and announced a highly overlapping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accelerated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program shortly after her departure. Those facts, together with the copied data and pre-resignation Canopy Ridge activity, support an inference that Canopy Ridge knew or had reason to know that information Dr. Vasquez brought was subject to Greenfield’s secrecy obligations and had been acquired without authorization. 18 U.S.C. § 1839(5); Mass. Gen. Laws ch. 93, § 42. Greenfield does not contend that a public reference to Andean plants or SFE proves misappropriation standing alone; it contends that Defendants cannot exploit the particular confidential data that the forensic record shows Dr. Vasquez took.</w:t>
      </w:r>
    </w:p>
    <w:bookmarkEnd w:id="27"/>
    <w:bookmarkStart w:id="28" w:name="Xe41ac6623939c4a4df4be58239b41f7eae0e096"/>
    <w:p>
      <w:pPr>
        <w:pStyle w:val="Heading4"/>
        <w:keepNext/>
        <w:keepLines/>
        <w:widowControl/>
        <w:spacing w:before="240" w:after="80" w:line="240" w:lineRule="auto"/>
        <w:ind w:firstLine="0" w:left="0"/>
        <w:jc w:val="left"/>
      </w:pPr>
      <w:r>
        <w:rPr>
          <w:rFonts w:ascii="Times New Roman" w:hAnsi="Times New Roman" w:eastAsia="Times New Roman"/>
          <w:b/>
          <w:sz w:val="24"/>
        </w:rPr>
        <w:t xml:space="preserve">C. The non-compete is not automatically limited to twelve months, and the non-solicitation and confidentiality covenants are independently enforceable.</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The MNAA applies to post-October 1, 2018 noncompetition agreements. Mass. Gen. Laws ch. 149, § 24L. It generally limits duration to twelve months, but expressly permits a restriction of up to twenty-four months where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the employee has breached his or her fiduciary duty to the employer or the employee has unlawfully taken, physically or electronically, property belonging to the employer.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Id. § 24L(b)(vii). The exception is disjunctive. Thus, Defendants’ contention that the restriction must be twelve months because Dr. Vasquez was not a corporate officer misses the independent electronic-taking ground. The objective evidence supports a finding that she electronically took Greenfield property: she copied restricted files to her own unregistered device without authorization, contrary to Agreement § 5.2 and the acknowledged policy. Pinnacle Report §§ 4–5, 7; Greenfield Decl. ¶¶ 9, 17–18. The Court need not decide whether her senior role and conduct also constitute a fiduciary breach to apply the statutory alternative.</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restriction is supported by a signed agreement, reaffirmed in a signed 2022 amendment when Dr. Vasquez received a promotion, a $60,000 base-salary increase, a higher bonus target, expanded authority and access, and continued employment. The amendment states that Dr. Vasquez had an opportunity to consult independent counsel and expressly reaffirms the covenants. Employment Agreement §§ 7.1–7.4; First Amendment §§ 2–6. Greenfield has tendered the contractually required garden-leave installment of $13,541.67, equal to 50% of her $325,000 base salary; she returned it. The agreement expressly provides that a returned payment does not eliminate the restriction if Greenfield continues to tender, and authorizes escrow for rejected payments. Employment Agreement § 7.3; Greenfield Decl. ¶¶ 20–21. Greenfield remains prepared to continue monthly tender and to escrow any rejected installment.</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Greenfield recognizes that the MNAA also requires reasonableness as to legitimate business interests, duration, geographic reach, and scope, and its statutory formalities must be honored. Under Massachusetts law, a restraint must protect a legitimate business interest, be reasonable in time and space, and be no broader than necessary; the MNAA codifies and supplements those limits.</w:t>
      </w:r>
      <w:r>
        <w:rPr>
          <w:rFonts w:ascii="Times New Roman" w:hAnsi="Times New Roman" w:eastAsia="Times New Roman"/>
          <w:sz w:val="24"/>
        </w:rPr>
        <w:t xml:space="preserve"> </w:t>
      </w:r>
      <w:r>
        <w:rPr>
          <w:rFonts w:ascii="Times New Roman" w:hAnsi="Times New Roman" w:eastAsia="Times New Roman"/>
          <w:i/>
          <w:iCs/>
          <w:sz w:val="24"/>
        </w:rPr>
        <w:t xml:space="preserve">Boulanger v. Dunkin’ Donuts Inc.</w:t>
      </w:r>
      <w:r>
        <w:rPr>
          <w:rFonts w:ascii="Times New Roman" w:hAnsi="Times New Roman" w:eastAsia="Times New Roman"/>
          <w:sz w:val="24"/>
        </w:rPr>
        <w:t xml:space="preserve">, 442 Mass. 635, 639–40 (2004); Mass. Gen. Laws ch. 149, § 24L. The 100-mile restriction is most compelling as applied to Canopy Ridge, an immediate competitor located approximately eight miles from Greenfield, and to the overlapping R&amp;D work for which Dr. Vasquez was hired. If the Court concludes that any geographic or activity scope exceeds what is necessary, the agreement expressly requests reformation, and the MNAA permits a court to reform an overbroad restriction. Id. § 24L; Employment Agreement § 7.4. At minimum, the evidence supports barring Dr. Vasquez from work at Canopy Ridge on CRT-7100 or any program using Greenfield’s confidential data, and from providing services in the restricted local market to the extent necessary to protect Greenfield’s secrets. The Court need not impose a profession-wide ban to prevent the threatened harm.</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defense letter’s assertion that the contract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per se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invalid for twenty-four months is therefore wrong. The statutory exception directly addresses unlawful electronic taking, and the record supports it. If the Court finds a statutory notice or other formal requirement unresolved on the present papers, that issue does not defeat Greenfield’s independent likelihood of success on its trade-secret claims or justify denying interim conditions based on the actual evidence of threatened misappropriation.</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non-solicitation covenant is separate from a noncompetition agreement under Massachusetts law and is not subject to the MNAA’s twelve-month rule.</w:t>
      </w:r>
      <w:r>
        <w:rPr>
          <w:rFonts w:ascii="Times New Roman" w:hAnsi="Times New Roman" w:eastAsia="Times New Roman"/>
          <w:sz w:val="24"/>
        </w:rPr>
        <w:t xml:space="preserve"> </w:t>
      </w:r>
      <w:r>
        <w:rPr>
          <w:rFonts w:ascii="Times New Roman" w:hAnsi="Times New Roman" w:eastAsia="Times New Roman"/>
          <w:i/>
          <w:iCs/>
          <w:sz w:val="24"/>
        </w:rPr>
        <w:t xml:space="preserve">Automile Holdings, LLC v. McGovern</w:t>
      </w:r>
      <w:r>
        <w:rPr>
          <w:rFonts w:ascii="Times New Roman" w:hAnsi="Times New Roman" w:eastAsia="Times New Roman"/>
          <w:sz w:val="24"/>
        </w:rPr>
        <w:t xml:space="preserve">, 483 Mass. 797, 807–08 (2020). It protects Greenfield’s workforce and confidential business relationships and is reasonable at least as applied to Dr. Chow, a current senior Greenfield scientist whom Dr. Vasquez directly supervised and attempted to recruit for a direct competitor. The message was sent privately to Dr. Chow’s personal email, offered a substantial salary premium, and requested secrecy. Chow Decl. ¶¶ 4–12, Ex. A. That is a direct breach of Agreement § 7.2, not merely generalized competition. The confidentiality covenant is narrower still: it prohibits use or disclosure of identified confidential information indefinitely and is independently supported by the DTSA, MTSA, and contract. Agreement §§ 8.1–8.3.</w:t>
      </w:r>
    </w:p>
    <w:bookmarkEnd w:id="28"/>
    <w:bookmarkEnd w:id="29"/>
    <w:bookmarkStart w:id="30" w:name="X19a144f8a673a68a365cda46557444586d6c0df"/>
    <w:p>
      <w:pPr>
        <w:pStyle w:val="Heading3"/>
        <w:keepNext/>
        <w:keepLines/>
        <w:widowControl/>
        <w:spacing w:before="240" w:after="80" w:line="240" w:lineRule="auto"/>
        <w:ind w:firstLine="0" w:left="0"/>
        <w:jc w:val="left"/>
      </w:pPr>
      <w:r>
        <w:rPr>
          <w:rFonts w:ascii="Times New Roman" w:hAnsi="Times New Roman" w:eastAsia="Times New Roman"/>
          <w:b/>
          <w:sz w:val="24"/>
        </w:rPr>
        <w:t xml:space="preserve">II. Greenfield faces imminent, irreparable injury absent an injunction.</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The threatened injury is the loss of secrecy and a competitive head start while Canopy Ridge advances a competing program—not simply a dollar loss that can be calculated after trial. Greenfield’s secrets have already been copied to a personal device, and the record does not establish that the copies were returned, destroyed, or isolated from Canopy Ridge. Dr. Vasquez now leads Canopy Ridge’s research; Canopy Ridge has announced CRT-7100 and expects to move it into preclinical work within months. The risk of use and further disclosure is present now.</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Once a competitor learns and incorporates secret formulations, trial outcomes, extraction settings, supplier economics, or roadmap information, the owner cannot restore the original exclusivity. Even if the copied files could later be deleted, Greenfield could not know what was reviewed, remembered, shared, or used to direct experiments. Misappropriation also creates a substantial head-start advantage that is difficult to trace to individual development decisions or quantify after the fact. The First Circuit has addressed preliminary relief in former-employee competition disputes involving confidential information and restrictive covenants.</w:t>
      </w:r>
      <w:r>
        <w:rPr>
          <w:rFonts w:ascii="Times New Roman" w:hAnsi="Times New Roman" w:eastAsia="Times New Roman"/>
          <w:sz w:val="24"/>
        </w:rPr>
        <w:t xml:space="preserve"> </w:t>
      </w:r>
      <w:r>
        <w:rPr>
          <w:rFonts w:ascii="Times New Roman" w:hAnsi="Times New Roman" w:eastAsia="Times New Roman"/>
          <w:i/>
          <w:iCs/>
          <w:sz w:val="24"/>
        </w:rPr>
        <w:t xml:space="preserve">Corporate Technologies, Inc. v. Harnett</w:t>
      </w:r>
      <w:r>
        <w:rPr>
          <w:rFonts w:ascii="Times New Roman" w:hAnsi="Times New Roman" w:eastAsia="Times New Roman"/>
          <w:sz w:val="24"/>
        </w:rPr>
        <w:t xml:space="preserve">, 731 F.3d 6 (1st Cir. 2013). Massachusetts likewise authorizes injunctions to prevent trade-secret misappropriation. Mass. Gen. Laws ch. 93, § 42.</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Defendants argue that Greenfield’s $95 million estimate proves its harm is calculable. It does not. The $95 million figure is a scenario estimate of the reduction in projected five-year post-approval revenue if Greenfield’s expected first-mover advantage is compressed from about three years to less than one; it is not an adjudicated loss or a complete damages measure. Greenfield Decl. ¶¶ 28–30; Linden Report §§ 4–5. The valuation report expressly identifies that estimate as a conservative lower bound and explains why secrecy loss, attribution, market timing, investor and partnership effects, and cascading harm to other programs resist precise calculation. Linden Report § 5. Numerical estimates can demonstrate magnitude without making an injury readily compensable. The report also values the portfolio only on the assumption that secrecy is preserved. Id. §§ 1, 4.</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Nor is injury remote because GBS-4400 is still in Phase II. The head start is being eroded during the very development period when confidential clinical results, dosing data, formulations, and extraction settings have their greatest value to a competitor. Canopy Ridge has publicly declared an accelerated program and an intent to be first to market. Canopy Ridge Press Release. Greenfield need not wait for CRT-7100 to reach the market before seeking protection against the use of its secrets in current preclinical work. And the February 20 solicitation demonstrates ongoing competitive conduct that risks transferring specialized knowledge and disrupting Greenfield’s small research team. Chow Decl. ¶¶ 8–15.</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DTSA contains no automatic presumption of irreparable harm, and Greenfield does not rely on one. The evidence independently establishes likely injury under</w:t>
      </w:r>
      <w:r>
        <w:rPr>
          <w:rFonts w:ascii="Times New Roman" w:hAnsi="Times New Roman" w:eastAsia="Times New Roman"/>
          <w:sz w:val="24"/>
        </w:rPr>
        <w:t xml:space="preserve"> </w:t>
      </w:r>
      <w:r>
        <w:rPr>
          <w:rFonts w:ascii="Times New Roman" w:hAnsi="Times New Roman" w:eastAsia="Times New Roman"/>
          <w:i/>
          <w:iCs/>
          <w:sz w:val="24"/>
        </w:rPr>
        <w:t xml:space="preserve">Winter</w:t>
      </w:r>
      <w:r>
        <w:rPr>
          <w:rFonts w:ascii="Times New Roman" w:hAnsi="Times New Roman" w:eastAsia="Times New Roman"/>
          <w:sz w:val="24"/>
        </w:rPr>
        <w:t xml:space="preserve">: unauthorized acquisition, continued possession not forensically ruled out, a new role directing a directly overlapping program, a short development timeline, a specific competitive announcement, and efforts to recruit a key scientist. A money judgment cannot recover lost secrecy or reliably reconstruct the counterfactual development path.</w:t>
      </w:r>
    </w:p>
    <w:bookmarkEnd w:id="30"/>
    <w:bookmarkStart w:id="31" w:name="X4213dc13e76b364ff81b4420b2141d5f136d41c"/>
    <w:p>
      <w:pPr>
        <w:pStyle w:val="Heading3"/>
        <w:keepNext/>
        <w:keepLines/>
        <w:widowControl/>
        <w:spacing w:before="240" w:after="80" w:line="240" w:lineRule="auto"/>
        <w:ind w:firstLine="0" w:left="0"/>
        <w:jc w:val="left"/>
      </w:pPr>
      <w:r>
        <w:rPr>
          <w:rFonts w:ascii="Times New Roman" w:hAnsi="Times New Roman" w:eastAsia="Times New Roman"/>
          <w:b/>
          <w:sz w:val="24"/>
        </w:rPr>
        <w:t xml:space="preserve">III. The balance of hardships favors narrowly tailored protection.</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Greenfield faces a potential permanent loss of the value of identified secrets and its commercial head start. Defendants, by contrast, need not be barred from all work in botanical science. The requested restrictions can be limited to Greenfield’s enumerated secrets, CRT-7100 and directly overlapping work that depends on those secrets, and the period needed to prevent use while the Court adjudicates the claims. Dr. Vasquez voluntarily agreed to the covenants, reaffirmed them for increased compensation and expanded responsibilities, and Greenfield tendered the agreed garden-leave payment. Employment Agreement §§ 7.1–7.4; First Amendment §§ 2–6; Greenfield Decl. ¶¶ 20–21.</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Court should take seriously Dr. Vasquez’s interest in working in her field. That interest does not outweigh Greenfield’s right to prevent a former executive from exploiting thousands of copied files. A limitation on access to Greenfield secrets and on work that would use the copied data is materially less burdensome than a blanket occupational ban. Any Rule 65 order can preserve Canopy Ridge’s ability to demonstrate independent development through contemporaneous records and can allow Dr. Vasquez to perform work unrelated to Greenfield’s identified secrets. The modest time-limited restriction as applied to a nearby direct competitor is especially warranted by the electronic-taking exception in § 24L(b)(vii).</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Canopy Ridge has no legitimate hardship in being required not to use a competitor’s trade secrets. Any inconvenience from segregating the copied information or pausing only work that may depend on it is a consequence of the risk created by the transfers, not an equitable entitlement to continue exploiting the information. Greenfield is prepared to post security in an amount the Court sets under Fed. R. Civ. P. 65(c). Greenfield Decl. ¶ 33.</w:t>
      </w:r>
    </w:p>
    <w:bookmarkEnd w:id="31"/>
    <w:bookmarkStart w:id="32" w:name="X2e6309f9a7298249bfd4b70a3df00ddfdc6a57a"/>
    <w:p>
      <w:pPr>
        <w:pStyle w:val="Heading3"/>
        <w:keepNext/>
        <w:keepLines/>
        <w:widowControl/>
        <w:spacing w:before="240" w:after="80" w:line="240" w:lineRule="auto"/>
        <w:ind w:firstLine="0" w:left="0"/>
        <w:jc w:val="left"/>
      </w:pPr>
      <w:r>
        <w:rPr>
          <w:rFonts w:ascii="Times New Roman" w:hAnsi="Times New Roman" w:eastAsia="Times New Roman"/>
          <w:b/>
          <w:sz w:val="24"/>
        </w:rPr>
        <w:t xml:space="preserve">IV. The public interest supports protection of secrets while preserving lawful competition.</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The public has a strong interest in enforcing the DTSA and MTSA, protecting confidential clinical and research information, and ensuring that firms compete through independent innovation rather than appropriation. The public also benefits from employee mobility and scientific progress. A carefully tailored order respects both interests: it does not grant Greenfield a monopoly over SFE or Andean-plant research, and it does not prevent Canopy Ridge from proving independent development. It bars only misuse, disclosure, or retention of Greenfield’s specified nonpublic information and imposes employment conditions supported by evidence of threatened misappropriation, as the DTSA requires. 18 U.S.C. § 1836(b)(3)(A).</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The solicitation evidence adds a further public interest in honoring reasonable agreements protecting workforce stability. Dr. Chow’s declaration describes how loss of even one senior scientist would disrupt a small, specialized team and ongoing Phase II work. Chow Decl. ¶¶ 14–15. Enforcing the non-solicitation covenant as applied to the direct solicitation of Dr. Chow prevents targeted raiding without restraining general recruitment or competition for talent.</w:t>
      </w:r>
    </w:p>
    <w:bookmarkEnd w:id="32"/>
    <w:bookmarkStart w:id="33" w:name="X6aa99d3d4bf2c1841c74941a85ab1d6ab143d13"/>
    <w:p>
      <w:pPr>
        <w:pStyle w:val="Heading3"/>
        <w:keepNext/>
        <w:keepLines/>
        <w:widowControl/>
        <w:spacing w:before="240" w:after="80" w:line="240" w:lineRule="auto"/>
        <w:ind w:firstLine="0" w:left="0"/>
        <w:jc w:val="left"/>
      </w:pPr>
      <w:r>
        <w:rPr>
          <w:rFonts w:ascii="Times New Roman" w:hAnsi="Times New Roman" w:eastAsia="Times New Roman"/>
          <w:b/>
          <w:sz w:val="24"/>
        </w:rPr>
        <w:t xml:space="preserve">V. The Court should enter a specific, workable order that protects the secrets without prejudging independent development.</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Greenfield requests that the preliminary injunction:</w:t>
      </w:r>
    </w:p>
    <w:p>
      <w:pPr>
        <w:pStyle w:val="Compact"/>
        <w:keepNext w:val="0"/>
        <w:keepLines w:val="0"/>
        <w:widowControl/>
        <w:numPr>
          <w:ilvl w:val="0"/>
          <w:numId w:val="1002"/>
        </w:numPr>
        <w:spacing w:before="0" w:after="0" w:line="480" w:lineRule="auto"/>
        <w:ind w:left="792" w:hanging="432" w:right="0"/>
        <w:jc w:val="both"/>
      </w:pPr>
      <w:r>
        <w:rPr>
          <w:rFonts w:ascii="Times New Roman" w:hAnsi="Times New Roman" w:eastAsia="Times New Roman"/>
          <w:sz w:val="24"/>
        </w:rPr>
        <w:t xml:space="preserve">Prohibit Dr. Vasquez and Canopy Ridge, and those acting in active concert with them who receive actual notice, from using, disclosing, transmitting, reproducing, relying on, or otherwise exploiting Greenfield’s identified trade secrets and confidential information, including the GBS-4400 formulation database and unpublished Phase II data; Greenfield’s SFE parameter sets; supplier identities and negotiated terms; and the five-year R&amp;D roadmap.</w:t>
      </w:r>
    </w:p>
    <w:p>
      <w:pPr>
        <w:pStyle w:val="Compact"/>
        <w:keepNext w:val="0"/>
        <w:keepLines w:val="0"/>
        <w:widowControl/>
        <w:numPr>
          <w:ilvl w:val="0"/>
          <w:numId w:val="1002"/>
        </w:numPr>
        <w:spacing w:before="0" w:after="0" w:line="480" w:lineRule="auto"/>
        <w:ind w:left="792" w:hanging="432" w:right="0"/>
        <w:jc w:val="both"/>
      </w:pPr>
      <w:r>
        <w:rPr>
          <w:rFonts w:ascii="Times New Roman" w:hAnsi="Times New Roman" w:eastAsia="Times New Roman"/>
          <w:sz w:val="24"/>
        </w:rPr>
        <w:t xml:space="preserve">Require Defendants to preserve, identify, and sequester all copies of those materials, including on the personal USB device, personal email or storage accounts, personal devices, and Canopy Ridge systems, and prohibit deletion, alteration, or dissemination pending further order.</w:t>
      </w:r>
    </w:p>
    <w:p>
      <w:pPr>
        <w:pStyle w:val="Compact"/>
        <w:keepNext w:val="0"/>
        <w:keepLines w:val="0"/>
        <w:widowControl/>
        <w:numPr>
          <w:ilvl w:val="0"/>
          <w:numId w:val="1002"/>
        </w:numPr>
        <w:spacing w:before="0" w:after="0" w:line="480" w:lineRule="auto"/>
        <w:ind w:left="792" w:hanging="432" w:right="0"/>
        <w:jc w:val="both"/>
      </w:pPr>
      <w:r>
        <w:rPr>
          <w:rFonts w:ascii="Times New Roman" w:hAnsi="Times New Roman" w:eastAsia="Times New Roman"/>
          <w:sz w:val="24"/>
        </w:rPr>
        <w:t xml:space="preserve">Require a neutral, independent forensic examiner to inspect relevant devices, storage, accounts, and systems under a court-approved protocol; identify and secure Greenfield materials; segregate privileged, personal, and unrelated Canopy Ridge information; and report to the Court and counsel subject to appropriate confidentiality protections. A protocol can use search terms and file hashes derived from Greenfield’s source data, attorney review for privilege, and an attorneys’-eyes-only designation for sensitive Canopy Ridge material.</w:t>
      </w:r>
    </w:p>
    <w:p>
      <w:pPr>
        <w:pStyle w:val="Compact"/>
        <w:keepNext w:val="0"/>
        <w:keepLines w:val="0"/>
        <w:widowControl/>
        <w:numPr>
          <w:ilvl w:val="0"/>
          <w:numId w:val="1002"/>
        </w:numPr>
        <w:spacing w:before="0" w:after="0" w:line="480" w:lineRule="auto"/>
        <w:ind w:left="792" w:hanging="432" w:right="0"/>
        <w:jc w:val="both"/>
      </w:pPr>
      <w:r>
        <w:rPr>
          <w:rFonts w:ascii="Times New Roman" w:hAnsi="Times New Roman" w:eastAsia="Times New Roman"/>
          <w:sz w:val="24"/>
        </w:rPr>
        <w:t xml:space="preserve">Pending that examination and further order, prohibit Dr. Vasquez from directing, conducting, or providing services on CRT-7100 or any Canopy Ridge program to the extent it uses or depends on Greenfield’s identified secrets. To the extent the Court enforces Agreement § 7.1, enforce it as applied to her current competing work at Canopy Ridge within the restricted territory and duration, subject to any narrowing the Court finds required by § 24L. If the Court finds the twenty-four-month duration unavailable, Greenfield requests enforcement for the maximum lawful period, including the statutory twelve-month period, without limiting the independent trade-secret injunction.</w:t>
      </w:r>
    </w:p>
    <w:p>
      <w:pPr>
        <w:pStyle w:val="Compact"/>
        <w:keepNext w:val="0"/>
        <w:keepLines w:val="0"/>
        <w:widowControl/>
        <w:numPr>
          <w:ilvl w:val="0"/>
          <w:numId w:val="1002"/>
        </w:numPr>
        <w:spacing w:before="0" w:after="0" w:line="480" w:lineRule="auto"/>
        <w:ind w:left="792" w:hanging="432" w:right="0"/>
        <w:jc w:val="both"/>
      </w:pPr>
      <w:r>
        <w:rPr>
          <w:rFonts w:ascii="Times New Roman" w:hAnsi="Times New Roman" w:eastAsia="Times New Roman"/>
          <w:sz w:val="24"/>
        </w:rPr>
        <w:t xml:space="preserve">Enforce Agreement § 7.2 by prohibiting Dr. Vasquez from soliciting, recruiting, or hiring Greenfield employees or contractors, including Dr. Chow, during the contractual period, or, at minimum, from soliciting members of the GBS-4400 research team whom she supervised or whose confidential information she learned in her role.</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This relief is specific to information and conduct shown in the record, consistent with Fed. R. Civ. P. 65(d), and preserves Defendants’ ability to show the Court that a particular CRT-7100 or other development activity was independently created without Greenfield information. Greenfield does not seek a blanket shutdown of Canopy Ridge’s business. The Court may require a Rule 65(c) bond in an amount adequate to secure any costs or damages sustained by a party later found to have been wrongfully enjoined; Greenfield is prepared to post the security the Court requires.</w:t>
      </w:r>
    </w:p>
    <w:bookmarkEnd w:id="33"/>
    <w:bookmarkEnd w:id="34"/>
    <w:bookmarkStart w:id="35" w:name="conclusion"/>
    <w:p>
      <w:pPr>
        <w:pStyle w:val="Heading2"/>
        <w:keepNext/>
        <w:keepLines/>
        <w:widowControl/>
        <w:spacing w:before="240" w:after="80" w:line="240" w:lineRule="auto"/>
        <w:ind w:firstLine="0" w:left="0"/>
        <w:jc w:val="left"/>
      </w:pPr>
      <w:r>
        <w:rPr>
          <w:rFonts w:ascii="Times New Roman" w:hAnsi="Times New Roman" w:eastAsia="Times New Roman"/>
          <w:b/>
          <w:sz w:val="24"/>
        </w:rPr>
        <w:t xml:space="preserve">CONCLUSION</w:t>
      </w:r>
    </w:p>
    <w:p>
      <w:pPr>
        <w:pStyle w:val="FirstParagraph"/>
        <w:keepNext w:val="0"/>
        <w:keepLines w:val="0"/>
        <w:widowControl/>
        <w:spacing w:before="0" w:after="0" w:line="480" w:lineRule="auto"/>
        <w:ind w:firstLine="720" w:left="0" w:right="0"/>
        <w:jc w:val="both"/>
      </w:pPr>
      <w:r>
        <w:rPr>
          <w:rFonts w:ascii="Times New Roman" w:hAnsi="Times New Roman" w:eastAsia="Times New Roman"/>
          <w:sz w:val="24"/>
        </w:rPr>
        <w:t xml:space="preserve">The record shows a deliberate, unauthorized transfer of Greenfield’s most valuable nonpublic research immediately before Dr. Vasquez’s departure; forensic indications of concealment; her transition to the leadership of a nearby competitor; a rapidly announced and closely overlapping pipeline; a failure, to date, to provide verifiable forensic confirmation that the copied materials are gone; and a separate, documented attempt to recruit a key Greenfield scientist. Greenfield has shown a likelihood of success, likely irreparable harm, equities favoring focused protection, and a public interest in preventing misappropriation while preserving independent research. The Court should grant the motion and enter a tailored preliminary injunction protecting Greenfield’s identified secrets, providing for a neutral forensic examination and sequestration, and enforcing the restrictive covenants to the extent permitted by Massachusetts law.</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Respectfully submitted,</w:t>
      </w:r>
    </w:p>
    <w:p>
      <w:pPr>
        <w:pStyle w:val="BodyText"/>
        <w:keepNext w:val="0"/>
        <w:keepLines w:val="0"/>
        <w:widowControl/>
        <w:spacing w:before="0" w:after="0" w:line="480" w:lineRule="auto"/>
        <w:ind w:firstLine="720" w:left="0" w:right="0"/>
        <w:jc w:val="both"/>
      </w:pPr>
      <w:r>
        <w:rPr>
          <w:rFonts w:ascii="Times New Roman" w:hAnsi="Times New Roman" w:eastAsia="Times New Roman"/>
          <w:b/>
          <w:bCs/>
          <w:sz w:val="24"/>
        </w:rPr>
        <w:t xml:space="preserve">GREENFIELD BOTANICAL SCIENCES, INC.,</w:t>
      </w:r>
      <w:r>
        <w:rPr>
          <w:rFonts w:ascii="Times New Roman" w:hAnsi="Times New Roman" w:eastAsia="Times New Roman"/>
          <w:sz w:val="24"/>
        </w:rPr>
        <w:br/>
      </w:r>
      <w:r>
        <w:rPr>
          <w:rFonts w:ascii="Times New Roman" w:hAnsi="Times New Roman" w:eastAsia="Times New Roman"/>
          <w:sz w:val="24"/>
        </w:rPr>
        <w:t xml:space="preserve">By its attorneys,</w:t>
      </w:r>
    </w:p>
    <w:p>
      <w:pPr>
        <w:pStyle w:val="BodyText"/>
        <w:keepNext w:val="0"/>
        <w:keepLines w:val="0"/>
        <w:widowControl/>
        <w:spacing w:before="0" w:after="0" w:line="480" w:lineRule="auto"/>
        <w:ind w:firstLine="720" w:left="0" w:right="0"/>
        <w:jc w:val="both"/>
      </w:pPr>
      <w:r>
        <w:rPr>
          <w:rFonts w:ascii="Times New Roman" w:hAnsi="Times New Roman" w:eastAsia="Times New Roman"/>
          <w:b/>
          <w:bCs/>
          <w:sz w:val="24"/>
        </w:rPr>
        <w:t xml:space="preserve">ASHFORD &amp; WHITMORE LLP</w:t>
      </w:r>
    </w:p>
    <w:p>
      <w:pPr>
        <w:pStyle w:val="BodyText"/>
        <w:keepNext w:val="0"/>
        <w:keepLines w:val="0"/>
        <w:widowControl/>
        <w:spacing w:before="0" w:after="0" w:line="480" w:lineRule="auto"/>
        <w:ind w:firstLine="720" w:left="0" w:right="0"/>
        <w:jc w:val="both"/>
      </w:pPr>
      <w:r>
        <w:rPr>
          <w:rFonts w:ascii="Times New Roman" w:hAnsi="Times New Roman" w:eastAsia="Times New Roman"/>
          <w:sz w:val="24"/>
        </w:rPr>
        <w:t xml:space="preserve">By: /s/ Robert K. Ashford</w:t>
      </w:r>
      <w:r>
        <w:rPr>
          <w:rFonts w:ascii="Times New Roman" w:hAnsi="Times New Roman" w:eastAsia="Times New Roman"/>
          <w:sz w:val="24"/>
        </w:rPr>
        <w:br/>
      </w:r>
      <w:r>
        <w:rPr>
          <w:rFonts w:ascii="Times New Roman" w:hAnsi="Times New Roman" w:eastAsia="Times New Roman"/>
          <w:sz w:val="24"/>
        </w:rPr>
        <w:t xml:space="preserve">Robert K. Ashford (BBO No. 654321)</w:t>
      </w:r>
      <w:r>
        <w:rPr>
          <w:rFonts w:ascii="Times New Roman" w:hAnsi="Times New Roman" w:eastAsia="Times New Roman"/>
          <w:sz w:val="24"/>
        </w:rPr>
        <w:br/>
      </w:r>
      <w:r>
        <w:rPr>
          <w:rFonts w:ascii="Times New Roman" w:hAnsi="Times New Roman" w:eastAsia="Times New Roman"/>
          <w:sz w:val="24"/>
        </w:rPr>
        <w:t xml:space="preserve">200 State Street, 30th Floor</w:t>
      </w:r>
      <w:r>
        <w:rPr>
          <w:rFonts w:ascii="Times New Roman" w:hAnsi="Times New Roman" w:eastAsia="Times New Roman"/>
          <w:sz w:val="24"/>
        </w:rPr>
        <w:br/>
      </w:r>
      <w:r>
        <w:rPr>
          <w:rFonts w:ascii="Times New Roman" w:hAnsi="Times New Roman" w:eastAsia="Times New Roman"/>
          <w:sz w:val="24"/>
        </w:rPr>
        <w:t xml:space="preserve">Boston, MA 02109</w:t>
      </w:r>
      <w:r>
        <w:rPr>
          <w:rFonts w:ascii="Times New Roman" w:hAnsi="Times New Roman" w:eastAsia="Times New Roman"/>
          <w:sz w:val="24"/>
        </w:rPr>
        <w:br/>
      </w:r>
      <w:r>
        <w:rPr>
          <w:rFonts w:ascii="Times New Roman" w:hAnsi="Times New Roman" w:eastAsia="Times New Roman"/>
          <w:sz w:val="24"/>
        </w:rPr>
        <w:t xml:space="preserve">Telephone: (617) 555-0100</w:t>
      </w:r>
      <w:r>
        <w:rPr>
          <w:rFonts w:ascii="Times New Roman" w:hAnsi="Times New Roman" w:eastAsia="Times New Roman"/>
          <w:sz w:val="24"/>
        </w:rPr>
        <w:br/>
      </w:r>
      <w:r>
        <w:rPr>
          <w:rFonts w:ascii="Times New Roman" w:hAnsi="Times New Roman" w:eastAsia="Times New Roman"/>
          <w:sz w:val="24"/>
        </w:rPr>
        <w:t xml:space="preserve">Email: rashford@ashfordwhitmore.com</w:t>
      </w:r>
    </w:p>
    <w:bookmarkEnd w:id="35"/>
    <w:bookmarkEnd w:id="36"/>
    <w:sectPr>
      <w:headerReference w:type="default" r:id="rId9"/>
      <w:footerReference w:type="default" r:id="rId10"/>
      <w:pgMar w:top="1440" w:bottom="1440" w:left="1440" w:right="1440" w:header="648"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20"/>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pPr>
    <w:r>
      <w:rPr>
        <w:rFonts w:ascii="Times New Roman" w:hAnsi="Times New Roman" w:eastAsia="Times New Roman"/>
        <w:sz w:val="18"/>
      </w:rPr>
      <w:t>GREENFIELD BOTANICAL SCIENCES, INC. v. VASQUEZ  |  No. 1:25-cv-00482-DJC</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rPr>
  </w:style>
  <w:style w:styleId="BodyText" w:type="paragraph">
    <w:name w:val="Body Text"/>
    <w:basedOn w:val="Normal"/>
    <w:link w:val="BodyTextChar"/>
    <w:qFormat/>
    <w:pPr>
      <w:spacing w:after="180" w:before="180"/>
    </w:pPr>
    <w:rPr>
      <w:rFonts w:ascii="Times New Roman" w:hAnsi="Times New Roman" w:eastAsia="Times New Roman"/>
    </w:rPr>
  </w:style>
  <w:style w:customStyle="1" w:styleId="FirstParagraph" w:type="paragraph">
    <w:name w:val="First Paragraph"/>
    <w:basedOn w:val="BodyText"/>
    <w:next w:val="BodyText"/>
    <w:qFormat/>
    <w:rPr>
      <w:rFonts w:ascii="Times New Roman" w:hAnsi="Times New Roman" w:eastAsia="Times New Roman"/>
    </w:rPr>
  </w:style>
  <w:style w:customStyle="1" w:styleId="Compact" w:type="paragraph">
    <w:name w:val="Compact"/>
    <w:basedOn w:val="BodyText"/>
    <w:qFormat/>
    <w:pPr>
      <w:spacing w:after="36" w:before="36"/>
    </w:pPr>
    <w:rPr>
      <w:rFonts w:ascii="Times New Roman" w:hAnsi="Times New Roman" w:eastAsia="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2026-09-27T00:40:51Z</dcterms:created>
  <dcterms:modified xsi:type="dcterms:W3CDTF">2026-09-27T00:40:51Z</dcterms:modified>
</cp:coreProperties>
</file>

<file path=docProps/custom.xml><?xml version="1.0" encoding="utf-8"?>
<Properties xmlns="http://schemas.openxmlformats.org/officeDocument/2006/custom-properties" xmlns:vt="http://schemas.openxmlformats.org/officeDocument/2006/docPropsVTypes"/>
</file>