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jc w:val="center"/>
      </w:pPr>
      <w:r>
        <w:rPr>
          <w:b/>
        </w:rPr>
        <w:t>UNITED STATES DISTRICT COURT</w:t>
      </w:r>
    </w:p>
    <w:p>
      <w:pPr>
        <w:spacing w:line="240" w:lineRule="auto" w:after="240"/>
        <w:jc w:val="center"/>
      </w:pPr>
      <w:r>
        <w:rPr>
          <w:b/>
        </w:rPr>
        <w:t>DISTRICT OF MASSACHUSETTS</w:t>
      </w:r>
    </w:p>
    <w:tbl>
      <w:tblPr>
        <w:tblW w:type="auto" w:w="0"/>
        <w:tblLook w:firstColumn="1" w:firstRow="1" w:lastColumn="0" w:lastRow="0" w:noHBand="0" w:noVBand="1" w:val="04A0"/>
      </w:tblPr>
      <w:tblGrid>
        <w:gridCol w:w="4680"/>
        <w:gridCol w:w="4680"/>
      </w:tblGrid>
      <w:tr>
        <w:tc>
          <w:tcPr>
            <w:tcW w:type="dxa" w:w="5184"/>
          </w:tcPr>
          <w:p>
            <w:pPr>
              <w:spacing w:after="0"/>
            </w:pPr>
            <w:r/>
            <w:r>
              <w:rPr>
                <w:b/>
              </w:rPr>
              <w:t>GREENFIELD BOTANICAL SCIENCES, INC.,</w:t>
            </w:r>
          </w:p>
          <w:p>
            <w:pPr>
              <w:spacing w:after="0"/>
            </w:pPr>
            <w:r>
              <w:rPr>
                <w:b w:val="0"/>
              </w:rPr>
            </w:r>
          </w:p>
          <w:p>
            <w:pPr>
              <w:spacing w:after="0"/>
            </w:pPr>
            <w:r>
              <w:rPr>
                <w:b w:val="0"/>
              </w:rPr>
              <w:t xml:space="preserve">                    Plaintiff,</w:t>
            </w:r>
          </w:p>
          <w:p>
            <w:pPr>
              <w:spacing w:after="0"/>
            </w:pPr>
            <w:r>
              <w:rPr>
                <w:b w:val="0"/>
              </w:rPr>
            </w:r>
          </w:p>
          <w:p>
            <w:pPr>
              <w:spacing w:after="0"/>
            </w:pPr>
            <w:r>
              <w:rPr>
                <w:b w:val="0"/>
              </w:rPr>
              <w:t xml:space="preserve">          v.</w:t>
            </w:r>
          </w:p>
          <w:p>
            <w:pPr>
              <w:spacing w:after="0"/>
            </w:pPr>
            <w:r>
              <w:rPr>
                <w:b w:val="0"/>
              </w:rPr>
            </w:r>
          </w:p>
          <w:p>
            <w:pPr>
              <w:spacing w:after="0"/>
            </w:pPr>
            <w:r>
              <w:rPr>
                <w:b w:val="0"/>
              </w:rPr>
              <w:t>DR. ELENA VASQUEZ and CANOPY RIDGE THERAPEUTICS, LLC,</w:t>
            </w:r>
          </w:p>
          <w:p>
            <w:pPr>
              <w:spacing w:after="0"/>
            </w:pPr>
            <w:r>
              <w:rPr>
                <w:b w:val="0"/>
              </w:rPr>
            </w:r>
          </w:p>
          <w:p>
            <w:pPr>
              <w:spacing w:after="0"/>
            </w:pPr>
            <w:r>
              <w:rPr>
                <w:b w:val="0"/>
              </w:rPr>
              <w:t xml:space="preserve">                    Defendants.</w:t>
            </w:r>
          </w:p>
          <w:p>
            <w:r>
              <w:t>________________________________________</w:t>
            </w:r>
          </w:p>
        </w:tc>
        <w:tc>
          <w:tcPr>
            <w:tcW w:type="dxa" w:w="4176"/>
          </w:tcPr>
          <w:p>
            <w:pPr>
              <w:spacing w:after="0"/>
            </w:pPr>
            <w:r>
              <w:rPr>
                <w:b w:val="0"/>
              </w:rPr>
            </w:r>
          </w:p>
          <w:p>
            <w:pPr>
              <w:spacing w:after="0"/>
            </w:pPr>
            <w:r>
              <w:rPr>
                <w:b w:val="0"/>
              </w:rPr>
            </w:r>
          </w:p>
          <w:p>
            <w:pPr>
              <w:spacing w:after="0"/>
            </w:pPr>
            <w:r>
              <w:rPr>
                <w:b w:val="0"/>
              </w:rPr>
              <w:t>Civil Action No. 1:25-cv-00482-DJC</w:t>
            </w:r>
          </w:p>
          <w:p>
            <w:pPr>
              <w:spacing w:after="0"/>
            </w:pPr>
            <w:r>
              <w:rPr>
                <w:b w:val="0"/>
              </w:rPr>
            </w:r>
          </w:p>
          <w:p>
            <w:pPr>
              <w:spacing w:after="0"/>
            </w:pPr>
            <w:r>
              <w:rPr>
                <w:b w:val="0"/>
              </w:rPr>
              <w:t>Hon. Diana J. Chen</w:t>
            </w:r>
          </w:p>
          <w:p>
            <w:pPr>
              <w:spacing w:after="0"/>
            </w:pPr>
            <w:r>
              <w:rPr>
                <w:b w:val="0"/>
              </w:rPr>
            </w:r>
          </w:p>
          <w:p>
            <w:pPr>
              <w:spacing w:after="0"/>
            </w:pPr>
            <w:r>
              <w:rPr>
                <w:b/>
              </w:rPr>
              <w:t>ORAL ARGUMENT REQUESTED</w:t>
            </w:r>
          </w:p>
        </w:tc>
      </w:tr>
    </w:tbl>
    <w:p>
      <w:pPr>
        <w:spacing w:line="240" w:lineRule="auto" w:after="0"/>
      </w:pPr>
    </w:p>
    <w:p>
      <w:pPr>
        <w:spacing w:line="240" w:lineRule="auto" w:after="240"/>
        <w:jc w:val="center"/>
      </w:pPr>
      <w:r>
        <w:rPr>
          <w:b/>
        </w:rPr>
        <w:t>PLAINTIFF GREENFIELD BOTANICAL SCIENCES, INC.'S MEMORANDUM OF LAW IN SUPPORT OF ITS MOTION FOR A PRELIMINARY INJUNCTION</w:t>
      </w:r>
    </w:p>
    <w:p>
      <w:pPr>
        <w:keepNext/>
        <w:spacing w:before="120" w:after="120" w:line="240" w:lineRule="auto"/>
        <w:jc w:val="center"/>
      </w:pPr>
      <w:r>
        <w:rPr>
          <w:b/>
          <w:u w:val="single"/>
        </w:rPr>
        <w:t>PRELIMINARY STATEMENT</w:t>
      </w:r>
    </w:p>
    <w:p>
      <w:pPr>
        <w:spacing w:line="480" w:lineRule="auto" w:after="0"/>
        <w:ind w:firstLine="720"/>
        <w:jc w:val="both"/>
      </w:pPr>
      <w:r>
        <w:t xml:space="preserve">In the eleven days before she resigned as Vice President of Research of Plaintiff Greenfield Botanical Sciences, Inc. ("Greenfield"), Defendant Dr. Elena Vasquez connected an unregistered personal SanDisk solid-state drive to her company laptop in seven after-hours and weekend sessions and copied approximately 14,200 files (3.8 GB) from Greenfield's access-restricted R&amp;D server. The files were drawn from the directories that hold the core of Greenfield's business: the GBS-4400 formulation database, unpublished Phase II clinical trial data, the supercritical fluid extraction ("SFE") parameters for all twelve of Greenfield's compounds, the pricing terms for all thirty-seven of its specialty botanical suppliers, and its five-year R&amp;D strategic roadmap. Forensic Rpt. §§ 4–5, 9. The last copy session ran on the evening of the day she resigned, citing "personal reasons." </w:t>
      </w:r>
      <w:r>
        <w:rPr>
          <w:i/>
        </w:rPr>
        <w:t>Id.</w:t>
      </w:r>
      <w:r>
        <w:t xml:space="preserve"> § 4.2; Greenfield Decl. ¶ 15. Two days before her last day, she ran Disk Cleanup and emptied the Recycle Bin, deleting traces of both the transfers and her twenty-three visits to the website of Defendant Canopy Ridge Therapeutics, LLC ("Canopy Ridge"). Forensic Rpt. §§ 6.1, 6.3.</w:t>
      </w:r>
    </w:p>
    <w:p>
      <w:pPr>
        <w:spacing w:line="480" w:lineRule="auto" w:after="0"/>
        <w:ind w:firstLine="720"/>
        <w:jc w:val="both"/>
      </w:pPr>
      <w:r>
        <w:t>Thirty-eight days after Dr. Vasquez left Greenfield, Canopy Ridge, a competitor located less than a dozen miles away, named her its Chief Scientific Officer. On the same day it announced an "accelerated" lead anti-inflammatory, CRT-7100, derived from a "rare Andean plant species" using "next-generation supercritical extraction." Canopy Ridge also stated that it "expect[s] to be first to market with a novel botanical anti-inflammatory." Press Release (Greenfield Decl. Ex. F). That description matches GBS-4400, Greenfield's Phase II anti-inflammatory derived from a high-altitude Andean plant species through proprietary SFE. Four days before that announcement, Dr. Vasquez had emailed a senior GBS-4400 scientist at Greenfield from a personal account. She offered at least 40% more pay and asked the scientist to keep the approach secret and to reply "rather than through any work channels." Chow Decl. ¶¶ 6–9 &amp; Ex. A.</w:t>
      </w:r>
    </w:p>
    <w:p>
      <w:pPr>
        <w:spacing w:line="480" w:lineRule="auto" w:after="0"/>
        <w:ind w:firstLine="720"/>
        <w:jc w:val="both"/>
      </w:pPr>
      <w:r>
        <w:t>Greenfield asks for narrow interim relief to preserve the status quo until the merits can be decided. It asks the Court to (1) stop Defendants from using or disclosing Greenfield's trade secrets; (2) require the return and neutral forensic sequestration of the exfiltrated data; (3) enforce Dr. Vasquez's post-employment non-competition covenant, which Greenfield has supported with garden-leave pay of 50% of her base salary; and (4) enforce her covenant not to solicit Greenfield employees. Each of the four preliminary-injunction factors favors relief.</w:t>
      </w:r>
    </w:p>
    <w:p>
      <w:pPr>
        <w:keepNext/>
        <w:spacing w:before="120" w:after="120" w:line="240" w:lineRule="auto"/>
        <w:jc w:val="center"/>
      </w:pPr>
      <w:r>
        <w:rPr>
          <w:b/>
          <w:u w:val="single"/>
        </w:rPr>
        <w:t>STATEMENT OF FACTS</w:t>
      </w:r>
    </w:p>
    <w:p>
      <w:pPr>
        <w:keepNext/>
        <w:spacing w:before="120" w:after="120" w:line="240" w:lineRule="auto"/>
        <w:ind w:left="0" w:firstLine="0"/>
      </w:pPr>
      <w:r>
        <w:rPr>
          <w:b/>
        </w:rPr>
        <w:t>A. Greenfield and Its Trade Secrets</w:t>
      </w:r>
    </w:p>
    <w:p>
      <w:pPr>
        <w:spacing w:line="480" w:lineRule="auto" w:after="0"/>
        <w:ind w:firstLine="720"/>
        <w:jc w:val="both"/>
      </w:pPr>
      <w:r>
        <w:t xml:space="preserve">Greenfield, based in Cambridge, develops plant-derived pharmaceuticals using patented SFE processes. It has 142 employees and had FY2023 revenue of about $38.2 million. Since 2016 it has invested about $47.3 million in R&amp;D. Greenfield Decl. ¶¶ 2–3. Its lead compound, GBS-4400, is a novel anti-inflammatory derived from a high-altitude Andean plant species. GBS-4400 is in FDA Phase II trials, and approval is projected for Q3 2027. </w:t>
      </w:r>
      <w:r>
        <w:rPr>
          <w:i/>
        </w:rPr>
        <w:t>Id.</w:t>
      </w:r>
      <w:r>
        <w:t xml:space="preserve"> ¶ 4. Five categories of information are at issue: (a) the GBS-4400 formulation database; (b) unpublished Phase II clinical data; (c) SFE parameter sets (temperature, pressure, co-solvent ratios, flow rates, and timing) for twelve compounds, which cannot be derived from Greenfield's patents or the literature; (d) a confidential list of thirty-seven specialty botanical suppliers with negotiated pricing and exclusivity terms; and (e) a five-year R&amp;D roadmap running through 2029. </w:t>
      </w:r>
      <w:r>
        <w:rPr>
          <w:i/>
        </w:rPr>
        <w:t>Id.</w:t>
      </w:r>
      <w:r>
        <w:t xml:space="preserve"> ¶ 5; Forensic Rpt. § 5.3. In November 2024, the independent Linden Valuation Group ("LVG") valued the portfolio at $85 million, of which $52 million is attributable to GBS-4400. LVG Rpt. §§ 1, 4.4 (Greenfield Decl. Ex. A). Dr. Vasquez was interviewed for, and supplied technical information to, that valuation. </w:t>
      </w:r>
      <w:r>
        <w:rPr>
          <w:i/>
        </w:rPr>
        <w:t>Id.</w:t>
      </w:r>
      <w:r>
        <w:t xml:space="preserve"> § 2.1.</w:t>
      </w:r>
    </w:p>
    <w:p>
      <w:pPr>
        <w:spacing w:line="480" w:lineRule="auto" w:after="0"/>
        <w:ind w:firstLine="720"/>
        <w:jc w:val="both"/>
      </w:pPr>
      <w:r>
        <w:t>Greenfield protects this information with the following measures:</w:t>
      </w:r>
    </w:p>
    <w:p>
      <w:pPr>
        <w:spacing w:line="240" w:lineRule="auto" w:after="160"/>
        <w:ind w:left="1440" w:hanging="432"/>
        <w:jc w:val="both"/>
      </w:pPr>
      <w:r>
        <w:t>confidentiality agreements;</w:t>
      </w:r>
    </w:p>
    <w:p>
      <w:pPr>
        <w:spacing w:line="240" w:lineRule="auto" w:after="160"/>
        <w:ind w:left="1440" w:hanging="432"/>
        <w:jc w:val="both"/>
      </w:pPr>
      <w:r>
        <w:t>role-based access on a need-to-know basis. Dr. Vasquez was one of only seven employees with access to the GBS-4400 formulation database and one of only four with access to the complete SFE parameter repository;</w:t>
      </w:r>
    </w:p>
    <w:p>
      <w:pPr>
        <w:spacing w:line="240" w:lineRule="auto" w:after="160"/>
        <w:ind w:left="1440" w:hanging="432"/>
        <w:jc w:val="both"/>
      </w:pPr>
      <w:r>
        <w:t>VPN access protected by multi-factor authentication, and BitLocker full-disk encryption;</w:t>
      </w:r>
    </w:p>
    <w:p>
      <w:pPr>
        <w:spacing w:line="240" w:lineRule="auto" w:after="160"/>
        <w:ind w:left="1440" w:hanging="432"/>
        <w:jc w:val="both"/>
      </w:pPr>
      <w:r>
        <w:t>"CONFIDENTIAL – PROPRIETARY" and "RESTRICTED – TRADE SECRET" classification tags on every file on the R&amp;D server;</w:t>
      </w:r>
    </w:p>
    <w:p>
      <w:pPr>
        <w:spacing w:line="240" w:lineRule="auto" w:after="160"/>
        <w:ind w:left="1440" w:hanging="432"/>
        <w:jc w:val="both"/>
      </w:pPr>
      <w:r>
        <w:t>key-card physical access controls; and</w:t>
      </w:r>
    </w:p>
    <w:p>
      <w:pPr>
        <w:spacing w:line="240" w:lineRule="auto" w:after="160"/>
        <w:ind w:left="1440" w:hanging="432"/>
        <w:jc w:val="both"/>
      </w:pPr>
      <w:r>
        <w:t>a written Acceptable Use Policy prohibiting transfers to personal devices, which Dr. Vasquez signed in 2019 and again in 2022.</w:t>
      </w:r>
    </w:p>
    <w:p>
      <w:pPr>
        <w:spacing w:line="480" w:lineRule="auto" w:after="0"/>
        <w:ind w:firstLine="720"/>
        <w:jc w:val="both"/>
      </w:pPr>
      <w:r>
        <w:t>Forensic Rpt. §§ 3, 4.1, 7; Greenfield Decl. ¶¶ 8–10; Employment Agreement ("Agmt.") §§ 5.2, 8.4 (Greenfield Decl. Ex. B).</w:t>
      </w:r>
    </w:p>
    <w:p>
      <w:pPr>
        <w:keepNext/>
        <w:spacing w:before="120" w:after="120" w:line="240" w:lineRule="auto"/>
        <w:ind w:left="0" w:firstLine="0"/>
      </w:pPr>
      <w:r>
        <w:rPr>
          <w:b/>
        </w:rPr>
        <w:t>B. Dr. Vasquez's Role and Covenants</w:t>
      </w:r>
    </w:p>
    <w:p>
      <w:pPr>
        <w:spacing w:line="480" w:lineRule="auto" w:after="0"/>
        <w:ind w:firstLine="720"/>
        <w:jc w:val="both"/>
      </w:pPr>
      <w:r>
        <w:t>Dr. Vasquez joined Greenfield as Director of Research on March 11, 2019. Her Employment Agreement contains non-competition (§ 7.1), non-solicitation (§ 7.2), garden-leave (§ 7.3), fiduciary-duty (§ 7.5), confidentiality (§§ 8.1–8.2), and invention-assignment (§ 9.1) covenants. It also bars copying Company data to any USB drive or personal email account without written authorization, and it treats any such transfer as a material breach (§ 5.2). On January 1, 2022, she was promoted to Vice President of Research. Her base salary rose from $265,000 to $325,000 and her bonus target from 25% to 30%. In a signed First Amendment, she reaffirmed each covenant, acknowledged that she had had a reasonable opportunity to consult counsel, and agreed that the promotion, raise, and expanded access were "additional, fair, and mutually agreed-upon consideration" for the non-compete. First Am. §§ 2–4, 6 (Greenfield Decl. Ex. C). As VP of Research she led the GBS-4400 program and had access to all five trade-secret categories. Greenfield Decl. ¶ 13. She also acknowledged in writing that, "by virtue of her senior position," she owed Greenfield "fiduciary duties of loyalty and care." Agmt. § 7.5.</w:t>
      </w:r>
    </w:p>
    <w:p>
      <w:pPr>
        <w:spacing w:line="480" w:lineRule="auto" w:after="0"/>
        <w:ind w:firstLine="720"/>
        <w:jc w:val="both"/>
      </w:pPr>
      <w:r>
        <w:t>Section 7.1 bars Dr. Vasquez, for twenty-four months after separation, from working for any entity engaged in plant-derived pharmaceutical development within 100 miles of Greenfield's Cambridge headquarters. During that period, Section 7.3 obligates Greenfield to pay her 50% of her base salary: $162,500 per year, or $13,541.67 per month. Section 7.3 also provides that her refusal or return of a properly tendered payment "shall not relieve [her] of her non-competition obligations."</w:t>
      </w:r>
    </w:p>
    <w:p>
      <w:pPr>
        <w:keepNext/>
        <w:spacing w:before="120" w:after="120" w:line="240" w:lineRule="auto"/>
        <w:ind w:left="0" w:firstLine="0"/>
      </w:pPr>
      <w:r>
        <w:rPr>
          <w:b/>
        </w:rPr>
        <w:t>C. The Exfiltration and Concealment</w:t>
      </w:r>
    </w:p>
    <w:p>
      <w:pPr>
        <w:spacing w:line="480" w:lineRule="auto" w:after="0"/>
        <w:ind w:firstLine="720"/>
        <w:jc w:val="both"/>
      </w:pPr>
      <w:r>
        <w:t>The forensic examiner, Pinnacle Forensic Technologies, imaged Dr. Vasquez's laptop and verified the image by hash. Its report reconstructs the following timeline from registry, $MFT, $UsnJrnl, LNK, Shellbag, and Jump List artifacts. Forensic Rpt. §§ 2.3, 5.1.</w:t>
      </w:r>
    </w:p>
    <w:p>
      <w:pPr>
        <w:spacing w:line="240" w:lineRule="auto" w:after="160"/>
        <w:ind w:left="1440" w:hanging="432"/>
        <w:jc w:val="both"/>
      </w:pPr>
      <w:r>
        <w:rPr>
          <w:b/>
        </w:rPr>
        <w:t>Nov. 15 – Dec. 12, 2024:</w:t>
      </w:r>
      <w:r>
        <w:t xml:space="preserve"> Twenty-three visits from the Greenfield laptop to Canopy Ridge's website, including its careers, leadership, and pipeline pages. </w:t>
      </w:r>
      <w:r>
        <w:rPr>
          <w:i/>
        </w:rPr>
        <w:t>Id.</w:t>
      </w:r>
      <w:r>
        <w:t xml:space="preserve"> § 6.1.</w:t>
      </w:r>
    </w:p>
    <w:p>
      <w:pPr>
        <w:spacing w:line="240" w:lineRule="auto" w:after="160"/>
        <w:ind w:left="1440" w:hanging="432"/>
        <w:jc w:val="both"/>
      </w:pPr>
      <w:r>
        <w:rPr>
          <w:b/>
        </w:rPr>
        <w:t>Nov. 28, 2024:</w:t>
      </w:r>
      <w:r>
        <w:t xml:space="preserve"> Dr. Vasquez forwards three emails marked "CONFIDENTIAL – INTERNAL USE ONLY" to a personal account. The emails concern GBS-4400 Phase II interim results, planned SFE process modifications, and Phase III timing. </w:t>
      </w:r>
      <w:r>
        <w:rPr>
          <w:i/>
        </w:rPr>
        <w:t>Id.</w:t>
      </w:r>
      <w:r>
        <w:t xml:space="preserve"> § 6.2.</w:t>
      </w:r>
    </w:p>
    <w:p>
      <w:pPr>
        <w:spacing w:line="240" w:lineRule="auto" w:after="160"/>
        <w:ind w:left="1440" w:hanging="432"/>
        <w:jc w:val="both"/>
      </w:pPr>
      <w:r>
        <w:rPr>
          <w:b/>
        </w:rPr>
        <w:t>Dec. 1–12, 2024:</w:t>
      </w:r>
      <w:r>
        <w:t xml:space="preserve"> In seven sessions, all on weekday evenings or weekends (including about eleven hours over December 7–8), she copies approximately 14,200 files (3.8 GB) to a personal SanDisk Extreme Pro SSD (S/N 3HFGT7291XZ). The files come from the server's GBS-4400\Formulations (2,340 files), ClinicalTrials\PhaseII (4,180), SFE_Processes (1,870), Procurement\Suppliers (310), and Strategy\Roadmap (480) directories, plus about 5,020 other R&amp;D files. No IT authorization was ever issued. </w:t>
      </w:r>
      <w:r>
        <w:rPr>
          <w:i/>
        </w:rPr>
        <w:t>Id.</w:t>
      </w:r>
      <w:r>
        <w:t xml:space="preserve"> §§ 4.1–4.3, 5.2.</w:t>
      </w:r>
    </w:p>
    <w:p>
      <w:pPr>
        <w:spacing w:line="240" w:lineRule="auto" w:after="160"/>
        <w:ind w:left="1440" w:hanging="432"/>
        <w:jc w:val="both"/>
      </w:pPr>
      <w:r>
        <w:rPr>
          <w:b/>
        </w:rPr>
        <w:t>Dec. 12, 2024:</w:t>
      </w:r>
      <w:r>
        <w:t xml:space="preserve"> She resigns, citing "personal reasons." The final copy session ends at 9:13 p.m. that evening. No USB activity occurs afterward. </w:t>
      </w:r>
      <w:r>
        <w:rPr>
          <w:i/>
        </w:rPr>
        <w:t>Id.</w:t>
      </w:r>
      <w:r>
        <w:t xml:space="preserve"> § 4.3; Greenfield Decl. ¶ 15.</w:t>
      </w:r>
    </w:p>
    <w:p>
      <w:pPr>
        <w:spacing w:line="240" w:lineRule="auto" w:after="160"/>
        <w:ind w:left="1440" w:hanging="432"/>
        <w:jc w:val="both"/>
      </w:pPr>
      <w:r>
        <w:rPr>
          <w:b/>
        </w:rPr>
        <w:t>Jan. 15, 2025:</w:t>
      </w:r>
      <w:r>
        <w:t xml:space="preserve"> She runs Disk Cleanup and empties the Recycle Bin, deleting transfer artifacts and cached Canopy Ridge browsing history. Pinnacle recovered those artifacts by forensic carving. Forensic Rpt. § 6.3.</w:t>
      </w:r>
    </w:p>
    <w:p>
      <w:pPr>
        <w:spacing w:line="240" w:lineRule="auto" w:after="160"/>
        <w:ind w:left="1440" w:hanging="432"/>
        <w:jc w:val="both"/>
      </w:pPr>
      <w:r>
        <w:rPr>
          <w:b/>
        </w:rPr>
        <w:t>Jan. 17, 2025:</w:t>
      </w:r>
      <w:r>
        <w:t xml:space="preserve"> Her last day of employment.</w:t>
      </w:r>
    </w:p>
    <w:p>
      <w:pPr>
        <w:keepNext/>
        <w:spacing w:before="120" w:after="120" w:line="240" w:lineRule="auto"/>
        <w:ind w:left="0" w:firstLine="0"/>
      </w:pPr>
      <w:r>
        <w:rPr>
          <w:b/>
        </w:rPr>
        <w:t>D. Post-Separation Events</w:t>
      </w:r>
    </w:p>
    <w:p>
      <w:pPr>
        <w:spacing w:line="480" w:lineRule="auto" w:after="0"/>
        <w:ind w:firstLine="720"/>
        <w:jc w:val="both"/>
      </w:pPr>
      <w:r>
        <w:t xml:space="preserve">On January 28, 2025, Greenfield's counsel demanded that Dr. Vasquez return all Greenfield materials, certify their return or destruction under oath, and confirm that she would comply with her covenants. She acknowledged receipt, did not respond substantively, and returned nothing. Greenfield Decl. ¶ 19 &amp; Ex. E. On February 1, Greenfield tendered the first garden-leave payment. She returned it on February 5 without explanation. Greenfield remains ready to pay every installment. </w:t>
      </w:r>
      <w:r>
        <w:rPr>
          <w:i/>
        </w:rPr>
        <w:t>Id.</w:t>
      </w:r>
      <w:r>
        <w:t xml:space="preserve"> ¶¶ 20–21, 33. On February 20, she solicited Dr. Lisa Chow, her former direct report and a senior GBS-4400 scientist, as described above. Chow Decl. ¶¶ 4–9. On February 24, Canopy Ridge announced her appointment and CRT-7100. Canopy Ridge's CEO praised her "deep expertise in supercritical extraction processes and natural compound formulation." Canopy Ridge had not previously disclosed any Andean-plant-derived or SFE program. Press Release; Greenfield Decl. ¶¶ 22–25. Canopy Ridge's Waltham headquarters sits well within the 100-mile restricted territory. </w:t>
      </w:r>
      <w:r>
        <w:rPr>
          <w:i/>
        </w:rPr>
        <w:t>Id.</w:t>
      </w:r>
      <w:r>
        <w:t xml:space="preserve"> ¶ 23.</w:t>
      </w:r>
    </w:p>
    <w:p>
      <w:pPr>
        <w:keepNext/>
        <w:spacing w:before="120" w:after="120" w:line="240" w:lineRule="auto"/>
        <w:jc w:val="center"/>
      </w:pPr>
      <w:r>
        <w:rPr>
          <w:b/>
          <w:u w:val="single"/>
        </w:rPr>
        <w:t>ARGUMENT</w:t>
      </w:r>
    </w:p>
    <w:p>
      <w:pPr>
        <w:keepNext/>
        <w:spacing w:before="120" w:after="120" w:line="240" w:lineRule="auto"/>
        <w:ind w:left="0" w:firstLine="0"/>
      </w:pPr>
      <w:r>
        <w:rPr>
          <w:b/>
        </w:rPr>
        <w:t>I. LEGAL STANDARD</w:t>
      </w:r>
    </w:p>
    <w:p>
      <w:pPr>
        <w:spacing w:line="480" w:lineRule="auto" w:after="0"/>
        <w:ind w:firstLine="720"/>
        <w:jc w:val="both"/>
      </w:pPr>
      <w:r>
        <w:t xml:space="preserve">A party seeking a preliminary injunction must show (1) a likelihood of success on the merits; (2) a likelihood of irreparable harm without interim relief; (3) that the balance of equities favors it; and (4) that an injunction serves the public interest. </w:t>
      </w:r>
      <w:r>
        <w:rPr>
          <w:i/>
        </w:rPr>
        <w:t>Winter v. Nat. Res. Def. Council, Inc.</w:t>
      </w:r>
      <w:r>
        <w:t xml:space="preserve">, 555 U.S. 7, 20 (2008); </w:t>
      </w:r>
      <w:r>
        <w:rPr>
          <w:i/>
        </w:rPr>
        <w:t>Arborjet, Inc. v. Rainbow Treecare Sci. Advancements, Inc.</w:t>
      </w:r>
      <w:r>
        <w:t xml:space="preserve">, 794 F.3d 168, 171 (1st Cir. 2015). Likelihood of success is the "sine qua non" of the inquiry. </w:t>
      </w:r>
      <w:r>
        <w:rPr>
          <w:i/>
        </w:rPr>
        <w:t>New Comm Wireless Servs., Inc. v. SprintCom, Inc.</w:t>
      </w:r>
      <w:r>
        <w:t xml:space="preserve">, 287 F.3d 1, 9 (1st Cir. 2002). The factors are weighed together: a strong showing on the merits reduces the showing of harm required. </w:t>
      </w:r>
      <w:r>
        <w:rPr>
          <w:i/>
        </w:rPr>
        <w:t>See Ross-Simons of Warwick, Inc. v. Baccarat, Inc.</w:t>
      </w:r>
      <w:r>
        <w:t>, 102 F.3d 12, 19 (1st Cir. 1996). Injunctions against actual or threatened misappropriation are expressly authorized by statute. 18 U.S.C. § 1836(b)(3)(A); Mass. Gen. Laws ch. 93, § 42A.</w:t>
      </w:r>
    </w:p>
    <w:p>
      <w:pPr>
        <w:keepNext/>
        <w:spacing w:before="120" w:after="120" w:line="240" w:lineRule="auto"/>
        <w:ind w:left="0" w:firstLine="0"/>
      </w:pPr>
      <w:r>
        <w:rPr>
          <w:b/>
        </w:rPr>
        <w:t>II. GREENFIELD IS LIKELY TO SUCCEED ON THE MERITS</w:t>
      </w:r>
    </w:p>
    <w:p>
      <w:pPr>
        <w:keepNext/>
        <w:spacing w:before="120" w:after="120" w:line="240" w:lineRule="auto"/>
        <w:ind w:left="720" w:firstLine="0"/>
      </w:pPr>
      <w:r>
        <w:rPr>
          <w:b/>
        </w:rPr>
        <w:t>A. Defendants Have Misappropriated Greenfield's Trade Secrets (DTSA and MUTSA)</w:t>
      </w:r>
    </w:p>
    <w:p>
      <w:pPr>
        <w:spacing w:line="480" w:lineRule="auto" w:after="0"/>
        <w:ind w:firstLine="720"/>
        <w:jc w:val="both"/>
      </w:pPr>
      <w:r>
        <w:t>The DTSA and the Massachusetts Uniform Trade Secrets Act ("MUTSA"), Mass. Gen. Laws ch. 93, §§ 42–42G, define the relevant terms in substantially the same way. A plaintiff must show (1) information that derives independent economic value from not being generally known or readily ascertainable by proper means, (2) that the owner took reasonable measures to keep secret, and (3) that was misappropriated. 18 U.S.C. § 1839(3), (5); Mass. Gen. Laws ch. 93, § 42. The DTSA claim also requires a nexus to interstate commerce. Greenfield satisfies that requirement because it sources material from suppliers on three continents and is developing GBS-4400 for national markets. 18 U.S.C. § 1836(b)(1); Greenfield Decl. ¶ 5(d).</w:t>
      </w:r>
    </w:p>
    <w:p>
      <w:pPr>
        <w:keepNext/>
        <w:spacing w:before="120" w:after="120" w:line="240" w:lineRule="auto"/>
        <w:ind w:left="1440" w:firstLine="0"/>
      </w:pPr>
      <w:r>
        <w:rPr>
          <w:b/>
        </w:rPr>
        <w:t>1. The information is a protectable trade secret.</w:t>
      </w:r>
    </w:p>
    <w:p>
      <w:pPr>
        <w:spacing w:line="480" w:lineRule="auto" w:after="0"/>
        <w:ind w:firstLine="720"/>
        <w:jc w:val="both"/>
      </w:pPr>
      <w:r>
        <w:t xml:space="preserve">The categories at issue are standard examples of trade secrets. Both statutes expressly cover formulas, methods, techniques, processes, and procedures, whether "tangible or intangible." 18 U.S.C. § 1839(3); </w:t>
      </w:r>
      <w:r>
        <w:rPr>
          <w:i/>
        </w:rPr>
        <w:t>see also Jet Spray Cooler, Inc. v. Crampton</w:t>
      </w:r>
      <w:r>
        <w:t>, 361 Mass. 835, 840 (1972) (listing the factors considered). Unpublished clinical data, empirically tuned extraction parameters, and negotiated supplier pricing are not known outside Greenfield. They were developed at a cost of tens of millions of dollars over years of iteration, and they cannot be reverse-engineered from finished compounds or from Greenfield's patents. Greenfield Decl. ¶¶ 5–6; LVG Rpt. § 3.1. An independent firm has valued them at $85 million. LVG Rpt. § 4.4. Defendants say SFE is a "well-known technique." That misses the point. Greenfield claims no monopoly on SFE as a technique. It claims the specific, non-public parameter sets, formulations, and data that it developed. Public knowledge of a general method does not defeat protection for a particular, secret way of applying it.</w:t>
      </w:r>
    </w:p>
    <w:p>
      <w:pPr>
        <w:spacing w:line="480" w:lineRule="auto" w:after="0"/>
        <w:ind w:firstLine="720"/>
        <w:jc w:val="both"/>
      </w:pPr>
      <w:r>
        <w:t xml:space="preserve">Greenfield's protective measures are more than reasonable. </w:t>
      </w:r>
      <w:r>
        <w:rPr>
          <w:i/>
        </w:rPr>
        <w:t>See Incase Inc. v. Timex Corp.</w:t>
      </w:r>
      <w:r>
        <w:t>, 488 F.3d 46, 52–53 (1st Cir. 2007). They include need-to-know access limits (seven people could access the formulation database and four the full SFE repository), MFA, encryption, classification tags on every file, key-card physical security, signed confidentiality and acceptable-use agreements, and exit audits. It was an exit audit that uncovered this very exfiltration. Forensic Rpt. § 7; Greenfield Decl. ¶¶ 8–10. Dr. Vasquez contractually acknowledged that these measures were "reasonable and adequate." Agmt. § 8.4.</w:t>
      </w:r>
    </w:p>
    <w:p>
      <w:pPr>
        <w:keepNext/>
        <w:spacing w:before="120" w:after="120" w:line="240" w:lineRule="auto"/>
        <w:ind w:left="1440" w:firstLine="0"/>
      </w:pPr>
      <w:r>
        <w:rPr>
          <w:b/>
        </w:rPr>
        <w:t>2. Dr. Vasquez misappropriated the trade secrets.</w:t>
      </w:r>
    </w:p>
    <w:p>
      <w:pPr>
        <w:spacing w:line="480" w:lineRule="auto" w:after="0"/>
        <w:ind w:firstLine="720"/>
        <w:jc w:val="both"/>
      </w:pPr>
      <w:r>
        <w:t>"Misappropriation" includes acquiring a trade secret by "improper means," which includes "breach or inducement of a breach of a duty to maintain secrecy." It also includes using or disclosing a trade secret without consent by a person under such a duty. 18 U.S.C. § 1839(5)–(6); Mass. Gen. Laws ch. 93, § 42. Dr. Vasquez's authority to view files at work did not authorize her to copy them to a personal drive. Section 5.2 of her Agreement and the Acceptable Use Policy prohibited exactly that, and no authorization was sought or given. Forensic Rpt. § 4.1. Copying thousands of restricted files to a personal device, in breach of an express contractual prohibition, is acquisition by improper means.</w:t>
      </w:r>
    </w:p>
    <w:p>
      <w:pPr>
        <w:spacing w:line="480" w:lineRule="auto" w:after="0"/>
        <w:ind w:firstLine="720"/>
        <w:jc w:val="both"/>
      </w:pPr>
      <w:r>
        <w:t xml:space="preserve">The evidence also shows that the acquisition was deliberate and was aimed at a competitor. The copying was done after hours and on weekends. It began after she had started researching Canopy Ridge's careers and leadership pages. It covered complete directories that she did not need for work she was about to hand off. It ended on the evening she resigned. It was followed by an attempt to erase the evidence. Forensic Rpt. §§ 4.3, 6.1, 6.3, 9. Defendants' preview of their defense is that the transferred material consisted of "personal files" and her own published papers. That account cannot be squared with the forensic record, which traces the files to the server's GBS-4400\Formulations, ClinicalTrials\PhaseII, SFE_Processes, Procurement\Suppliers, and Strategy\Roadmap directories. </w:t>
      </w:r>
      <w:r>
        <w:rPr>
          <w:i/>
        </w:rPr>
        <w:t>Id.</w:t>
      </w:r>
      <w:r>
        <w:t xml:space="preserve"> § 5.2. Nor has Greenfield ever received the sworn certification of return or destruction that it demanded. Greenfield Decl. ¶ 19. The drive itself has never been produced.</w:t>
      </w:r>
    </w:p>
    <w:p>
      <w:pPr>
        <w:spacing w:line="480" w:lineRule="auto" w:after="0"/>
        <w:ind w:firstLine="720"/>
        <w:jc w:val="both"/>
      </w:pPr>
      <w:r>
        <w:t>Use and disclosure may be proven by circumstantial evidence, and the circumstances here are compelling. She had access to the secrets and took them in secret. Within weeks she became the top scientist of a nearby competitor. That competitor at once announced an "accelerated" Andean-derived, SFE-extracted anti-inflammatory, which it expects to be "first to market." It credited her expertise in "supercritical extraction processes and natural compound formulation," which are the very subjects of the files she took. Press Release; Greenfield Decl. ¶¶ 24–25. Dr. Vasquez's contractual duty of confidentiality is unconditional and has no end date. Agmt. § 8.2. She cannot perform her role as CSO for CRT-7100 without drawing on the GBS-4400 data that she took and that remains unaccounted for. The DTSA's limitation on basing injunctions "merely on the information the person knows," 18 U.S.C. § 1836(b)(3)(A)(i)(I), is not implicated. Greenfield's trade-secret relief rests on evidence of an actual taking, not on her memory. Greenfield's non-compete relief rests on contract, as discussed in Part II.B.</w:t>
      </w:r>
    </w:p>
    <w:p>
      <w:pPr>
        <w:keepNext/>
        <w:spacing w:before="120" w:after="120" w:line="240" w:lineRule="auto"/>
        <w:ind w:left="1440" w:firstLine="0"/>
      </w:pPr>
      <w:r>
        <w:rPr>
          <w:b/>
        </w:rPr>
        <w:t>3. Canopy Ridge is liable as well.</w:t>
      </w:r>
    </w:p>
    <w:p>
      <w:pPr>
        <w:spacing w:line="480" w:lineRule="auto" w:after="0"/>
        <w:ind w:firstLine="720"/>
        <w:jc w:val="both"/>
      </w:pPr>
      <w:r>
        <w:t>A person who uses a trade secret while knowing or having reason to know that it was derived from someone who owed a duty to keep it secret is liable for misappropriation. 18 U.S.C. § 1839(5)(B)(ii); Mass. Gen. Laws ch. 93, § 42. Canopy Ridge hired the head of research of its closest competitor in this field, within the restricted territory, to lead an Andean-SFE program that closely resembles hers. At a minimum, it had reason to know of her obligations. Since being served with the Verified Complaint on March 10, 2025, Canopy Ridge has had actual notice of the specific data taken. Any continued use is misappropriation under the statutes' "at the time of disclosure or use" standard. It is therefore properly bound by an injunction against use and disclosure, and in any event it is bound as a party acting in concert with Dr. Vasquez. Fed. R. Civ. P. 65(d)(2).</w:t>
      </w:r>
    </w:p>
    <w:p>
      <w:pPr>
        <w:keepNext/>
        <w:spacing w:before="120" w:after="120" w:line="240" w:lineRule="auto"/>
        <w:ind w:left="720" w:firstLine="0"/>
      </w:pPr>
      <w:r>
        <w:rPr>
          <w:b/>
        </w:rPr>
        <w:t>B. Greenfield Is Likely to Prevail on Its Contract Claims</w:t>
      </w:r>
    </w:p>
    <w:p>
      <w:pPr>
        <w:keepNext/>
        <w:spacing w:before="120" w:after="120" w:line="240" w:lineRule="auto"/>
        <w:ind w:left="1440" w:firstLine="0"/>
      </w:pPr>
      <w:r>
        <w:rPr>
          <w:b/>
        </w:rPr>
        <w:t>1. The non-competition covenant is enforceable under the Massachusetts Noncompetition Agreement Act.</w:t>
      </w:r>
    </w:p>
    <w:p>
      <w:pPr>
        <w:spacing w:line="480" w:lineRule="auto" w:after="0"/>
        <w:ind w:firstLine="720"/>
        <w:jc w:val="both"/>
      </w:pPr>
      <w:r>
        <w:t xml:space="preserve">Massachusetts enforces a non-compete that is necessary to protect a legitimate business interest, reasonably limited in time and space, supported by consideration, and consistent with the public interest. </w:t>
      </w:r>
      <w:r>
        <w:rPr>
          <w:i/>
        </w:rPr>
        <w:t>Boulanger v. Dunkin' Donuts Inc.</w:t>
      </w:r>
      <w:r>
        <w:t xml:space="preserve">, 442 Mass. 635, 639 (2004). Protecting trade secrets and confidential information is a core legitimate interest. </w:t>
      </w:r>
      <w:r>
        <w:rPr>
          <w:i/>
        </w:rPr>
        <w:t>Marine Contractors Co. v. Hurley</w:t>
      </w:r>
      <w:r>
        <w:t>, 365 Mass. 280, 287–88 (1974). Because the covenant was entered into after October 1, 2018, the Massachusetts Noncompetition Agreement Act ("MNAA"), Mass. Gen. Laws ch. 149, § 24L, also applies. Section 7.1 satisfies each of its requirements, as follows.</w:t>
      </w:r>
    </w:p>
    <w:p>
      <w:pPr>
        <w:spacing w:line="480" w:lineRule="auto" w:after="0"/>
        <w:ind w:firstLine="720"/>
        <w:jc w:val="both"/>
      </w:pPr>
      <w:r>
        <w:rPr>
          <w:i/>
        </w:rPr>
        <w:t>Writing, signature, and consideration.</w:t>
      </w:r>
      <w:r>
        <w:t xml:space="preserve"> The covenant is in a signed writing. It was reaffirmed in 2022 with an express acknowledgment of the opportunity to consult counsel and in exchange for independent consideration: a promotion, a $60,000 raise, and a higher bonus target. First Am. §§ 3, 6; </w:t>
      </w:r>
      <w:r>
        <w:rPr>
          <w:i/>
        </w:rPr>
        <w:t>see</w:t>
      </w:r>
      <w:r>
        <w:t xml:space="preserve"> § 24L(b)(i)–(ii). It also contains a garden-leave clause that pays 50% of her highest base salary during the restricted period, which is the consideration that § 24L(b)(vii) requires. Agmt. § 7.3; First Am. § 3. Defendants argue that the garden-leave amount is merely the "statutory minimum." But meeting the statute is all that is required. Defendants also argue that Dr. Vasquez was free to "reject" the consideration. The MNAA gives an employee no unilateral right to void a covenant by returning payments that her employer is obligated to make, and the Agreement expressly provides the opposite. Agmt. § 7.3. Greenfield has tendered payment and continues to stand ready to pay. Greenfield Decl. ¶¶ 20–21. Dr. Vasquez resigned voluntarily, so none of the MNAA's categorical exemptions applies. § 24L(c).</w:t>
      </w:r>
    </w:p>
    <w:p>
      <w:pPr>
        <w:spacing w:line="480" w:lineRule="auto" w:after="0"/>
        <w:ind w:firstLine="720"/>
        <w:jc w:val="both"/>
      </w:pPr>
      <w:r>
        <w:rPr>
          <w:i/>
        </w:rPr>
        <w:t>Duration.</w:t>
      </w:r>
      <w:r>
        <w:t xml:space="preserve"> The MNAA generally limits a restricted period to twelve months. It permits up to two years where "the employee has breached his or her fiduciary duty to the employer </w:t>
      </w:r>
      <w:r>
        <w:rPr>
          <w:i/>
        </w:rPr>
        <w:t>or</w:t>
      </w:r>
      <w:r>
        <w:t xml:space="preserve"> the employee has unlawfully taken, physically or electronically, property belonging to the employer." § 24L(b)(iv) (emphasis added). Defendants cite subsection (b)(vii) and address only the fiduciary-duty prong. That is the wrong subsection, and the two prongs are alternatives. The forensic proof that Dr. Vasquez electronically took 14,200 Company files in violation of § 5.2 satisfies the property prong on its own. The fiduciary prong is independently met. Dr. Vasquez was not, as Defendants put it, a "Vice President of Ethnobotanical Research" with only the ordinary duties of an employee. She was Greenfield's Vice President of Research, a member of its senior leadership team, and one of a handful of people entrusted with its crown jewels. She contractually acknowledged that she owed fiduciary duties of loyalty. Agmt. § 7.5; Greenfield Decl. ¶ 13. Even an at-will employee may not, while still employed, take the employer's confidential information to use for a competitor. </w:t>
      </w:r>
      <w:r>
        <w:rPr>
          <w:i/>
        </w:rPr>
        <w:t>Chelsea Indus., Inc. v. Gaffney</w:t>
      </w:r>
      <w:r>
        <w:t xml:space="preserve">, 389 Mass. 1, 10–12 (1983); </w:t>
      </w:r>
      <w:r>
        <w:rPr>
          <w:i/>
        </w:rPr>
        <w:t>see Augat, Inc. v. Aegis, Inc.</w:t>
      </w:r>
      <w:r>
        <w:t>, 409 Mass. 165, 172–73 (1991) (key employees owe heightened duties of loyalty). She copied secrets on Greenfield's time and equipment, while researching a competitor, and then concealed it. That is a textbook breach.</w:t>
      </w:r>
    </w:p>
    <w:p>
      <w:pPr>
        <w:spacing w:line="480" w:lineRule="auto" w:after="0"/>
        <w:ind w:firstLine="720"/>
        <w:jc w:val="both"/>
      </w:pPr>
      <w:r>
        <w:rPr>
          <w:i/>
        </w:rPr>
        <w:t>Geography and scope.</w:t>
      </w:r>
      <w:r>
        <w:t xml:space="preserve"> The 100-mile radius covers the region where Greenfield's research is conducted and where Dr. Vasquez exercised Company-wide responsibility over research, SFE processes, and global supplier relationships. </w:t>
      </w:r>
      <w:r>
        <w:rPr>
          <w:i/>
        </w:rPr>
        <w:t>See</w:t>
      </w:r>
      <w:r>
        <w:t xml:space="preserve"> § 24L(b)(v). In any event, Canopy Ridge is located less than a dozen miles from Greenfield's headquarters, so the outer reach of the radius is not in play here. The activity restriction is limited to the plant-derived pharmaceutical field in which she worked. </w:t>
      </w:r>
      <w:r>
        <w:rPr>
          <w:i/>
        </w:rPr>
        <w:t>See</w:t>
      </w:r>
      <w:r>
        <w:t xml:space="preserve"> § 24L(b)(vi). If the Court considers any part of the covenant broader than necessary, the MNAA and the Agreement both authorize the Court to "reform or otherwise revise" it and enforce it as modified, rather than strike it. § 24L(d); Agmt. § 7.4; </w:t>
      </w:r>
      <w:r>
        <w:rPr>
          <w:i/>
        </w:rPr>
        <w:t>see All Stainless, Inc. v. Colby</w:t>
      </w:r>
      <w:r>
        <w:t>, 364 Mass. 773, 778–80 (1974). At a minimum, the Court should bar her from research, development, or scientific-leadership services for Canopy Ridge, and for any other entity developing plant-derived anti-inflammatory compounds or SFE processes, within the restricted territory through January 17, 2027.</w:t>
      </w:r>
    </w:p>
    <w:p>
      <w:pPr>
        <w:spacing w:line="480" w:lineRule="auto" w:after="0"/>
        <w:ind w:firstLine="720"/>
        <w:jc w:val="both"/>
      </w:pPr>
      <w:r>
        <w:t xml:space="preserve">Defendants also argue that the confidentiality covenant makes the non-compete unnecessary. The facts refute that argument. A confidentiality clause alone did not stop Dr. Vasquez from taking 14,200 files. A covenant against competition is the only practical way to protect secrets that a former executive has shown herself willing to take. </w:t>
      </w:r>
      <w:r>
        <w:rPr>
          <w:i/>
        </w:rPr>
        <w:t>See Marine Contractors</w:t>
      </w:r>
      <w:r>
        <w:t>, 365 Mass. at 287–89.</w:t>
      </w:r>
    </w:p>
    <w:p>
      <w:pPr>
        <w:keepNext/>
        <w:spacing w:before="120" w:after="120" w:line="240" w:lineRule="auto"/>
        <w:ind w:left="1440" w:firstLine="0"/>
      </w:pPr>
      <w:r>
        <w:rPr>
          <w:b/>
        </w:rPr>
        <w:t>2. Dr. Vasquez breached the non-solicitation covenant.</w:t>
      </w:r>
    </w:p>
    <w:p>
      <w:pPr>
        <w:spacing w:line="480" w:lineRule="auto" w:after="0"/>
        <w:ind w:firstLine="720"/>
        <w:jc w:val="both"/>
      </w:pPr>
      <w:r>
        <w:t xml:space="preserve">Covenants not to solicit employees fall outside the MNAA. § 24L(a) (definition of "noncompetition agreement" excludes them). Such covenants are routinely enforced. </w:t>
      </w:r>
      <w:r>
        <w:rPr>
          <w:i/>
        </w:rPr>
        <w:t>See Corporate Techs., Inc. v. Harnett</w:t>
      </w:r>
      <w:r>
        <w:t>, 731 F.3d 6, 10–12 (1st Cir. 2013). Section 7.2 bars soliciting, or attempting to solicit, any Greenfield employee through January 17, 2027. One month into that period, Dr. Vasquez sent a personal-account email to her former direct report. The email offered a senior role at a pay increase of at least 40% and asked the recipient to keep the contact secret and away from "work channels." Chow Decl. ¶¶ 6–9 &amp; Ex. A. This is direct evidence of an attempted solicitation, and the request for secrecy shows she knew it was forbidden.</w:t>
      </w:r>
    </w:p>
    <w:p>
      <w:pPr>
        <w:keepNext/>
        <w:spacing w:before="120" w:after="120" w:line="240" w:lineRule="auto"/>
        <w:ind w:left="1440" w:firstLine="0"/>
      </w:pPr>
      <w:r>
        <w:rPr>
          <w:b/>
        </w:rPr>
        <w:t>3. Dr. Vasquez breached her confidentiality, data-security, and return-of-property covenants.</w:t>
      </w:r>
    </w:p>
    <w:p>
      <w:pPr>
        <w:spacing w:line="480" w:lineRule="auto" w:after="0"/>
        <w:ind w:firstLine="720"/>
        <w:jc w:val="both"/>
      </w:pPr>
      <w:r>
        <w:t>The same forensic record establishes breaches of Sections 5.2 (unauthorized transfers to a USB device and a personal email account), 5.3 (failure to return Company property), and 8.2 (use and disclosure of Confidential Information). Her refusal to return anything or certify its destruction after written demand is a continuing breach. Greenfield Decl. ¶ 19.</w:t>
      </w:r>
    </w:p>
    <w:p>
      <w:pPr>
        <w:keepNext/>
        <w:spacing w:before="120" w:after="120" w:line="240" w:lineRule="auto"/>
        <w:ind w:left="0" w:firstLine="0"/>
      </w:pPr>
      <w:r>
        <w:rPr>
          <w:b/>
        </w:rPr>
        <w:t>III. GREENFIELD WILL SUFFER IRREPARABLE HARM ABSENT AN INJUNCTION</w:t>
      </w:r>
    </w:p>
    <w:p>
      <w:pPr>
        <w:spacing w:line="480" w:lineRule="auto" w:after="0"/>
        <w:ind w:firstLine="720"/>
        <w:jc w:val="both"/>
      </w:pPr>
      <w:r>
        <w:t xml:space="preserve">Harm is irreparable when money damages cannot adequately compensate for it, including loss of goodwill, loss of competitive position, and harm that is difficult to quantify. </w:t>
      </w:r>
      <w:r>
        <w:rPr>
          <w:i/>
        </w:rPr>
        <w:t>Ross-Simons</w:t>
      </w:r>
      <w:r>
        <w:t xml:space="preserve">, 102 F.3d at 19–20; </w:t>
      </w:r>
      <w:r>
        <w:rPr>
          <w:i/>
        </w:rPr>
        <w:t>K-Mart Corp. v. Oriental Plaza, Inc.</w:t>
      </w:r>
      <w:r>
        <w:t>, 875 F.2d 907, 915 (1st Cir. 1989). Greenfield does not rely on any presumption. It relies on specific evidence of actual harm.</w:t>
      </w:r>
    </w:p>
    <w:p>
      <w:pPr>
        <w:spacing w:line="480" w:lineRule="auto" w:after="0"/>
        <w:ind w:firstLine="720"/>
        <w:jc w:val="both"/>
      </w:pPr>
      <w:r>
        <w:rPr>
          <w:i/>
        </w:rPr>
        <w:t>First,</w:t>
      </w:r>
      <w:r>
        <w:t xml:space="preserve"> the secrecy of the information cannot be restored once it is lost. The value of Greenfield's portfolio exists "assuming the continued secrecy" of the information. Once a competitor has absorbed the information, no payment can cause it to be "un-known." LVG Rpt. §§ 4.4, 5. Every day that CRT-7100 development continues under the direction of the person who took the GBS-4400 files increases that loss. Defendants have also refused to account for the drive or the forwarded emails.</w:t>
      </w:r>
    </w:p>
    <w:p>
      <w:pPr>
        <w:spacing w:line="480" w:lineRule="auto" w:after="0"/>
        <w:ind w:firstLine="720"/>
        <w:jc w:val="both"/>
      </w:pPr>
      <w:r>
        <w:rPr>
          <w:i/>
        </w:rPr>
        <w:t>Second,</w:t>
      </w:r>
      <w:r>
        <w:t xml:space="preserve"> the harm is imminent. Canopy Ridge has publicly announced a plan to move CRT-7100 "into preclinical studies within months" and to be "first to market." Press Release. Defendants contend that harm is remote because GBS-4400 approval is projected for 2027. That misunderstands the injury. The injury is the erosion of Greenfield's head start during development, when a competitor can use Greenfield's clinical and process data to skip years of work and reach parity at launch. LVG Rpt. § 5 ("Time Value of Competitive Intelligence").</w:t>
      </w:r>
    </w:p>
    <w:p>
      <w:pPr>
        <w:spacing w:line="480" w:lineRule="auto" w:after="0"/>
        <w:ind w:firstLine="720"/>
        <w:jc w:val="both"/>
      </w:pPr>
      <w:r>
        <w:rPr>
          <w:i/>
        </w:rPr>
        <w:t>Third,</w:t>
      </w:r>
      <w:r>
        <w:t xml:space="preserve"> the harm cannot be measured with any precision. Defendants argue that Greenfield's $95 million estimate shows that its losses are calculable. That misreads the evidence. The estimate is a sensitivity scenario that LVG calls a "conservative lower bound" of the most direct effect. It excludes the harm to investor confidence, Phase III financing, partnerships, pricing, talent retention, and Greenfield's other eleven programs, which LVG concludes is "inherently unquantifiable." LVG Rpt. §§ 4.1, 5; Greenfield Decl. ¶ 30. Separating use of Greenfield's data from genuine independent development would also be extremely difficult after the fact. LVG Rpt. § 5. For a 142-employee company whose value is concentrated in one compound, losses of this size threaten its existence. Greenfield Decl. ¶ 30. That threat is itself irreparable harm.</w:t>
      </w:r>
    </w:p>
    <w:p>
      <w:pPr>
        <w:spacing w:line="480" w:lineRule="auto" w:after="0"/>
        <w:ind w:firstLine="720"/>
        <w:jc w:val="both"/>
      </w:pPr>
      <w:r>
        <w:rPr>
          <w:i/>
        </w:rPr>
        <w:t>Fourth,</w:t>
      </w:r>
      <w:r>
        <w:t xml:space="preserve"> the solicitation threatens to strip Greenfield's small, specialized GBS-4400 team of the people who hold its know-how, in the middle of a Phase II trial. Chow Decl. ¶¶ 13–15. Dr. Vasquez also contractually acknowledged that a breach would cause irreparable harm. Agmt. §§ 7, 10.3. That acknowledgment is not dispositive, but it confirms what the record shows.</w:t>
      </w:r>
    </w:p>
    <w:p>
      <w:pPr>
        <w:keepNext/>
        <w:spacing w:before="120" w:after="120" w:line="240" w:lineRule="auto"/>
        <w:ind w:left="0" w:firstLine="0"/>
      </w:pPr>
      <w:r>
        <w:rPr>
          <w:b/>
        </w:rPr>
        <w:t>IV. THE BALANCE OF HARDSHIPS FAVORS GREENFIELD</w:t>
      </w:r>
    </w:p>
    <w:p>
      <w:pPr>
        <w:spacing w:line="480" w:lineRule="auto" w:after="0"/>
        <w:ind w:firstLine="720"/>
        <w:jc w:val="both"/>
      </w:pPr>
      <w:r>
        <w:t>On one side is the potential destruction of an $85 million trade secret portfolio and a head start built over nine years with $47.3 million of investment. On the other side is a temporary restriction that Dr. Vasquez accepted in exchange for a promotion and a raise. The hardship she describes is largely of her own making. Greenfield offered her $162,500 a year to observe the covenant, and she returned the first payment and chose to join a direct competitor within the restricted territory. Greenfield Decl. ¶¶ 20–21. The relief sought is limited. It restricts work only in her particular field and within a limited area. She remains free to work outside the territory or outside plant-derived pharmaceuticals, and she will receive garden-leave pay while doing so. The restrictions on using Greenfield's trade secrets and on soliciting its employees impose no legitimate hardship at all, because Defendants have no right to engage in either activity. Canopy Ridge's CRT-7100 program can proceed, provided it proceeds without Greenfield's information and without Dr. Vasquez. If, as Canopy Ridge insists, CRT-7100 was independently developed, an order barring use of Greenfield's data costs it nothing.</w:t>
      </w:r>
    </w:p>
    <w:p>
      <w:pPr>
        <w:keepNext/>
        <w:spacing w:before="120" w:after="120" w:line="240" w:lineRule="auto"/>
        <w:ind w:left="0" w:firstLine="0"/>
      </w:pPr>
      <w:r>
        <w:rPr>
          <w:b/>
        </w:rPr>
        <w:t>V. AN INJUNCTION SERVES THE PUBLIC INTEREST</w:t>
      </w:r>
    </w:p>
    <w:p>
      <w:pPr>
        <w:spacing w:line="480" w:lineRule="auto" w:after="0"/>
        <w:ind w:firstLine="720"/>
        <w:jc w:val="both"/>
      </w:pPr>
      <w:r>
        <w:t>The public interest favors enforcing freely negotiated contracts and protecting trade secrets, which encourage the investment in innovation that the DTSA and MUTSA were enacted to protect. The MNAA reflects the Legislature's judgment that covenants meeting its requirements, including garden-leave pay, should be enforced. Tailored relief will not delay any therapy from reaching patients. It requires only that competing therapies be built on the competitor's own work.</w:t>
      </w:r>
    </w:p>
    <w:p>
      <w:pPr>
        <w:keepNext/>
        <w:spacing w:before="120" w:after="120" w:line="240" w:lineRule="auto"/>
        <w:ind w:left="0" w:firstLine="0"/>
      </w:pPr>
      <w:r>
        <w:rPr>
          <w:b/>
        </w:rPr>
        <w:t>VI. A MODEST BOND IS APPROPRIATE</w:t>
      </w:r>
    </w:p>
    <w:p>
      <w:pPr>
        <w:spacing w:line="480" w:lineRule="auto" w:after="0"/>
        <w:ind w:firstLine="720"/>
        <w:jc w:val="both"/>
      </w:pPr>
      <w:r>
        <w:t xml:space="preserve">Rule 65(c) gives the Court broad discretion to set the amount of security. </w:t>
      </w:r>
      <w:r>
        <w:rPr>
          <w:i/>
        </w:rPr>
        <w:t>See Crowley v. Local No. 82, Furniture &amp; Piano Moving</w:t>
      </w:r>
      <w:r>
        <w:t xml:space="preserve">, 679 F.2d 978, 1000 (1st Cir. 1982), </w:t>
      </w:r>
      <w:r>
        <w:rPr>
          <w:i/>
        </w:rPr>
        <w:t>rev'd on other grounds</w:t>
      </w:r>
      <w:r>
        <w:t>, 467 U.S. 526 (1984). Dr. Vasquez agreed that relief could issue without a bond. Agmt. § 10.3. Her principal economic exposure is also already covered by the garden-leave payments, which Greenfield will continue to tender and, if the Court prefers, deposit into escrow. Agmt. § 7.3. Greenfield is prepared to post whatever bond the Court deems appropriate and respectfully suggests that a modest amount is sufficient. Greenfield Decl. ¶ 33.</w:t>
      </w:r>
    </w:p>
    <w:p>
      <w:pPr>
        <w:keepNext/>
        <w:spacing w:before="120" w:after="120" w:line="240" w:lineRule="auto"/>
        <w:jc w:val="center"/>
      </w:pPr>
      <w:r>
        <w:rPr>
          <w:b/>
          <w:u w:val="single"/>
        </w:rPr>
        <w:t>CONCLUSION AND RELIEF REQUESTED</w:t>
      </w:r>
    </w:p>
    <w:p>
      <w:pPr>
        <w:spacing w:line="480" w:lineRule="auto" w:after="0"/>
        <w:ind w:firstLine="720"/>
        <w:jc w:val="both"/>
      </w:pPr>
      <w:r>
        <w:t>For these reasons, Greenfield respectfully requests that the Court enter a preliminary injunction providing that, pending final judgment:</w:t>
      </w:r>
    </w:p>
    <w:p>
      <w:pPr>
        <w:spacing w:line="240" w:lineRule="auto" w:after="160"/>
        <w:ind w:left="1440" w:hanging="432"/>
        <w:jc w:val="both"/>
      </w:pPr>
      <w:r>
        <w:t>1. Defendants, and all persons acting in concert with them, shall not access, use, disclose, or rely on any Greenfield trade secret or Confidential Information (as defined in Agmt. § 8.1), including the GBS-4400 formulation database, Phase II clinical data, SFE parameter sets, supplier list and pricing, and R&amp;D roadmap. This includes any use in connection with CRT-7100.</w:t>
      </w:r>
    </w:p>
    <w:p>
      <w:pPr>
        <w:spacing w:line="240" w:lineRule="auto" w:after="160"/>
        <w:ind w:left="1440" w:hanging="432"/>
        <w:jc w:val="both"/>
      </w:pPr>
      <w:r>
        <w:t>2. Within three business days, Dr. Vasquez shall deliver to a neutral forensic examiner the SanDisk Extreme Pro Portable SSD (S/N 3HFGT7291XZ), and Defendants shall deliver all other devices, media, and accounts containing Greenfield data. This includes the personal email accounts used for the November 28, 2024 forwards and the February 20, 2025 solicitation. The examiner shall image, sequester, and remediate those materials under a protocol to be set by the Court, at Defendants' expense. Within seven days, Defendants shall identify under oath every person to whom any Greenfield information was disclosed.</w:t>
      </w:r>
    </w:p>
    <w:p>
      <w:pPr>
        <w:spacing w:line="240" w:lineRule="auto" w:after="160"/>
        <w:ind w:left="1440" w:hanging="432"/>
        <w:jc w:val="both"/>
      </w:pPr>
      <w:r>
        <w:t>3. Dr. Vasquez shall not be employed by, or provide services to, Canopy Ridge or any other entity engaged in the research, development, or commercialization of plant-derived pharmaceutical compounds within 100 miles of 440 Innovation Drive, Cambridge, Massachusetts, through January 17, 2027, or on such narrower terms as the Court finds reasonable under Mass. Gen. Laws ch. 149, § 24L(d). Greenfield shall continue to tender garden-leave payments under Agmt. § 7.3 during that period.</w:t>
      </w:r>
    </w:p>
    <w:p>
      <w:pPr>
        <w:spacing w:line="240" w:lineRule="auto" w:after="160"/>
        <w:ind w:left="1440" w:hanging="432"/>
        <w:jc w:val="both"/>
      </w:pPr>
      <w:r>
        <w:t>4. Dr. Vasquez shall not, directly or indirectly, solicit, recruit, or hire, or attempt to do so, any current Greenfield employee, contractor, or consultant (or any person who held such a position within six months before her separation) through January 17, 2027.</w:t>
      </w:r>
    </w:p>
    <w:p>
      <w:pPr>
        <w:spacing w:line="240" w:lineRule="auto" w:after="160"/>
        <w:ind w:left="1440" w:hanging="432"/>
        <w:jc w:val="both"/>
      </w:pPr>
      <w:r>
        <w:t>5. Defendants shall preserve all documents, data, and devices relevant to this action.</w:t>
      </w:r>
    </w:p>
    <w:p>
      <w:pPr>
        <w:spacing w:line="240" w:lineRule="auto" w:after="160"/>
        <w:ind w:left="1440" w:hanging="432"/>
        <w:jc w:val="both"/>
      </w:pPr>
      <w:r>
        <w:t>6. The Court shall grant such further relief as it deems just.</w:t>
      </w:r>
    </w:p>
    <w:p>
      <w:pPr>
        <w:spacing w:line="240" w:lineRule="auto" w:after="0"/>
      </w:pPr>
    </w:p>
    <w:p>
      <w:pPr>
        <w:spacing w:line="240" w:lineRule="auto" w:after="0"/>
      </w:pPr>
      <w:r>
        <w:t>Dated: March __, 2025</w:t>
      </w:r>
    </w:p>
    <w:p>
      <w:pPr>
        <w:spacing w:line="240" w:lineRule="auto" w:after="0"/>
      </w:pPr>
      <w:r>
        <w:t>Respectfully submitted,</w:t>
      </w:r>
    </w:p>
    <w:p>
      <w:pPr>
        <w:spacing w:line="240" w:lineRule="auto" w:after="0"/>
      </w:pPr>
      <w:r>
        <w:t>GREENFIELD BOTANICAL SCIENCES, INC.,</w:t>
      </w:r>
    </w:p>
    <w:p>
      <w:pPr>
        <w:spacing w:line="240" w:lineRule="auto" w:after="0"/>
      </w:pPr>
      <w:r>
        <w:t>By its attorneys,</w:t>
      </w:r>
    </w:p>
    <w:p>
      <w:pPr>
        <w:spacing w:line="240" w:lineRule="auto" w:after="0"/>
      </w:pPr>
    </w:p>
    <w:p>
      <w:pPr>
        <w:spacing w:line="240" w:lineRule="auto" w:after="0"/>
      </w:pPr>
      <w:r>
        <w:t>/s/ ____________________</w:t>
      </w:r>
    </w:p>
    <w:p>
      <w:pPr>
        <w:spacing w:line="240" w:lineRule="auto" w:after="0"/>
      </w:pPr>
      <w:r>
        <w:t>Robert K. Ashford (BBO No. 654321)</w:t>
      </w:r>
    </w:p>
    <w:p>
      <w:pPr>
        <w:spacing w:line="240" w:lineRule="auto" w:after="0"/>
      </w:pPr>
      <w:r>
        <w:t>ASHFORD &amp; WHITMORE LLP</w:t>
      </w:r>
    </w:p>
    <w:p>
      <w:pPr>
        <w:spacing w:line="240" w:lineRule="auto" w:after="0"/>
      </w:pPr>
      <w:r>
        <w:t>200 State Street, 30th Floor</w:t>
      </w:r>
    </w:p>
    <w:p>
      <w:pPr>
        <w:spacing w:line="240" w:lineRule="auto" w:after="0"/>
      </w:pPr>
      <w:r>
        <w:t>Boston, MA 02109</w:t>
      </w:r>
    </w:p>
    <w:p>
      <w:pPr>
        <w:spacing w:line="240" w:lineRule="auto" w:after="0"/>
      </w:pPr>
      <w:r>
        <w:t>Tel.: (617) 555-0100</w:t>
      </w:r>
    </w:p>
    <w:p>
      <w:pPr>
        <w:spacing w:line="240" w:lineRule="auto" w:after="0"/>
      </w:pPr>
      <w:r>
        <w:t>rashford@ashfordwhitmore.com</w:t>
      </w:r>
    </w:p>
    <w:p>
      <w:pPr>
        <w:spacing w:line="240" w:lineRule="auto" w:after="0"/>
      </w:pPr>
    </w:p>
    <w:p>
      <w:pPr>
        <w:spacing w:line="240" w:lineRule="auto" w:after="120"/>
        <w:jc w:val="center"/>
      </w:pPr>
      <w:r>
        <w:rPr>
          <w:b/>
        </w:rPr>
        <w:t>LOCAL RULE 7.1(a)(2) CERTIFICATION</w:t>
      </w:r>
    </w:p>
    <w:p>
      <w:pPr>
        <w:spacing w:line="480" w:lineRule="auto" w:after="0"/>
        <w:ind w:firstLine="720"/>
        <w:jc w:val="both"/>
      </w:pPr>
      <w:r>
        <w:t>I certify that counsel for Plaintiff conferred with counsel for Defendants, Patricia Nolan, Esq. of Hillcrest Keene LLP, in a good-faith attempt to resolve or narrow the issues presented by this motion, and that the parties were unable to do so. [Confirm date and manner of conference.]</w:t>
      </w:r>
    </w:p>
    <w:p>
      <w:pPr>
        <w:spacing w:line="240" w:lineRule="auto" w:after="0"/>
      </w:pPr>
      <w:r>
        <w:t>/s/ ____________________</w:t>
      </w:r>
    </w:p>
    <w:p>
      <w:pPr>
        <w:spacing w:line="240" w:lineRule="auto" w:after="0"/>
      </w:pPr>
      <w:r>
        <w:t>Robert K. Ashford</w:t>
      </w:r>
    </w:p>
    <w:p>
      <w:pPr>
        <w:spacing w:line="240" w:lineRule="auto" w:after="120"/>
        <w:jc w:val="center"/>
      </w:pPr>
      <w:r>
        <w:rPr>
          <w:b/>
        </w:rPr>
        <w:t>CERTIFICATE OF SERVICE</w:t>
      </w:r>
    </w:p>
    <w:p>
      <w:pPr>
        <w:spacing w:line="480" w:lineRule="auto" w:after="0"/>
        <w:ind w:firstLine="720"/>
        <w:jc w:val="both"/>
      </w:pPr>
      <w:r>
        <w:t>I certify that this document, filed through the ECF system, will be sent electronically to the registered participants as identified on the Notice of Electronic Filing, and that paper copies will be sent to any non-registered participants on March __, 2025.</w:t>
      </w:r>
    </w:p>
    <w:p>
      <w:pPr>
        <w:spacing w:line="240" w:lineRule="auto" w:after="0"/>
      </w:pPr>
      <w:r>
        <w:t>/s/ ____________________</w:t>
      </w:r>
    </w:p>
    <w:p>
      <w:pPr>
        <w:spacing w:line="240" w:lineRule="auto" w:after="0"/>
      </w:pPr>
      <w:r>
        <w:t>Robert K. Ashford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