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jc w:val="center"/>
      </w:pPr>
      <w:r>
        <w:rPr>
          <w:rFonts w:ascii="Times New Roman" w:hAnsi="Times New Roman"/>
          <w:b/>
          <w:sz w:val="24"/>
        </w:rPr>
        <w:t>UNITED STATES DISTRICT COURT</w:t>
        <w:br/>
        <w:t>FOR THE WESTERN DISTRICT OF PENNSYLVANIA</w:t>
      </w:r>
    </w:p>
    <w:tbl>
      <w:tblPr>
        <w:tblW w:type="auto" w:w="0"/>
        <w:jc w:val="center"/>
        <w:tblLayout w:type="fixed"/>
        <w:tblLook w:firstColumn="1" w:firstRow="1" w:lastColumn="0" w:lastRow="0" w:noHBand="0" w:noVBand="1" w:val="04A0"/>
      </w:tblPr>
      <w:tblGrid>
        <w:gridCol w:w="5544"/>
        <w:gridCol w:w="3960"/>
      </w:tblGrid>
      <w:tr>
        <w:tc>
          <w:tcPr>
            <w:tcW w:type="dxa" w:w="5544"/>
            <w:vAlign w:val="center"/>
            <w:tcBorders>
              <w:top w:val="single" w:sz="8" w:color="000000"/>
              <w:left w:val="single" w:sz="8" w:color="000000"/>
              <w:bottom w:val="single" w:sz="8" w:color="000000"/>
              <w:right w:val="single" w:sz="8" w:color="000000"/>
            </w:tcBorders>
          </w:tcPr>
          <w:p>
            <w:pPr>
              <w:spacing w:line="240" w:lineRule="auto" w:after="0"/>
            </w:pPr>
            <w:r>
              <w:rPr>
                <w:b/>
              </w:rPr>
              <w:t>RIDGELINE MANUFACTURING CORP.,</w:t>
            </w:r>
          </w:p>
          <w:p>
            <w:pPr>
              <w:spacing w:line="240" w:lineRule="auto" w:after="0"/>
            </w:pPr>
            <w:r>
              <w:rPr>
                <w:rFonts w:ascii="Times New Roman" w:hAnsi="Times New Roman"/>
                <w:b w:val="0"/>
                <w:sz w:val="22"/>
              </w:rPr>
              <w:t>Plaintiff,</w:t>
            </w:r>
          </w:p>
          <w:p>
            <w:pPr>
              <w:spacing w:line="240" w:lineRule="auto" w:after="0"/>
            </w:pPr>
            <w:r>
              <w:rPr>
                <w:rFonts w:ascii="Times New Roman" w:hAnsi="Times New Roman"/>
                <w:b w:val="0"/>
                <w:sz w:val="22"/>
              </w:rPr>
              <w:t>v.</w:t>
            </w:r>
          </w:p>
          <w:p>
            <w:pPr>
              <w:spacing w:line="240" w:lineRule="auto" w:after="0"/>
            </w:pPr>
            <w:r>
              <w:rPr>
                <w:rFonts w:ascii="Times New Roman" w:hAnsi="Times New Roman"/>
                <w:b/>
                <w:sz w:val="22"/>
              </w:rPr>
              <w:t>APEX DIGITAL SOLUTIONS, INC.,</w:t>
            </w:r>
          </w:p>
          <w:p>
            <w:pPr>
              <w:spacing w:line="240" w:lineRule="auto" w:after="0"/>
            </w:pPr>
            <w:r>
              <w:rPr>
                <w:rFonts w:ascii="Times New Roman" w:hAnsi="Times New Roman"/>
                <w:b w:val="0"/>
                <w:sz w:val="22"/>
              </w:rPr>
              <w:t>Defendant.</w:t>
            </w:r>
          </w:p>
        </w:tc>
        <w:tc>
          <w:tcPr>
            <w:tcW w:type="dxa" w:w="3960"/>
            <w:vAlign w:val="center"/>
            <w:tcBorders>
              <w:top w:val="single" w:sz="8" w:color="000000"/>
              <w:left w:val="single" w:sz="8" w:color="000000"/>
              <w:bottom w:val="single" w:sz="8" w:color="000000"/>
              <w:right w:val="single" w:sz="8" w:color="000000"/>
            </w:tcBorders>
          </w:tcPr>
          <w:p>
            <w:pPr>
              <w:spacing w:line="240" w:lineRule="auto"/>
            </w:pPr>
            <w:r>
              <w:rPr>
                <w:rFonts w:ascii="Times New Roman" w:hAnsi="Times New Roman"/>
                <w:sz w:val="22"/>
              </w:rPr>
              <w:t>Case No. 2:23-cv-01487-NMR</w:t>
              <w:br/>
            </w:r>
            <w:r>
              <w:rPr>
                <w:rFonts w:ascii="Times New Roman" w:hAnsi="Times New Roman"/>
                <w:sz w:val="22"/>
              </w:rPr>
              <w:t>Hon. Natalie M. Riegert</w:t>
              <w:br/>
            </w:r>
          </w:p>
        </w:tc>
      </w:tr>
    </w:tbl>
    <w:p>
      <w:pPr>
        <w:spacing w:after="0" w:line="240" w:lineRule="auto"/>
      </w:pPr>
    </w:p>
    <w:p>
      <w:pPr>
        <w:pStyle w:val="Title"/>
      </w:pPr>
      <w:r>
        <w:t>PLAINTIFF RIDGELINE MANUFACTURING CORP.’S MOTION FOR SUMMARY JUDGMENT (PARTIAL) ON LIABILITY AND APEX’S UNPAID-MILESTONE CLAIM</w:t>
      </w:r>
    </w:p>
    <w:p>
      <w:pPr>
        <w:widowControl/>
        <w:spacing w:line="480" w:lineRule="auto" w:after="0"/>
        <w:ind w:firstLine="648"/>
      </w:pPr>
      <w:r>
        <w:t>Plaintiff Ridgeline Manufacturing Corp. (“Ridgeline”), by counsel, moves under Federal Rule of Civil Procedure 56 for partial summary judgment against Defendant Apex Digital Solutions, Inc. (“Apex”). Ridgeline seeks judgment that Apex is liable for material breach of the Master Services Agreement (“MSA”) and for fraudulent misrepresentation in inducing Ridgeline to enter the MSA, and that Apex is not entitled to the $1,567,500 in Phase 2, UAT, and Go-Live milestone fees it claims without satisfying the MSA’s express conditions precedent. The amount of damages, the application of the aggregate liability cap, and any damages-causation issues requiring factfinding may be reserved for later proceedings.</w:t>
      </w:r>
    </w:p>
    <w:p>
      <w:pPr>
        <w:widowControl/>
        <w:spacing w:line="480" w:lineRule="auto" w:after="0"/>
        <w:ind w:firstLine="648"/>
      </w:pPr>
      <w:r>
        <w:t>In the alternative, if the Court concludes that a particular element of the fraud claim or a damages issue cannot be resolved on this record, Ridgeline requests an order under Rule 56(g) specifying the material facts that are not genuinely disputed, including the falsity of the specific capability representations, Apex’s failure to deliver the contracted milestones, and the absence of required milestone sign-offs.</w:t>
      </w:r>
    </w:p>
    <w:p>
      <w:pPr>
        <w:widowControl/>
        <w:spacing w:line="480" w:lineRule="auto" w:after="0"/>
        <w:ind w:firstLine="648"/>
      </w:pPr>
      <w:r>
        <w:t>The accompanying concise statement of undisputed material facts is submitted pursuant to Rule 56 and the summary-judgment statement procedure applicable in this District. The motion is supported by the MSA, the contemporaneous proposal and capability materials, deposition testimony, project correspondence, the breach and termination notices, and the expert reports identified below.</w:t>
      </w:r>
    </w:p>
    <w:p>
      <w:pPr>
        <w:pStyle w:val="Heading1"/>
        <w:keepNext/>
      </w:pPr>
      <w:r>
        <w:t>I. INTRODUCTION</w:t>
      </w:r>
    </w:p>
    <w:p>
      <w:pPr>
        <w:widowControl/>
        <w:spacing w:line="480" w:lineRule="auto" w:after="0"/>
        <w:ind w:firstLine="648"/>
      </w:pPr>
      <w:r>
        <w:t>This case concerns a fixed-fee ERP implementation Apex sold as a proven fit for Ridgeline’s manufacturing, Teamcenter-integration, and aerospace-compliance needs. Apex’s proposal said it had “deep experience” integrating Stratos ERP with Siemens Teamcenter and had completed that integration for multiple manufacturing clients. Its later capability deck named two purported completed projects and stated that six certified AS9100D implementation specialists were on staff. Apex’s own witnesses admit that neither named client received a Teamcenter integration, Apex had never performed one before Ridgeline, and Apex had only one AS9100D-certified employee—not six.</w:t>
      </w:r>
    </w:p>
    <w:p>
      <w:pPr>
        <w:widowControl/>
        <w:spacing w:line="480" w:lineRule="auto" w:after="0"/>
        <w:ind w:firstLine="648"/>
      </w:pPr>
      <w:r>
        <w:t>Those were not vague predictions about future success. They were concrete, material statements about Apex’s existing experience, completed work, and staffing. Ridgeline’s project lead testified that he asked about Teamcenter references, received the named-client assurance, and relied on it because Ridgeline lacked the technical expertise to independently evaluate Teamcenter APIs. Apex’s project manager had flagged internally before contracting that the company had no Teamcenter experience; its CEO acknowledged the six-specialist statement was “aspirational.”</w:t>
      </w:r>
    </w:p>
    <w:p>
      <w:pPr>
        <w:widowControl/>
        <w:spacing w:line="480" w:lineRule="auto" w:after="0"/>
        <w:ind w:firstLine="648"/>
      </w:pPr>
      <w:r>
        <w:t>The performance record independently establishes breach. The MSA fixed firm milestone dates, made time of the essence, and required full Teamcenter and AS9100D deliverables. Phase 1 was signed off eleven weeks late under an express reservation of rights; Phase 2 was never completed; the Teamcenter integration never passed integration testing; seven of twelve critical AS9100D traceability requirements remained nonfunctional; and the March 31, 2023 Go-Live never occurred. When Ridgeline gave the contractually required 30-day notice, Apex did not cure. It conditioned remediation on more time, a revised scope, and $1.2 million in additional fees. The Court should enter judgment on liability while reserving the disputed damages amount and any remaining damages questions.</w:t>
      </w:r>
    </w:p>
    <w:p>
      <w:pPr>
        <w:pStyle w:val="Heading1"/>
        <w:keepNext/>
      </w:pPr>
      <w:r>
        <w:t>II. UNDISPUTED RECORD</w:t>
      </w:r>
    </w:p>
    <w:p>
      <w:pPr>
        <w:widowControl/>
        <w:spacing w:line="480" w:lineRule="auto" w:after="0"/>
        <w:ind w:firstLine="648"/>
      </w:pPr>
      <w:r>
        <w:t>The MSA required Apex to implement the Stratos Platform across three facilities, including a bidirectional Teamcenter integration and an operational AS9100D compliance module. MSA §§ 2.1, 2.2(c)–(d), 3.2–3.4 &amp; Ex. A. Its target dates—July 15, 2022 for Phase 1, November 30, 2022 for Phase 2, and March 31, 2023 for Go-Live—were firm commitments, and time was expressly of the essence. Id. §§ 3.2–3.5. The MSA also warranted that Apex had the required expertise and qualified personnel and that its services would conform to the specifications and accepted industry standards. Id. § 5.1(a), (b), (e).</w:t>
      </w:r>
    </w:p>
    <w:p>
      <w:pPr>
        <w:widowControl/>
        <w:spacing w:line="480" w:lineRule="auto" w:after="0"/>
        <w:ind w:firstLine="648"/>
      </w:pPr>
      <w:r>
        <w:t>Apex’s January 2022 proposal and February 2022 capability deck represented completed Teamcenter integrations and a six-person certified AS9100D team. Apex’s sales vice president testified that she prepared the proposal, personally sent the deck, and identified Corridor Metals and PrimeTech as Teamcenter-experienced clients. Bellingham Dep. 8:9–14, 9:1–18. But both Bellingham and project manager Ryan Ostroff acknowledged that Apex had never performed a Teamcenter integration for either client—or any client—before Ridgeline. Id. 19:1–21:20; Ostroff Dep. 23:14–25:21. CEO Jordan Kresch testified that Apex had one AS9100D-certified employee when the deck was sent, and described the six-specialist statement as aspirational. Kresch Dep. 15:1–17:17.</w:t>
      </w:r>
    </w:p>
    <w:p>
      <w:pPr>
        <w:widowControl/>
        <w:spacing w:line="480" w:lineRule="auto" w:after="0"/>
        <w:ind w:firstLine="648"/>
      </w:pPr>
      <w:r>
        <w:t>The project failed on the very workstreams Apex touted. Ostroff acknowledged that the Phase 1 delay was caused by the Teamcenter design, that Ridgeline’s requests were standard, and that Ridgeline’s team was responsive. Ostroff Dep. 58:1–60:10. Apex then requested $680,000 and a five-month extension to re-architect Teamcenter; Ridgeline rejected that request because Teamcenter was already in the contracted scope. Email Compilation, Communications 4–5 (Bates APEX-00007493; RMC-00010447). As of May 1, 2023, Phase 2 remained incomplete and the integration had not passed testing; seven of twelve critical AS9100D traceability requirements also remained unmet. Id., Communication 7 (Bates RMC-00012876); Flores Memo (Apr. 18, 2023).</w:t>
      </w:r>
    </w:p>
    <w:p>
      <w:pPr>
        <w:widowControl/>
        <w:spacing w:line="480" w:lineRule="auto" w:after="0"/>
        <w:ind w:firstLine="648"/>
      </w:pPr>
      <w:r>
        <w:t>Ridgeline paid $1,282,500, but the MSA conditioned later milestone payments on completion and written sign-off. MSA §§ 4.2–4.4. Ridgeline’s October 3, 2022 Phase 1 payment expressly reserved its rights and stated the payment was made to keep the project moving, not because the deficient Teamcenter design had been accepted. Email Compilation, Communication 3 (Bates RMC-00008231); Szymanski Dep. 27:1–29:3. After termination, Ridgeline retained Caravel for $3.1 million and Whitlock for $475,000; replacement go-live occurred April 15, 2024. Szymanski Dep. 54:1–55:16.</w:t>
      </w:r>
    </w:p>
    <w:p>
      <w:pPr>
        <w:pStyle w:val="Heading1"/>
        <w:keepNext/>
      </w:pPr>
      <w:r>
        <w:t>III. SUMMARY-JUDGMENT STANDARD</w:t>
      </w:r>
    </w:p>
    <w:p>
      <w:pPr>
        <w:widowControl/>
        <w:spacing w:line="480" w:lineRule="auto" w:after="0"/>
        <w:ind w:firstLine="648"/>
      </w:pPr>
      <w:r>
        <w:t>Summary judgment is appropriate where “there is no genuine dispute as to any material fact and the movant is entitled to judgment as a matter of law.” Fed. R. Civ. P. 56(a). A fact is material if it could affect the outcome under governing law, and a dispute is genuine only if a reasonable factfinder could return a verdict for the nonmovant. Anderson v. Liberty Lobby, Inc., 477 U.S. 242, 248 (1986). The Court views the evidence and draws reasonable inferences in Apex’s favor, but Apex must identify evidence—not speculation—creating a genuine dispute. Celotex Corp. v. Catrett, 477 U.S. 317, 322–24 (1986); Matsushita Elec. Indus. Co. v. Zenith Radio Corp., 475 U.S. 574, 586–87 (1986). Rule 56(g) separately authorizes the Court to treat established facts as undisputed even if it does not grant all requested relief.</w:t>
      </w:r>
    </w:p>
    <w:p>
      <w:pPr>
        <w:pStyle w:val="Heading1"/>
        <w:keepNext/>
      </w:pPr>
      <w:r>
        <w:t>IV. ARGUMENT</w:t>
      </w:r>
    </w:p>
    <w:p>
      <w:pPr>
        <w:pStyle w:val="Heading2"/>
        <w:keepNext/>
      </w:pPr>
      <w:r>
        <w:t>A. The undisputed record establishes Apex’s material breach of the MSA.</w:t>
      </w:r>
    </w:p>
    <w:p>
      <w:pPr>
        <w:widowControl/>
        <w:spacing w:line="480" w:lineRule="auto" w:after="0"/>
        <w:ind w:firstLine="648"/>
      </w:pPr>
      <w:r>
        <w:t>Under Pennsylvania law, a breach-of-contract claim requires a contract, a breach of a contractual duty, and resulting damages. Meyer, Darragh, Buckler, Bebenek &amp; Eck, P.L.L.C. v. Law Firm of Malone Middleman, P.C., 137 A.3d 1247, 1258 (Pa. 2016). The MSA is valid and unambiguous as to the duties material here. Apex promised a full, three-facility implementation, including the Teamcenter and AS9100D deliverables; it warranted conforming, professional services and qualified staff; and it accepted firm dates with time of the essence. MSA §§ 2.1–2.3, 3.2–3.5, 5.1(a)–(b), (e), Ex. A.</w:t>
      </w:r>
    </w:p>
    <w:p>
      <w:pPr>
        <w:widowControl/>
        <w:spacing w:line="480" w:lineRule="auto" w:after="0"/>
        <w:ind w:firstLine="648"/>
      </w:pPr>
      <w:r>
        <w:t>Apex breached those express duties in multiple material respects. Phase 1 was not signed off until October 3—approximately eleven weeks after its July 15 deadline—and the critical Teamcenter design remained incomplete. Apex’s own project manager identified Teamcenter as the primary cause and testified that the requirements were standard and Ridgeline was responsive. Ostroff Dep. 58:1–60:10; Szymanski Dep. 27:1–29:3. Phase 2, due November 30, 2022, was never completed; the required Teamcenter integration never passed integration testing; and the AS9100D configuration left seven of twelve critical requirements unmet. MSA § 3.3 &amp; Ex. A; Email Compilation, Communication 7; Flores Memo (Apr. 18, 2023). Apex never achieved Go-Live by March 31, 2023, and the replacement system did not go live until April 15, 2024. MSA § 3.4; Szymanski Dep. 54:1–55:12.</w:t>
      </w:r>
    </w:p>
    <w:p>
      <w:pPr>
        <w:widowControl/>
        <w:spacing w:line="480" w:lineRule="auto" w:after="0"/>
        <w:ind w:firstLine="648"/>
      </w:pPr>
      <w:r>
        <w:t>These failures go to the essence of the bargain, not a minor defect. The purpose of the MSA was a functioning enterprise ERP replacing the legacy platform, with automated Teamcenter engineering/manufacturing data exchange and AS9100D traceability. MSA Recitals, §§ 2.1, 2.2(c)–(d). The express milestone schedule, written acceptance requirements, and “time is of the essence” clause confirm their materiality. Id. §§ 3.2–3.5, 4.4. Ridgeline’s technical expert, Marcus Tran, concluded that Apex’s Teamcenter architecture was technically unsound from inception, its AS9100D configuration reflected fundamental unfamiliarity with the standard, and its performance fell below generally accepted industry standards. Tran Report (Jan. 15, 2025), technical analysis; MSA § 5.1(a)–(b). Apex’s expert did not offer a contrary opinion on the contractual professional-workmanship standard or rebut Tran’s specific technical findings. Anand Report (Feb. 28, 2025), scope and damages opinions; Tran Report (Jan. 15, 2025), technical and standard-of-care opinions. The Court need not resolve damages to determine breach liability.</w:t>
      </w:r>
    </w:p>
    <w:p>
      <w:pPr>
        <w:widowControl/>
        <w:spacing w:line="480" w:lineRule="auto" w:after="0"/>
        <w:ind w:firstLine="648"/>
      </w:pPr>
      <w:r>
        <w:t>Apex cannot turn its own inability to perform a core deliverable into a paid change order. Sections 6.1–6.3 require a mutually executed written change order and provide that, absent agreement, Apex must continue the original scope. The Teamcenter integration was expressly included in the original scope; Apex’s December 19 request for $680,000 and five more months proposed re-architecture of that same deliverable, not a new Ridgeline requirement. MSA §§ 2.2(c), 6.1–6.3, Ex. A; Kresch Dep. 49:1–50:17; Email Compilation, Communications 4–5. Ridgeline rejected it on January 9, 2023. Id., Communication 5.</w:t>
      </w:r>
    </w:p>
    <w:p>
      <w:pPr>
        <w:widowControl/>
        <w:spacing w:line="480" w:lineRule="auto" w:after="0"/>
        <w:ind w:firstLine="648"/>
      </w:pPr>
      <w:r>
        <w:t>Nor does Apex’s assertion that Ridgeline caused delay defeat summary judgment on the independent, material failures. Section 3.6 permits a milestone extension only for a delay caused solely and directly by Ridgeline, after Apex gives timely written notice specifying the cause, schedule impact, expected duration, and mitigation plan. The contemporaneous project manager testified that Ridgeline was responsive, the delays were on Apex’s side, and Teamcenter was the problem. Ostroff Dep. 58:1–60:10. Even accepting Apex’s asserted client-side delays arguendo, they do not explain its admitted lack of Teamcenter experience, defective system design, uncompleted Phase 2, unremedied AS9100D deficiencies, and failure to achieve Go-Live. Apex’s May 15 response also identified no actual technical cure; it conditioned remediation on a materially revised scope and additional fees. Email Compilation, Communication 8 (Bates APEX-00011234).</w:t>
      </w:r>
    </w:p>
    <w:p>
      <w:pPr>
        <w:widowControl/>
        <w:spacing w:line="480" w:lineRule="auto" w:after="0"/>
        <w:ind w:firstLine="648"/>
      </w:pPr>
      <w:r>
        <w:t>Finally, Ridgeline complied with the termination procedure. On May 1, 2023, it gave written notice identifying the material breaches and the 30-day cure period required by § 8.2. Apex’s May 15 response disputed liability but acknowledged AS9100D items remained in progress and conditioned any remediation on new scope and $1.2 million. Section 8.2 expressly provides that a response conditioning cure on added fees or a timeline modification is not a cure. Ridgeline terminated on June 1, after the cure period expired. MSA § 8.2; Email Compilation, Communications 7–9. No genuine dispute exists that Apex failed to cure within the contractually specified period.</w:t>
      </w:r>
    </w:p>
    <w:p>
      <w:pPr>
        <w:pStyle w:val="Heading2"/>
        <w:keepNext/>
      </w:pPr>
      <w:r>
        <w:t>B. Apex is not entitled to the $1,567,500 in unearned milestone payments.</w:t>
      </w:r>
    </w:p>
    <w:p>
      <w:pPr>
        <w:widowControl/>
        <w:spacing w:line="480" w:lineRule="auto" w:after="0"/>
        <w:ind w:firstLine="648"/>
      </w:pPr>
      <w:r>
        <w:t>Apex asserts that Ridgeline owes $855,000 for Phase 2, $427,500 for UAT, and $285,000 for Go-Live. Email Compilation, Communication 8. But the MSA makes each payment conditional on achievement of the corresponding milestone and Ridgeline’s written sign-off; Go-Live requires written confirmation of a production deployment across all three facilities. MSA §§ 3.3–3.4, 4.2(b)–(e), 4.4, Ex. B. No Phase 2 sign-off, UAT sign-off, or Go-Live occurred. The system never passed Teamcenter integration testing, and the original Go-Live date passed without a production deployment. MSA § 3.4 &amp; Ex. A; Email Compilation, Communication 7; Szymanski Dep. 46:1–47:13, 54:1–55:12. Thus, the contractual conditions precedent to the claimed milestone fees did not occur. The October 2022 Phase 1 payment is different: it was paid under an express reservation and did not waive deficiencies. MSA § 4.4; Email Compilation, Communication 3. Summary judgment should be entered against Apex’s claim for those unearned milestones.</w:t>
      </w:r>
    </w:p>
    <w:p>
      <w:pPr>
        <w:pStyle w:val="Heading2"/>
        <w:keepNext/>
      </w:pPr>
      <w:r>
        <w:t>C. The evidence establishes fraudulent misrepresentation inducing the MSA.</w:t>
      </w:r>
    </w:p>
    <w:p>
      <w:pPr>
        <w:widowControl/>
        <w:spacing w:line="480" w:lineRule="auto" w:after="0"/>
        <w:ind w:firstLine="648"/>
      </w:pPr>
      <w:r>
        <w:t>A Pennsylvania intentional-misrepresentation claim requires a material misrepresentation, made knowingly or recklessly, with intent to induce action, justifiable reliance, and resulting injury. Bortz v. Noon, 729 A.2d 555, 560 (Pa. 1999); Gibbs v. Ernst, 647 A.2d 882, 889 (Pa. 1994). The record establishes each element through specific, contemporaneous evidence and Apex’s admissions.</w:t>
      </w:r>
    </w:p>
    <w:p>
      <w:pPr>
        <w:pStyle w:val="Heading3"/>
        <w:keepNext/>
      </w:pPr>
      <w:r>
        <w:t>1. Apex made specific, material statements of existing fact that it admits were false.</w:t>
      </w:r>
    </w:p>
    <w:p>
      <w:pPr>
        <w:widowControl/>
        <w:spacing w:line="480" w:lineRule="auto" w:after="0"/>
        <w:ind w:firstLine="648"/>
      </w:pPr>
      <w:r>
        <w:t>Apex did not merely predict that it could learn Teamcenter. Its proposal stated it had “deep experience” integrating Stratos and Teamcenter and had successfully completed the integration for multiple manufacturing clients. The February capability deck identified Corridor Metals and PrimeTech as completed projects, described project outcomes, and claimed six certified AS9100D specialists were “on staff.” Proposal p. 12, Bates APEX-000153; Capability Deck slides 7, 9, Bates APEX-000207, APEX-000209. Bellingham, who led the proposal and sent the deck, admitted Apex did not complete a Teamcenter integration for either reference client and had never performed one before Ridgeline. Bellingham Dep. 8:9–14, 9:1–18, 19:1–21:20. Ostroff gave the same testimony. Ostroff Dep. 23:14–25:21. Kresch admitted Apex had one certified AS9100D specialist, not six, and called the six-person statement “aspirational.” Kresch Dep. 15:1–17:17. Those are objectively verifiable historical/current facts, not nonactionable puffery.</w:t>
      </w:r>
    </w:p>
    <w:p>
      <w:pPr>
        <w:pStyle w:val="Heading3"/>
        <w:keepNext/>
      </w:pPr>
      <w:r>
        <w:t>2. The evidence establishes knowledge or reckless disregard and an intent to induce the contract.</w:t>
      </w:r>
    </w:p>
    <w:p>
      <w:pPr>
        <w:widowControl/>
        <w:spacing w:line="480" w:lineRule="auto" w:after="0"/>
        <w:ind w:firstLine="648"/>
      </w:pPr>
      <w:r>
        <w:t>Apex’s own internal communications foreclose an innocent-mistake explanation. Before the proposal, Ostroff flagged that the references were inaccurate and was told the sales team handled proposal language. Ostroff Dep. 26:1–27:11. On May 3, 2022, he wrote internally, “We have zero experience with Teamcenter,” said he had been Googling the API documentation, and warned that Apex needed a subcontractor; Apex never brought one in. Id. 38:1–39:12. Bellingham led the proposal, personally transmitted the capability deck, and described Corridor Metals and PrimeTech as Teamcenter-experience clients, although Apex had performed no integration for either. Bellingham Dep. 9:1–18, 19:1–21:20. Kresch reviewed and approved the proposal, knew the deck claimed six certified specialists, and admitted the actual number was one. Kresch Dep. 15:1–17:17, 28:1–29:16. The deck was a sales document prepared specifically for Ridgeline; Bellingham described Apex as putting its “best foot forward.” Bellingham Dep. 42:1–43:17. Kresch also confirmed that Ridgeline was Apex’s largest pending opportunity while Apex faced a $2.5 million Q1 contract target tied to lender covenants. Kresch Dep. 37:1–39:8. Intent and knowledge may be inferred from these admissions and the deliberate presentation of claimed past projects and then-current staffing as existing facts.</w:t>
      </w:r>
    </w:p>
    <w:p>
      <w:pPr>
        <w:pStyle w:val="Heading3"/>
        <w:keepNext/>
      </w:pPr>
      <w:r>
        <w:t>3. Ridgeline’s reliance was actual and justifiable.</w:t>
      </w:r>
    </w:p>
    <w:p>
      <w:pPr>
        <w:widowControl/>
        <w:spacing w:line="480" w:lineRule="auto" w:after="0"/>
        <w:ind w:firstLine="648"/>
      </w:pPr>
      <w:r>
        <w:t>Ridgeline’s project lead evaluated proposals from five vendors, asked Bellingham directly about Teamcenter experience after discovering that the formal references did not cover Teamcenter, and was told that Corridor Metals and PrimeTech were the two relevant completed projects. Szymanski Dep. 6:14–19, 14:1–15:14, 16:1–13. Szymanski testified that he relied on those assurances, did not independently verify them because Apex held itself out as an expert, and lacked the technical expertise to evaluate Teamcenter APIs. Id. 15:1–17:12. The statements concerned precisely the specialist capabilities Ridgeline had identified as important in its RFP, and were made by Apex’s sales leadership in response to Ridgeline’s direct diligence inquiry. A sophisticated company is not required to reverse-engineer a vendor’s factual claims about its own completed projects and certifications. The claimed experience and staffing were material to Ridgeline’s choice and Apex’s ability to deliver the promised integration and aerospace quality module.</w:t>
      </w:r>
    </w:p>
    <w:p>
      <w:pPr>
        <w:pStyle w:val="Heading3"/>
        <w:keepNext/>
      </w:pPr>
      <w:r>
        <w:t>4. The MSA’s integration language does not erase the independent inducement fraud.</w:t>
      </w:r>
    </w:p>
    <w:p>
      <w:pPr>
        <w:widowControl/>
        <w:spacing w:line="480" w:lineRule="auto" w:after="0"/>
        <w:ind w:firstLine="648"/>
      </w:pPr>
      <w:r>
        <w:t>Apex may invoke § 14.1, which integrates prior negotiations and states that neither party relied on statements not set forth in the MSA. The fraud claim, however, can be adjudicated on representations the MSA itself contains: the recitals state that Apex represented it was an experienced ERP provider with the requisite skill, experience, personnel, and technical expertise, and § 5.1(a) warranted that Apex possessed the requisite skill, expertise, and experience. MSA Recitals; § 5.1(a). Section 14.1 disclaims reliance only on a statement “not expressly set forth” in the Agreement; it does not erase these written representations. The proposal and capability deck supply evidence of what Apex knew about the truth of those express qualifications representations, not a request to add a different deliverable or vary the agreed dates. Yocca v. Pittsburgh Steelers Sports, Inc., 854 A.2d 425, 437–38 (Pa. 2004), addresses prior statements offered to vary an integrated writing; it does not require the Court to disregard an express representation in that writing or evidence that it was knowingly false. Bruno v. Erie Ins. Co., 106 A.3d 48, 68–70 (Pa. 2014), likewise directs the Court to examine the source of the duty asserted. At minimum, § 14.1 does not entitle Apex to judgment on the MSA’s own representations or resolve falsity and scienter in Apex’s favor as a matter of law.</w:t>
      </w:r>
    </w:p>
    <w:p>
      <w:pPr>
        <w:widowControl/>
        <w:spacing w:line="480" w:lineRule="auto" w:after="0"/>
        <w:ind w:firstLine="648"/>
      </w:pPr>
      <w:r>
        <w:t>The gist-of-the-action doctrine likewise does not bar the claim. The asserted tort is not simply that Apex failed to deliver its contract promises; it is that Apex knowingly misstated its existing history and staffing before execution to induce Ridgeline to sign. Those duties not to deceive in business procurement exist independently of the later performance duties. Bruno, 106 A.3d at 68–70. The subsequent nonperformance corroborates, but does not create, the pre-contract misrepresentation.</w:t>
      </w:r>
    </w:p>
    <w:p>
      <w:pPr>
        <w:widowControl/>
        <w:spacing w:line="276" w:lineRule="auto" w:after="0"/>
        <w:ind w:firstLine="648"/>
      </w:pPr>
      <w:r>
        <w:t>Ridgeline suffered actual injury: it paid $1,282,500 to Apex for work Dr. Varma concludes had no residual value and incurred additional replacement costs. Varma Expert Report (Jan. 15, 2025), direct and consequential damages analyses; Szymanski Dep. 54:1–55:8. The exact amount and allocation of recoverable damages can be tried separately from liability.</w:t>
      </w:r>
    </w:p>
    <w:p>
      <w:pPr>
        <w:pStyle w:val="Heading2"/>
        <w:keepNext/>
      </w:pPr>
      <w:r>
        <w:t>D. The damages disputes do not defeat partial judgment on liability.</w:t>
      </w:r>
    </w:p>
    <w:p>
      <w:pPr>
        <w:widowControl/>
        <w:spacing w:line="276" w:lineRule="auto" w:after="0"/>
        <w:ind w:firstLine="648"/>
      </w:pPr>
      <w:r>
        <w:t>Dr. Varma calculated $2,007,500 in direct contract damages: $1,282,500 in fees paid for unusable work, plus a $725,000 cost-of-cover differential ($3,575,000 in replacement contracts less the $2,850,000 MSA price). She separately calculated $1,840,000 in production inefficiency costs and $690,000 in one year of Aerocore lost profits, for total modeled damages of $4,537,500. Varma Expert Report (Jan. 15, 2025), direct and consequential damages analyses. Apex’s expert disputes the amount and values some Phase 1 work differently. Anand Report (Feb. 28, 2025), damages opinions. Those disputes concern quantum and particular causation questions, not whether Apex materially breached or whether Ridgeline sustained injury. Rule 56(a) permits judgment on liability even when damages remain for trial.</w:t>
      </w:r>
    </w:p>
    <w:p>
      <w:pPr>
        <w:widowControl/>
        <w:spacing w:line="276" w:lineRule="auto" w:after="0"/>
        <w:ind w:firstLine="648"/>
      </w:pPr>
      <w:r>
        <w:t>Section 11.2 sets an aggregate cap of $2,850,000 and expressly addresses liability under contract and tort theories. Ridgeline does not ask the Court to resolve the cap’s full application or the consequential-damages allocation on this liability motion. The direct contract damages calculated by Dr. Varma total $2,007,500, within the stated cap. The cap therefore cannot negate the existence of a breach, the injury element, or the milestone conditions. The Court should reserve any ruling on the final recoverable amount, the cap, and the alleged Aerocore causal chain for the appropriate damages phase.</w:t>
      </w:r>
    </w:p>
    <w:p>
      <w:pPr>
        <w:pStyle w:val="Heading1"/>
        <w:keepNext/>
      </w:pPr>
      <w:r>
        <w:t>V. CONCLUSION</w:t>
      </w:r>
    </w:p>
    <w:p>
      <w:pPr>
        <w:widowControl/>
        <w:spacing w:line="480" w:lineRule="auto" w:after="0"/>
        <w:ind w:firstLine="648"/>
      </w:pPr>
      <w:r>
        <w:t>For these reasons, Ridgeline respectfully requests that the Court grant partial summary judgment: (1) holding Apex liable for material breach of the MSA; (2) holding Apex liable for fraudulent misrepresentation inducing the MSA; (3) entering judgment for Ridgeline on Apex’s claim for $1,567,500 in Phase 2, UAT, and Go-Live milestone fees because the contractual conditions precedent were not satisfied; and (4) reserving the amount of damages, the limitation-of-liability issue, and any discrete damages-causation questions for further proceedings. Alternatively, Ridgeline requests that the Court specify under Rule 56(g) the material facts that are not genuinely disputed.</w:t>
      </w:r>
    </w:p>
    <w:p>
      <w:pPr>
        <w:keepLines/>
        <w:spacing w:line="240" w:lineRule="auto" w:before="240"/>
      </w:pPr>
      <w:r>
        <w:rPr>
          <w:rFonts w:ascii="Times New Roman" w:hAnsi="Times New Roman"/>
        </w:rPr>
        <w:t>Respectfully submitted,</w:t>
        <w:br/>
        <w:t>HOLLISTER, VANCE &amp; TRASK LLP</w:t>
        <w:br/>
        <w:t>/s/ Catherine “Kate” Hollister</w:t>
        <w:br/>
        <w:t>Catherine “Kate” Hollister, Esq.; Brian Delacroix, Esq.</w:t>
        <w:br/>
        <w:t>610 Grant Street, Suite 3200, Pittsburgh, PA 15219</w:t>
        <w:br/>
        <w:t>Counsel for Plaintiff Ridgeline Manufacturing Corp.</w:t>
      </w:r>
    </w:p>
    <w:sectPr w:rsidR="00FC693F" w:rsidRPr="0006063C" w:rsidSect="00034616">
      <w:footerReference w:type="default" r:id="rId9"/>
      <w:pgSz w:w="12240" w:h="15840"/>
      <w:pgMar w:top="1123"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40" w:lineRule="auto"/>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60" w:after="40" w:line="240" w:lineRule="auto"/>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240"/>
      <w:contextualSpacing/>
      <w:jc w:val="center"/>
    </w:pPr>
    <w:rPr>
      <w:rFonts w:asciiTheme="majorHAnsi" w:eastAsiaTheme="majorEastAsia" w:hAnsiTheme="majorHAnsi" w:cstheme="majorBidi" w:ascii="Times New Roman" w:hAnsi="Times New Roman" w:eastAsia="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