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rFonts w:ascii="Times New Roman" w:hAnsi="Times New Roman"/>
          <w:b/>
          <w:sz w:val="24"/>
        </w:rPr>
        <w:t>UNITED STATES DISTRICT COURT</w:t>
        <w:br/>
        <w:t>FOR THE WESTERN DISTRICT OF PENNSYLVANIA</w:t>
      </w:r>
    </w:p>
    <w:tbl>
      <w:tblPr>
        <w:tblW w:type="auto" w:w="0"/>
        <w:jc w:val="center"/>
        <w:tblLayout w:type="fixed"/>
        <w:tblLook w:firstColumn="1" w:firstRow="1" w:lastColumn="0" w:lastRow="0" w:noHBand="0" w:noVBand="1" w:val="04A0"/>
      </w:tblPr>
      <w:tblGrid>
        <w:gridCol w:w="5544"/>
        <w:gridCol w:w="3960"/>
      </w:tblGrid>
      <w:tr>
        <w:tc>
          <w:tcPr>
            <w:tcW w:type="dxa" w:w="5544"/>
            <w:vAlign w:val="center"/>
            <w:tcBorders>
              <w:top w:val="single" w:sz="8" w:color="000000"/>
              <w:left w:val="single" w:sz="8" w:color="000000"/>
              <w:bottom w:val="single" w:sz="8" w:color="000000"/>
              <w:right w:val="single" w:sz="8" w:color="000000"/>
            </w:tcBorders>
          </w:tcPr>
          <w:p>
            <w:pPr>
              <w:spacing w:line="240" w:lineRule="auto" w:after="0"/>
            </w:pPr>
            <w:r>
              <w:rPr>
                <w:b/>
              </w:rPr>
              <w:t>RIDGELINE MANUFACTURING CORP.,</w:t>
            </w:r>
          </w:p>
          <w:p>
            <w:pPr>
              <w:spacing w:line="240" w:lineRule="auto" w:after="0"/>
            </w:pPr>
            <w:r>
              <w:rPr>
                <w:rFonts w:ascii="Times New Roman" w:hAnsi="Times New Roman"/>
                <w:b w:val="0"/>
                <w:sz w:val="22"/>
              </w:rPr>
              <w:t>Plaintiff,</w:t>
            </w:r>
          </w:p>
          <w:p>
            <w:pPr>
              <w:spacing w:line="240" w:lineRule="auto" w:after="0"/>
            </w:pPr>
            <w:r>
              <w:rPr>
                <w:rFonts w:ascii="Times New Roman" w:hAnsi="Times New Roman"/>
                <w:b w:val="0"/>
                <w:sz w:val="22"/>
              </w:rPr>
              <w:t>v.</w:t>
            </w:r>
          </w:p>
          <w:p>
            <w:pPr>
              <w:spacing w:line="240" w:lineRule="auto" w:after="0"/>
            </w:pPr>
            <w:r>
              <w:rPr>
                <w:rFonts w:ascii="Times New Roman" w:hAnsi="Times New Roman"/>
                <w:b/>
                <w:sz w:val="22"/>
              </w:rPr>
              <w:t>APEX DIGITAL SOLUTIONS, INC.,</w:t>
            </w:r>
          </w:p>
          <w:p>
            <w:pPr>
              <w:spacing w:line="240" w:lineRule="auto" w:after="0"/>
            </w:pPr>
            <w:r>
              <w:rPr>
                <w:rFonts w:ascii="Times New Roman" w:hAnsi="Times New Roman"/>
                <w:b w:val="0"/>
                <w:sz w:val="22"/>
              </w:rPr>
              <w:t>Defendant.</w:t>
            </w:r>
          </w:p>
        </w:tc>
        <w:tc>
          <w:tcPr>
            <w:tcW w:type="dxa" w:w="3960"/>
            <w:vAlign w:val="center"/>
            <w:tcBorders>
              <w:top w:val="single" w:sz="8" w:color="000000"/>
              <w:left w:val="single" w:sz="8" w:color="000000"/>
              <w:bottom w:val="single" w:sz="8" w:color="000000"/>
              <w:right w:val="single" w:sz="8" w:color="000000"/>
            </w:tcBorders>
          </w:tcPr>
          <w:p>
            <w:pPr>
              <w:spacing w:line="240" w:lineRule="auto"/>
            </w:pPr>
            <w:r>
              <w:rPr>
                <w:rFonts w:ascii="Times New Roman" w:hAnsi="Times New Roman"/>
                <w:sz w:val="22"/>
              </w:rPr>
              <w:t>Case No. 2:23-cv-01487-NMR</w:t>
              <w:br/>
            </w:r>
            <w:r>
              <w:rPr>
                <w:rFonts w:ascii="Times New Roman" w:hAnsi="Times New Roman"/>
                <w:sz w:val="22"/>
              </w:rPr>
              <w:t>Hon. Natalie M. Riegert</w:t>
              <w:br/>
            </w:r>
          </w:p>
        </w:tc>
      </w:tr>
    </w:tbl>
    <w:p>
      <w:pPr>
        <w:spacing w:after="0" w:line="240" w:lineRule="auto"/>
      </w:pPr>
    </w:p>
    <w:p>
      <w:pPr>
        <w:pStyle w:val="Title"/>
      </w:pPr>
      <w:r>
        <w:t>PLAINTIFF’S CONCISE STATEMENT OF UNDISPUTED MATERIAL FACTS IN SUPPORT OF MOTION FOR SUMMARY JUDGMENT</w:t>
      </w:r>
    </w:p>
    <w:p>
      <w:pPr>
        <w:widowControl/>
        <w:spacing w:line="276" w:lineRule="auto" w:after="0"/>
      </w:pPr>
      <w:r>
        <w:t>Pursuant to Federal Rule of Civil Procedure 56 and the applicable local summary-judgment rule of this Court, Plaintiff Ridgeline Manufacturing Corp. submits the following concise statement in separately numbered paragraphs. Citations identify the specific contract provisions, Bates-numbered documents, and deposition page-and-line excerpts supporting each fact. “MSA” refers to the Master Services Agreement between Ridgeline and Apex, effective March 1, 2022; “Capability Deck” refers to Apex’s February 22, 2022 capability summary; and deposition citations use transcript page:line format.</w:t>
      </w:r>
    </w:p>
    <w:p>
      <w:pPr>
        <w:pStyle w:val="Heading1"/>
        <w:keepNext/>
      </w:pPr>
      <w:r>
        <w:t>A. The Agreement and Apex’s contractual obligations</w:t>
      </w:r>
    </w:p>
    <w:p>
      <w:pPr>
        <w:widowControl/>
        <w:spacing w:line="276" w:lineRule="auto" w:after="100"/>
        <w:ind w:left="504" w:hanging="504"/>
      </w:pPr>
      <w:r>
        <w:rPr>
          <w:b/>
        </w:rPr>
        <w:t xml:space="preserve">1. </w:t>
      </w:r>
      <w:r>
        <w:t xml:space="preserve">Ridgeline is a Pennsylvania corporation, and Apex is a Delaware corporation; they entered into an MSA dated February 28, 2022, effective March 1, 2022. </w:t>
      </w:r>
      <w:r>
        <w:rPr>
          <w:i/>
        </w:rPr>
        <w:t>MSA preamble, signature page; MSA § 1.5.</w:t>
      </w:r>
    </w:p>
    <w:p>
      <w:pPr>
        <w:widowControl/>
        <w:spacing w:line="276" w:lineRule="auto" w:after="100"/>
        <w:ind w:left="504" w:hanging="504"/>
      </w:pPr>
      <w:r>
        <w:rPr>
          <w:b/>
        </w:rPr>
        <w:t xml:space="preserve">2. </w:t>
      </w:r>
      <w:r>
        <w:t xml:space="preserve">The MSA set a fixed total fee of $2,850,000 for Apex’s implementation services. </w:t>
      </w:r>
      <w:r>
        <w:rPr>
          <w:i/>
        </w:rPr>
        <w:t>MSA § 4.1; Ex. B.</w:t>
      </w:r>
    </w:p>
    <w:p>
      <w:pPr>
        <w:widowControl/>
        <w:spacing w:line="276" w:lineRule="auto" w:after="100"/>
        <w:ind w:left="504" w:hanging="504"/>
      </w:pPr>
      <w:r>
        <w:rPr>
          <w:b/>
        </w:rPr>
        <w:t xml:space="preserve">3. </w:t>
      </w:r>
      <w:r>
        <w:t xml:space="preserve">Apex was required to implement Stratos ERP across Ridgeline’s Butler, Erie, and Youngstown facilities, with the objective of a fully operational enterprise-wide system replacing the legacy ERP system. </w:t>
      </w:r>
      <w:r>
        <w:rPr>
          <w:i/>
        </w:rPr>
        <w:t>MSA § 2.1.</w:t>
      </w:r>
    </w:p>
    <w:p>
      <w:pPr>
        <w:widowControl/>
        <w:spacing w:line="276" w:lineRule="auto" w:after="100"/>
        <w:ind w:left="504" w:hanging="504"/>
      </w:pPr>
      <w:r>
        <w:rPr>
          <w:b/>
        </w:rPr>
        <w:t xml:space="preserve">4. </w:t>
      </w:r>
      <w:r>
        <w:t xml:space="preserve">Apex’s scope expressly included a bidirectional Siemens Teamcenter integration for engineering change orders, part specifications, revision control, and released-design synchronization. </w:t>
      </w:r>
      <w:r>
        <w:rPr>
          <w:i/>
        </w:rPr>
        <w:t>MSA § 2.2(c); Ex. A, Phase 2 Deliverable 2.</w:t>
      </w:r>
    </w:p>
    <w:p>
      <w:pPr>
        <w:widowControl/>
        <w:spacing w:line="276" w:lineRule="auto" w:after="100"/>
        <w:ind w:left="504" w:hanging="504"/>
      </w:pPr>
      <w:r>
        <w:rPr>
          <w:b/>
        </w:rPr>
        <w:t xml:space="preserve">5. </w:t>
      </w:r>
      <w:r>
        <w:t xml:space="preserve">Apex’s scope also expressly included configuration of an AS9100D aerospace quality-management module, including lot and serial tracking, NCR/CAPA, FAI, supplier-quality management, and aerospace traceability meeting AS9100D:2016 and customer-specific requirements. </w:t>
      </w:r>
      <w:r>
        <w:rPr>
          <w:i/>
        </w:rPr>
        <w:t>MSA § 2.2(d); Ex. A, Phase 2 Deliverable 3.</w:t>
      </w:r>
    </w:p>
    <w:p>
      <w:pPr>
        <w:widowControl/>
        <w:spacing w:line="276" w:lineRule="auto" w:after="100"/>
        <w:ind w:left="504" w:hanging="504"/>
      </w:pPr>
      <w:r>
        <w:rPr>
          <w:b/>
        </w:rPr>
        <w:t xml:space="preserve">6. </w:t>
      </w:r>
      <w:r>
        <w:t xml:space="preserve">Apex warranted that it possessed the requisite skill, expertise, and experience; that its services would conform to the MSA specifications; and that assigned personnel would have the qualifications necessary to perform their tasks. </w:t>
      </w:r>
      <w:r>
        <w:rPr>
          <w:i/>
        </w:rPr>
        <w:t>MSA § 5.1(a), (b), (e).</w:t>
      </w:r>
    </w:p>
    <w:p>
      <w:pPr>
        <w:widowControl/>
        <w:spacing w:line="276" w:lineRule="auto" w:after="100"/>
        <w:ind w:left="504" w:hanging="504"/>
      </w:pPr>
      <w:r>
        <w:rPr>
          <w:b/>
        </w:rPr>
        <w:t xml:space="preserve">7. </w:t>
      </w:r>
      <w:r>
        <w:t xml:space="preserve">The MSA set July 15, 2022 as the Phase 1 target, November 30, 2022 as the Phase 2 target, and March 31, 2023 as the Phase 3 Go-Live target. </w:t>
      </w:r>
      <w:r>
        <w:rPr>
          <w:i/>
        </w:rPr>
        <w:t>MSA §§ 3.2–3.4; Ex. A.</w:t>
      </w:r>
    </w:p>
    <w:p>
      <w:pPr>
        <w:widowControl/>
        <w:spacing w:line="276" w:lineRule="auto" w:after="100"/>
        <w:ind w:left="504" w:hanging="504"/>
      </w:pPr>
      <w:r>
        <w:rPr>
          <w:b/>
        </w:rPr>
        <w:t xml:space="preserve">8. </w:t>
      </w:r>
      <w:r>
        <w:t xml:space="preserve">The MSA states that timely completion is material, that time is of the essence, and that the milestone dates are firm absent a mutually executed written Change Order. </w:t>
      </w:r>
      <w:r>
        <w:rPr>
          <w:i/>
        </w:rPr>
        <w:t>MSA § 3.5.</w:t>
      </w:r>
    </w:p>
    <w:p>
      <w:pPr>
        <w:widowControl/>
        <w:spacing w:line="276" w:lineRule="auto" w:after="100"/>
        <w:ind w:left="504" w:hanging="504"/>
      </w:pPr>
      <w:r>
        <w:rPr>
          <w:b/>
        </w:rPr>
        <w:t xml:space="preserve">9. </w:t>
      </w:r>
      <w:r>
        <w:t xml:space="preserve">Under § 3.6, a Ridgeline-caused extension requires a delay caused solely and directly by Ridgeline, timely written notice specifying the cause and impact, and commercially reasonable mitigation by Apex. </w:t>
      </w:r>
      <w:r>
        <w:rPr>
          <w:i/>
        </w:rPr>
        <w:t>MSA § 3.6.</w:t>
      </w:r>
    </w:p>
    <w:p>
      <w:pPr>
        <w:widowControl/>
        <w:spacing w:line="276" w:lineRule="auto" w:after="100"/>
        <w:ind w:left="504" w:hanging="504"/>
      </w:pPr>
      <w:r>
        <w:rPr>
          <w:b/>
        </w:rPr>
        <w:t xml:space="preserve">10. </w:t>
      </w:r>
      <w:r>
        <w:t xml:space="preserve">The Phase 2, UAT, and Go-Live installments were $855,000, $427,500, and $285,000, respectively, and each was conditioned on achievement of the applicable milestone and written sign-off. </w:t>
      </w:r>
      <w:r>
        <w:rPr>
          <w:i/>
        </w:rPr>
        <w:t>MSA §§ 4.2(c)–(e), 4.4; Ex. B.</w:t>
      </w:r>
    </w:p>
    <w:p>
      <w:pPr>
        <w:widowControl/>
        <w:spacing w:line="276" w:lineRule="auto" w:after="100"/>
        <w:ind w:left="504" w:hanging="504"/>
      </w:pPr>
      <w:r>
        <w:rPr>
          <w:b/>
        </w:rPr>
        <w:t xml:space="preserve">11. </w:t>
      </w:r>
      <w:r>
        <w:t xml:space="preserve">Payment of a milestone does not constitute acceptance or waiver of a defect unless an authorized Ridgeline representative expressly acknowledges the specific waived deficiency in writing. </w:t>
      </w:r>
      <w:r>
        <w:rPr>
          <w:i/>
        </w:rPr>
        <w:t>MSA § 4.4.</w:t>
      </w:r>
    </w:p>
    <w:p>
      <w:pPr>
        <w:widowControl/>
        <w:spacing w:line="276" w:lineRule="auto" w:after="100"/>
        <w:ind w:left="504" w:hanging="504"/>
      </w:pPr>
      <w:r>
        <w:rPr>
          <w:b/>
        </w:rPr>
        <w:t xml:space="preserve">12. </w:t>
      </w:r>
      <w:r>
        <w:t xml:space="preserve">An amendment or Change Order adjusting scope, timeline, deliverables, or fees is effective only when executed by authorized representatives of both parties; without agreement, Apex must continue the original scope. </w:t>
      </w:r>
      <w:r>
        <w:rPr>
          <w:i/>
        </w:rPr>
        <w:t>MSA §§ 6.1–6.3, 14.2.</w:t>
      </w:r>
    </w:p>
    <w:p>
      <w:pPr>
        <w:widowControl/>
        <w:spacing w:line="276" w:lineRule="auto" w:after="100"/>
        <w:ind w:left="504" w:hanging="504"/>
      </w:pPr>
      <w:r>
        <w:rPr>
          <w:b/>
        </w:rPr>
        <w:t xml:space="preserve">13. </w:t>
      </w:r>
      <w:r>
        <w:t xml:space="preserve">Either party may terminate for material breach after 30 days’ written notice and failure to cure; a purported cure conditioned on additional fees or a timeline modification does not constitute cure. </w:t>
      </w:r>
      <w:r>
        <w:rPr>
          <w:i/>
        </w:rPr>
        <w:t>MSA § 8.2.</w:t>
      </w:r>
    </w:p>
    <w:p>
      <w:pPr>
        <w:pStyle w:val="Heading1"/>
        <w:keepNext/>
      </w:pPr>
      <w:r>
        <w:t>B. Apex’s pre-contract representations and Ridgeline’s reliance</w:t>
      </w:r>
    </w:p>
    <w:p>
      <w:pPr>
        <w:widowControl/>
        <w:spacing w:line="276" w:lineRule="auto" w:after="100"/>
        <w:ind w:left="504" w:hanging="504"/>
      </w:pPr>
      <w:r>
        <w:rPr>
          <w:b/>
        </w:rPr>
        <w:t xml:space="preserve">14. </w:t>
      </w:r>
      <w:r>
        <w:t xml:space="preserve">In its January 28, 2022 proposal, Apex stated that it had “deep experience integrating Stratos ERP with Siemens Teamcenter” and had successfully completed the integration for multiple manufacturing clients. </w:t>
      </w:r>
      <w:r>
        <w:rPr>
          <w:i/>
        </w:rPr>
        <w:t>Apex Proposal p. 12, Bates APEX-000153.</w:t>
      </w:r>
    </w:p>
    <w:p>
      <w:pPr>
        <w:widowControl/>
        <w:spacing w:line="276" w:lineRule="auto" w:after="100"/>
        <w:ind w:left="504" w:hanging="504"/>
      </w:pPr>
      <w:r>
        <w:rPr>
          <w:b/>
        </w:rPr>
        <w:t xml:space="preserve">15. </w:t>
      </w:r>
      <w:r>
        <w:t xml:space="preserve">The February 22, 2022 Capability Deck identified Corridor Metals (2020) and PrimeTech Industries (2021) as completed Teamcenter integration engagements and described claimed results from each. </w:t>
      </w:r>
      <w:r>
        <w:rPr>
          <w:i/>
        </w:rPr>
        <w:t>Capability Deck slide 7, Bates APEX-000207.</w:t>
      </w:r>
    </w:p>
    <w:p>
      <w:pPr>
        <w:widowControl/>
        <w:spacing w:line="276" w:lineRule="auto" w:after="100"/>
        <w:ind w:left="504" w:hanging="504"/>
      </w:pPr>
      <w:r>
        <w:rPr>
          <w:b/>
        </w:rPr>
        <w:t xml:space="preserve">16. </w:t>
      </w:r>
      <w:r>
        <w:t xml:space="preserve">The Capability Deck stated that Apex had “6 Certified AS9100D Implementation Specialists on Staff.” </w:t>
      </w:r>
      <w:r>
        <w:rPr>
          <w:i/>
        </w:rPr>
        <w:t>Capability Deck slide 9, Bates APEX-000209.</w:t>
      </w:r>
    </w:p>
    <w:p>
      <w:pPr>
        <w:widowControl/>
        <w:spacing w:line="276" w:lineRule="auto" w:after="100"/>
        <w:ind w:left="504" w:hanging="504"/>
      </w:pPr>
      <w:r>
        <w:rPr>
          <w:b/>
        </w:rPr>
        <w:t xml:space="preserve">17. </w:t>
      </w:r>
      <w:r>
        <w:t xml:space="preserve">Tara Bellingham was Apex’s Vice President of Sales, led the Ridgeline proposal response, and personally sent the Capability Deck to Ridgeline. </w:t>
      </w:r>
      <w:r>
        <w:rPr>
          <w:i/>
        </w:rPr>
        <w:t>Bellingham Dep. 8:3–14, 9:1–9.</w:t>
      </w:r>
    </w:p>
    <w:p>
      <w:pPr>
        <w:widowControl/>
        <w:spacing w:line="276" w:lineRule="auto" w:after="100"/>
        <w:ind w:left="504" w:hanging="504"/>
      </w:pPr>
      <w:r>
        <w:rPr>
          <w:b/>
        </w:rPr>
        <w:t xml:space="preserve">18. </w:t>
      </w:r>
      <w:r>
        <w:t xml:space="preserve">Bellingham testified that she identified Corridor Metals and PrimeTech to Ridgeline as clients where Apex had Teamcenter experience. </w:t>
      </w:r>
      <w:r>
        <w:rPr>
          <w:i/>
        </w:rPr>
        <w:t>Bellingham Dep. 9:9–18.</w:t>
      </w:r>
    </w:p>
    <w:p>
      <w:pPr>
        <w:widowControl/>
        <w:spacing w:line="276" w:lineRule="auto" w:after="100"/>
        <w:ind w:left="504" w:hanging="504"/>
      </w:pPr>
      <w:r>
        <w:rPr>
          <w:b/>
        </w:rPr>
        <w:t xml:space="preserve">19. </w:t>
      </w:r>
      <w:r>
        <w:t xml:space="preserve">Bellingham testified Apex did not complete a Teamcenter integration for Corridor Metals or PrimeTech, and had never performed a Teamcenter integration for any client before Ridgeline. </w:t>
      </w:r>
      <w:r>
        <w:rPr>
          <w:i/>
        </w:rPr>
        <w:t>Bellingham Dep. 19:1–21:20.</w:t>
      </w:r>
    </w:p>
    <w:p>
      <w:pPr>
        <w:widowControl/>
        <w:spacing w:line="276" w:lineRule="auto" w:after="100"/>
        <w:ind w:left="504" w:hanging="504"/>
      </w:pPr>
      <w:r>
        <w:rPr>
          <w:b/>
        </w:rPr>
        <w:t xml:space="preserve">20. </w:t>
      </w:r>
      <w:r>
        <w:t xml:space="preserve">Ostroff likewise testified that Corridor Metals used SAP and had no Teamcenter component, PrimeTech was only a consulting assessment, and neither engagement involved an actual Teamcenter integration. </w:t>
      </w:r>
      <w:r>
        <w:rPr>
          <w:i/>
        </w:rPr>
        <w:t>Ostroff Dep. 23:14–25:21.</w:t>
      </w:r>
    </w:p>
    <w:p>
      <w:pPr>
        <w:widowControl/>
        <w:spacing w:line="276" w:lineRule="auto" w:after="100"/>
        <w:ind w:left="504" w:hanging="504"/>
      </w:pPr>
      <w:r>
        <w:rPr>
          <w:b/>
        </w:rPr>
        <w:t xml:space="preserve">21. </w:t>
      </w:r>
      <w:r>
        <w:t xml:space="preserve">Before Apex submitted the proposal, Ostroff raised the inaccurate Teamcenter claims with Bellingham; she responded that the sales team handled proposal language and that they would “figure it out.” </w:t>
      </w:r>
      <w:r>
        <w:rPr>
          <w:i/>
        </w:rPr>
        <w:t>Ostroff Dep. 26:1–27:11.</w:t>
      </w:r>
    </w:p>
    <w:p>
      <w:pPr>
        <w:widowControl/>
        <w:spacing w:line="276" w:lineRule="auto" w:after="100"/>
        <w:ind w:left="504" w:hanging="504"/>
      </w:pPr>
      <w:r>
        <w:rPr>
          <w:b/>
        </w:rPr>
        <w:t xml:space="preserve">22. </w:t>
      </w:r>
      <w:r>
        <w:t xml:space="preserve">On May 3, 2022, Ostroff wrote internally that Apex had “zero experience with Teamcenter,” that he had been searching the API documentation, and that Apex needed a subcontractor; Apex never retained a Teamcenter subcontractor. </w:t>
      </w:r>
      <w:r>
        <w:rPr>
          <w:i/>
        </w:rPr>
        <w:t>Ostroff Dep. 38:1–39:12; Email Compilation, Communication 1, Bates APEX-00004782.</w:t>
      </w:r>
    </w:p>
    <w:p>
      <w:pPr>
        <w:widowControl/>
        <w:spacing w:line="276" w:lineRule="auto" w:after="100"/>
        <w:ind w:left="504" w:hanging="504"/>
      </w:pPr>
      <w:r>
        <w:rPr>
          <w:b/>
        </w:rPr>
        <w:t xml:space="preserve">23. </w:t>
      </w:r>
      <w:r>
        <w:t xml:space="preserve">Kresch was Apex’s CEO, reviewed and approved the January proposal, and knew the general content of the Teamcenter and AS9100D representations. </w:t>
      </w:r>
      <w:r>
        <w:rPr>
          <w:i/>
        </w:rPr>
        <w:t>Kresch Dep. 7:3–16, 28:1–13.</w:t>
      </w:r>
    </w:p>
    <w:p>
      <w:pPr>
        <w:widowControl/>
        <w:spacing w:line="276" w:lineRule="auto" w:after="100"/>
        <w:ind w:left="504" w:hanging="504"/>
      </w:pPr>
      <w:r>
        <w:rPr>
          <w:b/>
        </w:rPr>
        <w:t xml:space="preserve">24. </w:t>
      </w:r>
      <w:r>
        <w:t xml:space="preserve">Kresch testified that Apex had one AS9100D-certified employee, Gerald Frisk, when the Capability Deck was sent—not six—and described the six-specialist statement as aspirational. </w:t>
      </w:r>
      <w:r>
        <w:rPr>
          <w:i/>
        </w:rPr>
        <w:t>Kresch Dep. 15:1–16:11.</w:t>
      </w:r>
    </w:p>
    <w:p>
      <w:pPr>
        <w:widowControl/>
        <w:spacing w:line="276" w:lineRule="auto" w:after="100"/>
        <w:ind w:left="504" w:hanging="504"/>
      </w:pPr>
      <w:r>
        <w:rPr>
          <w:b/>
        </w:rPr>
        <w:t xml:space="preserve">25. </w:t>
      </w:r>
      <w:r>
        <w:t xml:space="preserve">Frisk left Apex in April 2022; Kresch testified that after Frisk left, Apex had no AS9100D-certified specialist on the Ridgeline project. </w:t>
      </w:r>
      <w:r>
        <w:rPr>
          <w:i/>
        </w:rPr>
        <w:t>Kresch Dep. 17:1–17.</w:t>
      </w:r>
    </w:p>
    <w:p>
      <w:pPr>
        <w:widowControl/>
        <w:spacing w:line="276" w:lineRule="auto" w:after="100"/>
        <w:ind w:left="504" w:hanging="504"/>
      </w:pPr>
      <w:r>
        <w:rPr>
          <w:b/>
        </w:rPr>
        <w:t xml:space="preserve">26. </w:t>
      </w:r>
      <w:r>
        <w:t xml:space="preserve">Ridgeline’s project lead, Paul Szymanski, drafted the RFP, sent it to five vendors, evaluated proposals, conducted reference checks, and recommended Apex to Ridgeline’s CEO and CFO. </w:t>
      </w:r>
      <w:r>
        <w:rPr>
          <w:i/>
        </w:rPr>
        <w:t>Szymanski Dep. 6:10–19.</w:t>
      </w:r>
    </w:p>
    <w:p>
      <w:pPr>
        <w:widowControl/>
        <w:spacing w:line="276" w:lineRule="auto" w:after="100"/>
        <w:ind w:left="504" w:hanging="504"/>
      </w:pPr>
      <w:r>
        <w:rPr>
          <w:b/>
        </w:rPr>
        <w:t xml:space="preserve">27. </w:t>
      </w:r>
      <w:r>
        <w:t xml:space="preserve">Neither of the two references Szymanski contacted involved Teamcenter integration or AS9100D compliance work. </w:t>
      </w:r>
      <w:r>
        <w:rPr>
          <w:i/>
        </w:rPr>
        <w:t>Szymanski Dep. 14:1–14.</w:t>
      </w:r>
    </w:p>
    <w:p>
      <w:pPr>
        <w:widowControl/>
        <w:spacing w:line="276" w:lineRule="auto" w:after="100"/>
        <w:ind w:left="504" w:hanging="504"/>
      </w:pPr>
      <w:r>
        <w:rPr>
          <w:b/>
        </w:rPr>
        <w:t xml:space="preserve">28. </w:t>
      </w:r>
      <w:r>
        <w:t xml:space="preserve">Szymanski asked Bellingham about Teamcenter experience on February 14, 2022, and Bellingham specifically identified Corridor Metals and PrimeTech as the two prior projects supporting Apex’s Teamcenter claims. </w:t>
      </w:r>
      <w:r>
        <w:rPr>
          <w:i/>
        </w:rPr>
        <w:t>Szymanski Dep. 15:1–15:14; 16:1–13.</w:t>
      </w:r>
    </w:p>
    <w:p>
      <w:pPr>
        <w:widowControl/>
        <w:spacing w:line="276" w:lineRule="auto" w:after="100"/>
        <w:ind w:left="504" w:hanging="504"/>
      </w:pPr>
      <w:r>
        <w:rPr>
          <w:b/>
        </w:rPr>
        <w:t xml:space="preserve">29. </w:t>
      </w:r>
      <w:r>
        <w:t xml:space="preserve">Szymanski testified that he relied on Apex’s Teamcenter assurances, did not independently verify them, and had no reason to doubt Apex’s representation that it was an expert; he was not an expert in Teamcenter APIs. </w:t>
      </w:r>
      <w:r>
        <w:rPr>
          <w:i/>
        </w:rPr>
        <w:t>Szymanski Dep. 15:1–17:12.</w:t>
      </w:r>
    </w:p>
    <w:p>
      <w:pPr>
        <w:widowControl/>
        <w:spacing w:line="276" w:lineRule="auto" w:after="100"/>
        <w:ind w:left="504" w:hanging="504"/>
      </w:pPr>
      <w:r>
        <w:rPr>
          <w:b/>
        </w:rPr>
        <w:t xml:space="preserve">30. </w:t>
      </w:r>
      <w:r>
        <w:t xml:space="preserve">In January 2022, Apex’s board minutes identified a need to close at least $2.5 million in new contracts by Q1 to meet lender covenants; Kresch testified Ridgeline was the largest pending opportunity at the time. </w:t>
      </w:r>
      <w:r>
        <w:rPr>
          <w:i/>
        </w:rPr>
        <w:t>Kresch Dep. 37:1–39:8; Bellingham Dep. 42:1–43:17.</w:t>
      </w:r>
    </w:p>
    <w:p>
      <w:pPr>
        <w:pStyle w:val="Heading1"/>
        <w:keepNext/>
      </w:pPr>
      <w:r>
        <w:t>C. Apex’s performance, notice, and termination</w:t>
      </w:r>
    </w:p>
    <w:p>
      <w:pPr>
        <w:widowControl/>
        <w:spacing w:line="276" w:lineRule="auto" w:after="100"/>
        <w:ind w:left="504" w:hanging="504"/>
      </w:pPr>
      <w:r>
        <w:rPr>
          <w:b/>
        </w:rPr>
        <w:t xml:space="preserve">31. </w:t>
      </w:r>
      <w:r>
        <w:t xml:space="preserve">Phase 1 was signed off on October 3, 2022, approximately eleven weeks after the July 15 deadline, and the Teamcenter design remained incomplete. </w:t>
      </w:r>
      <w:r>
        <w:rPr>
          <w:i/>
        </w:rPr>
        <w:t>Ostroff Dep. 58:1–8; Szymanski Dep. 27:1–29:3; Email Compilation, Communication 3, Bates RMC-00008231.</w:t>
      </w:r>
    </w:p>
    <w:p>
      <w:pPr>
        <w:widowControl/>
        <w:spacing w:line="276" w:lineRule="auto" w:after="100"/>
        <w:ind w:left="504" w:hanging="504"/>
      </w:pPr>
      <w:r>
        <w:rPr>
          <w:b/>
        </w:rPr>
        <w:t xml:space="preserve">32. </w:t>
      </w:r>
      <w:r>
        <w:t xml:space="preserve">Szymanski’s October 3 email authorized the Phase 1 payment to keep the project moving and expressly reserved Ridgeline’s rights concerning delay and the incomplete Teamcenter design. </w:t>
      </w:r>
      <w:r>
        <w:rPr>
          <w:i/>
        </w:rPr>
        <w:t>Email Compilation, Communication 3, Bates RMC-00008231; Szymanski Dep. 27:1–29:3.</w:t>
      </w:r>
    </w:p>
    <w:p>
      <w:pPr>
        <w:widowControl/>
        <w:spacing w:line="276" w:lineRule="auto" w:after="100"/>
        <w:ind w:left="504" w:hanging="504"/>
      </w:pPr>
      <w:r>
        <w:rPr>
          <w:b/>
        </w:rPr>
        <w:t xml:space="preserve">33. </w:t>
      </w:r>
      <w:r>
        <w:t xml:space="preserve">Ostroff testified that the Teamcenter integration design was the primary cause of the Phase 1 delay, Ridgeline’s requirements were standard, and Ridgeline’s IT team was responsive. </w:t>
      </w:r>
      <w:r>
        <w:rPr>
          <w:i/>
        </w:rPr>
        <w:t>Ostroff Dep. 58:1–60:10.</w:t>
      </w:r>
    </w:p>
    <w:p>
      <w:pPr>
        <w:widowControl/>
        <w:spacing w:line="276" w:lineRule="auto" w:after="100"/>
        <w:ind w:left="504" w:hanging="504"/>
      </w:pPr>
      <w:r>
        <w:rPr>
          <w:b/>
        </w:rPr>
        <w:t xml:space="preserve">34. </w:t>
      </w:r>
      <w:r>
        <w:t xml:space="preserve">On December 19, 2022, Apex requested $680,000 in additional fees and a five-month Go-Live extension to re-architect the Teamcenter integration using middleware. </w:t>
      </w:r>
      <w:r>
        <w:rPr>
          <w:i/>
        </w:rPr>
        <w:t>Email Compilation, Communication 4, Bates APEX-00007493–00007498.</w:t>
      </w:r>
    </w:p>
    <w:p>
      <w:pPr>
        <w:widowControl/>
        <w:spacing w:line="276" w:lineRule="auto" w:after="100"/>
        <w:ind w:left="504" w:hanging="504"/>
      </w:pPr>
      <w:r>
        <w:rPr>
          <w:b/>
        </w:rPr>
        <w:t xml:space="preserve">35. </w:t>
      </w:r>
      <w:r>
        <w:t xml:space="preserve">On January 9, 2023, Ridgeline rejected that change request, explaining that Teamcenter was part of the original scope and that Phase 2 remained incomplete with no integration test cycle passed. </w:t>
      </w:r>
      <w:r>
        <w:rPr>
          <w:i/>
        </w:rPr>
        <w:t>Email Compilation, Communication 5, Bates RMC-00010447.</w:t>
      </w:r>
    </w:p>
    <w:p>
      <w:pPr>
        <w:widowControl/>
        <w:spacing w:line="276" w:lineRule="auto" w:after="100"/>
        <w:ind w:left="504" w:hanging="504"/>
      </w:pPr>
      <w:r>
        <w:rPr>
          <w:b/>
        </w:rPr>
        <w:t xml:space="preserve">36. </w:t>
      </w:r>
      <w:r>
        <w:t xml:space="preserve">Kresch acknowledged that the initial Teamcenter approach needed revision and that Apex requested $680,000 from Ridgeline for the re-architecture. </w:t>
      </w:r>
      <w:r>
        <w:rPr>
          <w:i/>
        </w:rPr>
        <w:t>Kresch Dep. 49:1–50:17.</w:t>
      </w:r>
    </w:p>
    <w:p>
      <w:pPr>
        <w:widowControl/>
        <w:spacing w:line="276" w:lineRule="auto" w:after="100"/>
        <w:ind w:left="504" w:hanging="504"/>
      </w:pPr>
      <w:r>
        <w:rPr>
          <w:b/>
        </w:rPr>
        <w:t xml:space="preserve">37. </w:t>
      </w:r>
      <w:r>
        <w:t xml:space="preserve">Apex reassigned Ostroff from the project on January 12, 2023 and replaced him with Dana Cho, who had approximately five months’ tenure, no prior Teamcenter experience, and was still learning AS9100D. </w:t>
      </w:r>
      <w:r>
        <w:rPr>
          <w:i/>
        </w:rPr>
        <w:t>Ostroff Dep. 51:1–52:16; Kresch Dep. 58:1–21.</w:t>
      </w:r>
    </w:p>
    <w:p>
      <w:pPr>
        <w:widowControl/>
        <w:spacing w:line="276" w:lineRule="auto" w:after="100"/>
        <w:ind w:left="504" w:hanging="504"/>
      </w:pPr>
      <w:r>
        <w:rPr>
          <w:b/>
        </w:rPr>
        <w:t xml:space="preserve">38. </w:t>
      </w:r>
      <w:r>
        <w:t xml:space="preserve">As of April 18, 2023, Ridgeline’s Quality Director reported that seven of twelve critical AS9100D traceability requirements failed, including lot tracking, NCR workflows, FAI records, supplier traceability, calibration, process change control, and customer-specific flowdown. </w:t>
      </w:r>
      <w:r>
        <w:rPr>
          <w:i/>
        </w:rPr>
        <w:t>Flores Memo (Apr. 18, 2023), §§ 1–3.</w:t>
      </w:r>
    </w:p>
    <w:p>
      <w:pPr>
        <w:widowControl/>
        <w:spacing w:line="276" w:lineRule="auto" w:after="100"/>
        <w:ind w:left="504" w:hanging="504"/>
      </w:pPr>
      <w:r>
        <w:rPr>
          <w:b/>
        </w:rPr>
        <w:t xml:space="preserve">39. </w:t>
      </w:r>
      <w:r>
        <w:t xml:space="preserve">Flores documented that she raised the AS9100D deficiencies with Apex’s consultant on March 7, March 22, and April 4, 2023, and had received no remediation or credible remediation plan by April 18. </w:t>
      </w:r>
      <w:r>
        <w:rPr>
          <w:i/>
        </w:rPr>
        <w:t>Flores Memo (Apr. 18, 2023), §§ 1, 4.</w:t>
      </w:r>
    </w:p>
    <w:p>
      <w:pPr>
        <w:widowControl/>
        <w:spacing w:line="276" w:lineRule="auto" w:after="100"/>
        <w:ind w:left="504" w:hanging="504"/>
      </w:pPr>
      <w:r>
        <w:rPr>
          <w:b/>
        </w:rPr>
        <w:t xml:space="preserve">40. </w:t>
      </w:r>
      <w:r>
        <w:t xml:space="preserve">On May 1, 2023, Ridgeline gave Apex written notice of material breach under § 8.2 and identified incomplete Phase 2, failed Teamcenter integration, AS9100D deficiencies, and staffing concerns, with a 30-day cure period. </w:t>
      </w:r>
      <w:r>
        <w:rPr>
          <w:i/>
        </w:rPr>
        <w:t>Email Compilation, Communication 7, Bates RMC-00012876.</w:t>
      </w:r>
    </w:p>
    <w:p>
      <w:pPr>
        <w:widowControl/>
        <w:spacing w:line="276" w:lineRule="auto" w:after="100"/>
        <w:ind w:left="504" w:hanging="504"/>
      </w:pPr>
      <w:r>
        <w:rPr>
          <w:b/>
        </w:rPr>
        <w:t xml:space="preserve">41. </w:t>
      </w:r>
      <w:r>
        <w:t xml:space="preserve">On May 15, Apex disputed breach but acknowledged AS9100D items remained in progress and conditioned remediation on Ridgeline accepting a revised scope and $1,200,000 in additional fees; Apex asked to extend the cure period to 60 days. </w:t>
      </w:r>
      <w:r>
        <w:rPr>
          <w:i/>
        </w:rPr>
        <w:t>Email Compilation, Communication 8, Bates APEX-00011234.</w:t>
      </w:r>
    </w:p>
    <w:p>
      <w:pPr>
        <w:widowControl/>
        <w:spacing w:line="276" w:lineRule="auto" w:after="100"/>
        <w:ind w:left="504" w:hanging="504"/>
      </w:pPr>
      <w:r>
        <w:rPr>
          <w:b/>
        </w:rPr>
        <w:t xml:space="preserve">42. </w:t>
      </w:r>
      <w:r>
        <w:t xml:space="preserve">On June 1, 2023, after the 30-day period, Ridgeline terminated the MSA for failure to cure the identified breaches. </w:t>
      </w:r>
      <w:r>
        <w:rPr>
          <w:i/>
        </w:rPr>
        <w:t>Email Compilation, Communication 9, Bates RMC-00013502.</w:t>
      </w:r>
    </w:p>
    <w:p>
      <w:pPr>
        <w:widowControl/>
        <w:spacing w:line="276" w:lineRule="auto" w:after="100"/>
        <w:ind w:left="504" w:hanging="504"/>
      </w:pPr>
      <w:r>
        <w:rPr>
          <w:b/>
        </w:rPr>
        <w:t xml:space="preserve">43. </w:t>
      </w:r>
      <w:r>
        <w:t xml:space="preserve">Apex did not achieve Go-Live by the MSA’s March 31, 2023 target; Ridgeline continued operating on ManuTrack until replacement Go-Live on April 15, 2024. </w:t>
      </w:r>
      <w:r>
        <w:rPr>
          <w:i/>
        </w:rPr>
        <w:t>MSA § 3.4; Szymanski Dep. 54:1–55:16; Varma Expert Report (Jan. 15, 2025), delay-period analysis.</w:t>
      </w:r>
    </w:p>
    <w:p>
      <w:pPr>
        <w:widowControl/>
        <w:spacing w:line="276" w:lineRule="auto" w:after="100"/>
        <w:ind w:left="504" w:hanging="504"/>
      </w:pPr>
      <w:r>
        <w:rPr>
          <w:b/>
        </w:rPr>
        <w:t xml:space="preserve">44. </w:t>
      </w:r>
      <w:r>
        <w:t xml:space="preserve">After termination, Ridgeline retained Caravel for $3,100,000 and separately retained Whitlock for $475,000 to perform the Teamcenter integration; replacement Go-Live occurred April 15, 2024. </w:t>
      </w:r>
      <w:r>
        <w:rPr>
          <w:i/>
        </w:rPr>
        <w:t>Szymanski Dep. 54:1–55:12; Varma Expert Report (Jan. 15, 2025), direct damages analysis.</w:t>
      </w:r>
    </w:p>
    <w:p>
      <w:pPr>
        <w:widowControl/>
        <w:spacing w:line="276" w:lineRule="auto" w:after="100"/>
        <w:ind w:left="504" w:hanging="504"/>
      </w:pPr>
      <w:r>
        <w:rPr>
          <w:b/>
        </w:rPr>
        <w:t xml:space="preserve">45. </w:t>
      </w:r>
      <w:r>
        <w:t xml:space="preserve">Ridgeline paid Apex $1,282,500: $570,000 at signing and $712,500 at Phase 1; Apex claims the $1,567,500 Phase 2, UAT, and Go-Live installments remain unpaid. </w:t>
      </w:r>
      <w:r>
        <w:rPr>
          <w:i/>
        </w:rPr>
        <w:t>Varma Expert Report (Jan. 15, 2025), direct damages analysis; Email Compilation, Communication 8, Bates APEX-00011234.</w:t>
      </w:r>
    </w:p>
    <w:p>
      <w:pPr>
        <w:widowControl/>
        <w:spacing w:line="276" w:lineRule="auto" w:after="100"/>
        <w:ind w:left="504" w:hanging="504"/>
      </w:pPr>
      <w:r>
        <w:rPr>
          <w:b/>
        </w:rPr>
        <w:t xml:space="preserve">46. </w:t>
      </w:r>
      <w:r>
        <w:t xml:space="preserve">No Phase 2 sign-off, UAT sign-off, or Go-Live confirmation was issued under the MSA before termination. </w:t>
      </w:r>
      <w:r>
        <w:rPr>
          <w:i/>
        </w:rPr>
        <w:t>MSA §§ 3.3–3.4, 4.2(c)–(e), 4.4; Email Compilation, Communications 7–9; Szymanski Dep. 46:1–47:13, 54:1–55:12.</w:t>
      </w:r>
    </w:p>
    <w:p>
      <w:pPr>
        <w:pStyle w:val="Heading1"/>
        <w:keepNext/>
      </w:pPr>
      <w:r>
        <w:t>D. Technical and damages evidence</w:t>
      </w:r>
    </w:p>
    <w:p>
      <w:pPr>
        <w:widowControl/>
        <w:spacing w:line="276" w:lineRule="auto" w:after="100"/>
        <w:ind w:left="504" w:hanging="504"/>
      </w:pPr>
      <w:r>
        <w:rPr>
          <w:b/>
        </w:rPr>
        <w:t xml:space="preserve">47. </w:t>
      </w:r>
      <w:r>
        <w:t xml:space="preserve">Ridgeline’s technical expert, Marcus Tran, opined that Apex’s Teamcenter design used a deprecated, unsupported direct-database approach and contained fundamental errors in Teamcenter’s data model. </w:t>
      </w:r>
      <w:r>
        <w:rPr>
          <w:i/>
        </w:rPr>
        <w:t>Tran Report (Jan. 15, 2025), Teamcenter integration analysis; Tran Report (Jan. 15, 2025), Teamcenter integration opinion.</w:t>
      </w:r>
    </w:p>
    <w:p>
      <w:pPr>
        <w:widowControl/>
        <w:spacing w:line="276" w:lineRule="auto" w:after="100"/>
        <w:ind w:left="504" w:hanging="504"/>
      </w:pPr>
      <w:r>
        <w:rPr>
          <w:b/>
        </w:rPr>
        <w:t xml:space="preserve">48. </w:t>
      </w:r>
      <w:r>
        <w:t xml:space="preserve">Tran opined that the AS9100D deficiencies reflected fundamental configuration failures, not minor bugs, and that the services fell below the MSA’s professional-workmanship standard. </w:t>
      </w:r>
      <w:r>
        <w:rPr>
          <w:i/>
        </w:rPr>
        <w:t>Tran Report (Jan. 15, 2025), AS9100D and standard-of-care analyses; Tran Report (Jan. 15, 2025), AS9100D and standard-of-care opinions.</w:t>
      </w:r>
    </w:p>
    <w:p>
      <w:pPr>
        <w:widowControl/>
        <w:spacing w:line="276" w:lineRule="auto" w:after="100"/>
        <w:ind w:left="504" w:hanging="504"/>
      </w:pPr>
      <w:r>
        <w:rPr>
          <w:b/>
        </w:rPr>
        <w:t xml:space="preserve">49. </w:t>
      </w:r>
      <w:r>
        <w:t xml:space="preserve">Dr. Varma calculated $2,007,500 in direct damages, comprising $1,282,500 in wasted Apex fees and a $725,000 replacement-cost differential. </w:t>
      </w:r>
      <w:r>
        <w:rPr>
          <w:i/>
        </w:rPr>
        <w:t>Varma Expert Report (Jan. 15, 2025), direct damages analysis.</w:t>
      </w:r>
    </w:p>
    <w:p>
      <w:pPr>
        <w:widowControl/>
        <w:spacing w:line="276" w:lineRule="auto" w:after="100"/>
        <w:ind w:left="504" w:hanging="504"/>
      </w:pPr>
      <w:r>
        <w:rPr>
          <w:b/>
        </w:rPr>
        <w:t xml:space="preserve">50. </w:t>
      </w:r>
      <w:r>
        <w:t xml:space="preserve">Dr. Varma separately calculated $1,840,000 in production-inefficiency costs and $690,000 in one year of Aerocore lost profits; her total damages model is $4,537,500 before any contractual cap. </w:t>
      </w:r>
      <w:r>
        <w:rPr>
          <w:i/>
        </w:rPr>
        <w:t>Varma Expert Report (Jan. 15, 2025), consequential damages and damages summary.</w:t>
      </w:r>
    </w:p>
    <w:p>
      <w:pPr>
        <w:widowControl/>
        <w:spacing w:line="276" w:lineRule="auto" w:after="100"/>
        <w:ind w:left="504" w:hanging="504"/>
      </w:pPr>
      <w:r>
        <w:rPr>
          <w:b/>
        </w:rPr>
        <w:t xml:space="preserve">51. </w:t>
      </w:r>
      <w:r>
        <w:t xml:space="preserve">Apex’s damages expert, Dr. Anand, proposed $400,000 in fee disgorgement and disputed the wasted-fees, replacement-cost, and consequential-damages calculations. </w:t>
      </w:r>
      <w:r>
        <w:rPr>
          <w:i/>
        </w:rPr>
        <w:t>Anand Report (Feb. 28, 2025), damages analysis; Anand Report (Feb. 28, 2025), damages opinions.</w:t>
      </w:r>
    </w:p>
    <w:p>
      <w:pPr>
        <w:pStyle w:val="Heading1"/>
        <w:keepNext/>
      </w:pPr>
      <w:r>
        <w:t>Respectfully submitted</w:t>
      </w:r>
    </w:p>
    <w:p>
      <w:pPr>
        <w:spacing w:line="240" w:lineRule="auto"/>
      </w:pPr>
      <w:r>
        <w:t>HOLLISTER, VANCE &amp; TRASK LLP</w:t>
        <w:br/>
        <w:br/>
        <w:t>/s/ Catherine “Kate” Hollister</w:t>
        <w:br/>
        <w:t>Catherine “Kate” Hollister, Esq.</w:t>
        <w:br/>
        <w:t>Brian Delacroix, Esq.</w:t>
        <w:br/>
        <w:t>610 Grant Street, Suite 3200</w:t>
        <w:br/>
        <w:t>Pittsburgh, PA 15219</w:t>
        <w:br/>
        <w:t>Counsel for Plaintiff Ridgeline Manufacturing Corp.</w:t>
      </w:r>
    </w:p>
    <w:sectPr w:rsidR="00FC693F" w:rsidRPr="0006063C" w:rsidSect="00034616">
      <w:footerReference w:type="default" r:id="rId9"/>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4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40" w:line="24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240"/>
      <w:contextualSpacing/>
      <w:jc w:val="center"/>
    </w:pPr>
    <w:rPr>
      <w:rFonts w:asciiTheme="majorHAnsi" w:eastAsiaTheme="majorEastAsia" w:hAnsiTheme="majorHAnsi" w:cstheme="majorBidi" w:ascii="Times New Roman" w:hAnsi="Times New Roman" w:eastAsia="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