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b/>
          <w:sz w:val="24"/>
        </w:rPr>
        <w:t>PRIVILEGED &amp; CONFIDENTIAL — ATTORNEY-CLIENT COMMUNICATION</w:t>
        <w:br/>
        <w:t>ATTORNEY WORK PRODUCT</w:t>
      </w:r>
    </w:p>
    <w:p>
      <w:pPr>
        <w:spacing w:before="240" w:line="240" w:lineRule="auto"/>
        <w:jc w:val="center"/>
      </w:pPr>
      <w:r>
        <w:rPr>
          <w:b/>
          <w:sz w:val="28"/>
        </w:rPr>
        <w:t>STONEBRIDGE &amp; CALLOWAY LLP</w:t>
      </w:r>
    </w:p>
    <w:p>
      <w:pPr>
        <w:spacing w:line="240" w:lineRule="auto"/>
        <w:jc w:val="center"/>
      </w:pPr>
      <w:r>
        <w:t>INTERNAL MEMORANDUM — DRAFT MOTION PACKAGE</w:t>
      </w:r>
    </w:p>
    <w:p>
      <w:pPr>
        <w:spacing w:before="80" w:line="240" w:lineRule="auto"/>
      </w:pPr>
      <w:r>
        <w:rPr>
          <w:b/>
        </w:rPr>
        <w:t xml:space="preserve">TO: </w:t>
      </w:r>
      <w:r>
        <w:t>Margaret “Meg” Calloway, Lead Partner; David Arsenault, Senior Associate</w:t>
      </w:r>
    </w:p>
    <w:p>
      <w:pPr>
        <w:spacing w:before="80" w:line="240" w:lineRule="auto"/>
      </w:pPr>
      <w:r>
        <w:rPr>
          <w:b/>
        </w:rPr>
        <w:t xml:space="preserve">FROM: </w:t>
      </w:r>
      <w:r>
        <w:t>Litigation Research Group</w:t>
      </w:r>
    </w:p>
    <w:p>
      <w:pPr>
        <w:spacing w:before="80" w:line="240" w:lineRule="auto"/>
      </w:pPr>
      <w:r>
        <w:rPr>
          <w:b/>
        </w:rPr>
        <w:t xml:space="preserve">DATE: </w:t>
      </w:r>
      <w:r>
        <w:t>January 12, 2024</w:t>
      </w:r>
    </w:p>
    <w:p>
      <w:pPr>
        <w:spacing w:before="80" w:line="240" w:lineRule="auto"/>
      </w:pPr>
      <w:r>
        <w:rPr>
          <w:b/>
        </w:rPr>
        <w:t xml:space="preserve">RE: </w:t>
      </w:r>
      <w:r>
        <w:t>Threshold jurisdiction, merits risks, and filing recommendations — Arcadia Health Systems, LLC v. Meridian Cloud Solutions, Inc., No. 1:23-cv-00847-CMA</w:t>
      </w:r>
    </w:p>
    <w:p>
      <w:pPr>
        <w:pStyle w:val="Heading1"/>
        <w:keepNext/>
      </w:pPr>
      <w:r>
        <w:t>EXECUTIVE RECOMMENDATION: DO NOT FILE THE MERITS MOTION YET</w:t>
      </w:r>
    </w:p>
    <w:p>
      <w:pPr>
        <w:spacing w:line="480" w:lineRule="auto" w:after="0"/>
      </w:pPr>
      <w:r>
        <w:t>The record presents a facial and likely dispositive diversity defect. The FAC itself identifies Apex Medical Ventures, LP as an Arcadia member and a Delaware corporation as one of Apex’s partners. Arcadia therefore has Delaware citizenship; Meridian is a Delaware corporation. Complete diversity is absent on the pleaded citizenship chain. The Court must address subject-matter jurisdiction before merits and, if confirmed, remand the removed case under 28 U.S.C. § 1447(c). The Austin forum-selection clause does not cure the defect. Recommend filing a carefully supported jurisdictional notice/motion to remand or requesting that the Court determine jurisdiction sua sponte before any merits decision.</w:t>
      </w:r>
    </w:p>
    <w:p>
      <w:pPr>
        <w:spacing w:line="480" w:lineRule="auto" w:after="0"/>
      </w:pPr>
      <w:r>
        <w:t>The motion-to-dismiss draft is therefore conditional, not filing-ready. There are also material merits weaknesses in any request to dismiss every count: Count I pleads breaches of express software, implementation, and support duties; Arcadia’s first written performance complaint was within the 90-day warranty period; Texas fraudulent-inducement law is not categorically displaced by the economic-loss rule; and the unjust-enrichment count is expressly pleaded in the alternative. If jurisdiction is somehow sustained, a targeted partial motion is more credible than an all-count motion.</w:t>
      </w:r>
    </w:p>
    <w:p>
      <w:pPr>
        <w:pStyle w:val="Heading1"/>
        <w:keepNext/>
      </w:pPr>
      <w:r>
        <w:t>1. THRESHOLD DIVERSITY PROBLEM</w:t>
      </w:r>
    </w:p>
    <w:p>
      <w:pPr>
        <w:spacing w:line="480" w:lineRule="auto" w:after="0"/>
      </w:pPr>
      <w:r>
        <w:t>The FAC alleges: (i) Arcadia’s members include Okonkwo (Texas), Schreiber (Texas), and Apex Medical Ventures, LP; (ii) Apex’s partners include Apex Medical Ventures GP, Inc., a Delaware corporation; and (iii) Meridian is incorporated in Delaware with its principal place of business in Texas. FAC ¶¶ 7–9. The operating-agreement excerpts in Arcadia’s initial disclosure independently confirm Apex LP’s membership. Under Harvey v. Grey Wolf Drilling Co., 542 F.3d 1077, 1080 (5th Cir. 2008), an LLC takes the citizenship of every member. Under Carden v. Arkoma Associates, 494 U.S. 185, 195–96 (1990), an LP takes the citizenship of its partners. Therefore Arcadia is a Delaware citizen through Apex LP’s Delaware corporate partner. Meridian is a Delaware citizen under 28 U.S.C. § 1332(c)(1). The overlap alone defeats complete diversity; trust citizenship need not be resolved to identify the Delaware overlap. The trust’s citizenship should nevertheless be verified because its trustee/structure—not simply its beneficiary’s domicile—may control under the applicable trust-citizenship rule.</w:t>
      </w:r>
    </w:p>
    <w:p>
      <w:pPr>
        <w:spacing w:line="480" w:lineRule="auto" w:after="0"/>
      </w:pPr>
      <w:r>
        <w:t>The Notice of Removal incorrectly alleges that Arcadia is a Texas citizen based on its formation/principal office and then treats Meridian’s Delaware citizenship as the only relevant citizenship. LLC citizenship is determined by every member, not the LLC’s state of formation or headquarters. Removal and subsequent transfer to Austin do not create jurisdiction. If the complete diversity defect is confirmed, the federal court must remand; it cannot dismiss the state-law claims on the merits. See 28 U.S.C. § 1447(c); Arbaugh v. Y &amp; H Corp., 546 U.S. 500, 514 (2006). Obtain the complete Apex partnership agreement and trust information, but the pleaded Delaware corporate partner already appears sufficient.</w:t>
      </w:r>
    </w:p>
    <w:p>
      <w:pPr>
        <w:pStyle w:val="Heading1"/>
        <w:keepNext/>
      </w:pPr>
      <w:r>
        <w:t>2. PROCEDURAL REQUIREMENTS AND DRAFT STATUS</w:t>
      </w:r>
    </w:p>
    <w:p>
      <w:pPr>
        <w:pStyle w:val="ListBullet"/>
        <w:spacing w:line="480" w:lineRule="auto" w:after="0"/>
        <w:ind w:left="504" w:hanging="259"/>
      </w:pPr>
      <w:r>
        <w:t>Post-answer vehicle: Meridian preserved failure to state a claim in the Answer. The general Standing Order § 3.4 permits a preserved post-answer Rule 12(b)(6) motion, but the case-specific Scheduling Order says the Court will treat it as a Rule 12(c) motion. Caption and brief accordingly describe Rule 12(b)(6), alternatively Rule 12(c), and explain the same standard. Rule 12(h)(2) also preserves the defense for Rule 12(c).</w:t>
      </w:r>
    </w:p>
    <w:p>
      <w:pPr>
        <w:pStyle w:val="ListBullet"/>
        <w:spacing w:line="480" w:lineRule="auto" w:after="0"/>
        <w:ind w:left="504" w:hanging="259"/>
      </w:pPr>
      <w:r>
        <w:t>Deadline: dispositive motions are due January 15, 2024. If filed that day, the response is due February 5, 2024 under the case Scheduling Order (21 days); the reply is due 14 days after the response. The Court’s case-specific page limits are 25 pages for opening and response briefs and 10 pages for reply; use that order over the general Standing Order’s reply limit.</w:t>
      </w:r>
    </w:p>
    <w:p>
      <w:pPr>
        <w:pStyle w:val="ListBullet"/>
        <w:spacing w:line="480" w:lineRule="auto" w:after="0"/>
        <w:ind w:left="504" w:hanging="259"/>
      </w:pPr>
      <w:r>
        <w:t>Conference certificate: Judge Alvarez’s Standing Order § 3.1 requires a good-faith conference for dispositive motions and requires a separate certificate filed concurrently. No conferral facts were supplied and the draft does not fabricate them. Complete the conference, prepare a separate certificate, and file it with the motion if the motion proceeds.</w:t>
      </w:r>
    </w:p>
    <w:p>
      <w:pPr>
        <w:pStyle w:val="ListBullet"/>
        <w:spacing w:line="480" w:lineRule="auto" w:after="0"/>
        <w:ind w:left="504" w:hanging="259"/>
      </w:pPr>
      <w:r>
        <w:t>Proposed order: the draft includes a docket-number placeholder. Insert the docket number within one business day after filing, as Standing Order § 3.5 requires. Enter it only if the Court first determines that subject-matter jurisdiction exists; if not, the merits order is not entered and the action should be remanded.</w:t>
      </w:r>
    </w:p>
    <w:p>
      <w:pPr>
        <w:pStyle w:val="ListBullet"/>
        <w:spacing w:line="480" w:lineRule="auto" w:after="0"/>
        <w:ind w:left="504" w:hanging="259"/>
      </w:pPr>
      <w:r>
        <w:t>Amendment deadline: December 15, 2023. Any leave to amend after that date requires Rule 16(b)(4) good cause as well as Rule 15(a)(2). The motion should not promise an unrestricted opportunity to amend.</w:t>
      </w:r>
    </w:p>
    <w:p>
      <w:pPr>
        <w:pStyle w:val="Heading1"/>
        <w:keepNext/>
      </w:pPr>
      <w:r>
        <w:t>3. MERITS—WHAT IS STRONG, WHAT IS NOT</w:t>
      </w:r>
    </w:p>
    <w:p>
      <w:pPr>
        <w:pStyle w:val="Heading2"/>
        <w:keepNext/>
      </w:pPr>
      <w:r>
        <w:t>A. DTPA: strongest merits ground; correct the asset-threshold issue.</w:t>
      </w:r>
    </w:p>
    <w:p>
      <w:pPr>
        <w:spacing w:line="480" w:lineRule="auto" w:after="0"/>
      </w:pPr>
      <w:r>
        <w:t>Section 17.49(f) excludes causes of action arising from a transaction/project involving more than $500,000 in total consumer consideration, except a claim involving a consumer’s residence. The MSLSA is $14.7 million; the Change Orders total $2.35 million. The transaction does not involve Arcadia’s residence. Arcadia’s pre-suit response cites its $23.8 million asset figure and argues that the exemption requires both &gt;$500,000 consideration and $25 million assets. That asset test is not part of §17.49(f)’s &gt;$500,000 exemption; it appears in a different large-business exemption provision. Do not repeat the Answer/research memo’s conflation of the consideration and asset tests. The DTPA claim is the cleanest merits target, subject to confirming no statutory exception modifies applicability to the asserted claims.</w:t>
      </w:r>
    </w:p>
    <w:p>
      <w:pPr>
        <w:pStyle w:val="Heading2"/>
        <w:keepNext/>
      </w:pPr>
      <w:r>
        <w:t>B. Contract: do not overstate deemed acceptance or warranty expiration.</w:t>
      </w:r>
    </w:p>
    <w:p>
      <w:pPr>
        <w:spacing w:line="480" w:lineRule="auto" w:after="0"/>
      </w:pPr>
      <w:r>
        <w:t>The FAC’s 137-day delay allegation is materially qualified by CO-001, which says Arcadia requested four additional systems outside original scope, supersedes the September 1 target, and requires a mutually agreed written revised schedule. SOW-1 §3.5 adjusts milestones for Arcadia delays. SOW-1 §3.2 and CO-004 clearly allocate migration execution/data integrity to Arcadia and Linden Park; CO-004 specifically attributes the migration errors to Linden Park. CO-001 through CO-003 also document mutually executed, client-requested additional scope/fees. These provisions support dismissal/narrowing of (i) Meridian-responsibility-for-migration theories, (ii) treating signed Change Order amounts as breach damages merely because they were additional, and (iii) breach of the superseded September 1 target absent an alleged breach of a revised schedule.</w:t>
      </w:r>
    </w:p>
    <w:p>
      <w:pPr>
        <w:spacing w:line="480" w:lineRule="auto" w:after="0"/>
      </w:pPr>
      <w:r>
        <w:t>But the whole contract claim likely survives Rule 12. The MSLSA includes enforceable duties to perform implementation services professionally, build in-scope API connectors, provide maintenance/support, and warrant software conformance to documentation. The FAC alleges performance problems in those areas, including latency, report errors, API disruptions, and inadequate support. The acceptance clause is module/deliverable-specific and keyed to a Deployment Notice; the FAC does not plead all facts necessary to conclusively establish deemed acceptance of every relevant deliverable. More importantly, §9.1’s warranty period runs 90 days from January 15, 2023, to approximately April 15, 2023. The pleaded March 8 written email is within that period. The Answer’s statement that it came 22 days after the 30-day acceptance period does not make it outside the separate 90-day warranty. Do not state otherwise.</w:t>
      </w:r>
    </w:p>
    <w:p>
      <w:pPr>
        <w:spacing w:line="480" w:lineRule="auto" w:after="0"/>
      </w:pPr>
      <w:r>
        <w:t>The contract provides a strong damages-limitation argument: §8.2 expressly excludes lost profits, goodwill, and punitive/exemplary damages; §8.1 applies regardless of form of action; §§5.3/9.1 provide limited remedies. But §8.4 exempts willful misconduct/gross negligence losses, and the cap amount depends on the event date and preceding 12-month fees. The full $14.7 million refund theory is not the contractual warranty remedy (which is a pro-rata refund of prepaid license fees after notice and failure to cure); nevertheless, a residual direct-damages contract claim may remain. Use limitation arguments for narrowing damages, not as a reliable route to dismissal of Count I.</w:t>
      </w:r>
    </w:p>
    <w:p>
      <w:pPr>
        <w:pStyle w:val="Heading2"/>
        <w:keepNext/>
      </w:pPr>
      <w:r>
        <w:t>C. Fraud and negligent misrepresentation: real defenses, but not cleanly dismissible as a group.</w:t>
      </w:r>
    </w:p>
    <w:p>
      <w:pPr>
        <w:spacing w:line="480" w:lineRule="auto" w:after="0"/>
      </w:pPr>
      <w:r>
        <w:t>The FAC is more specific than a generic fraud pleading: it identifies the October 12 and November 18 presentations, alleges a specific integration quote, and identifies a 30–40% metric. Rule 9(b) weaknesses remain as to group attribution, omission specifics, falsity at the time of sale, and scienter (mostly “on information and belief” and inferred from later failures). “Industry-leading” is puffery; “typically see 30–40%” and integration claims need analysis in context. The proposal/deck qualify outcomes and integrations; the executed MSLSA §12.1 contains both an integration provision and an unusually explicit mutual non-reliance acknowledgment, with a counsel acknowledgment. Under Schlumberger and Forest Oil, this presents a serious justifiable-reliance defense; distinguish Italian Cowboy, which rejected reliance on a generic merger clause alone.</w:t>
      </w:r>
    </w:p>
    <w:p>
      <w:pPr>
        <w:spacing w:line="480" w:lineRule="auto" w:after="0"/>
      </w:pPr>
      <w:r>
        <w:t>Do not rely on the research memo’s categorical economic-loss theory. Texas law allows an independent fraudulent-inducement claim despite purely economic loss. Formosa Plastics Corp. USA v. Presidio Eng’rs &amp; Contractors, Inc., 960 S.W.2d 41, 46–47 (Tex. 1998). The tort choice-of-law clause covers the Agreement, and Texas likely governs presale torts under the contacts alleged; Delaware law may be argued only as an alternative. Negligent misrepresentation is also not automatically barred: Arcadia pleads precontract statements and substantial reliance expenditures, which may qualify as out-of-pocket losses. The stronger motion grounds are the specific non-reliance language, failure to plead particularized contemporaneous falsity/scienter, and damages limitations—not a categorical rule that all tort claims between contracting parties are barred.</w:t>
      </w:r>
    </w:p>
    <w:p>
      <w:pPr>
        <w:pStyle w:val="Heading2"/>
        <w:keepNext/>
      </w:pPr>
      <w:r>
        <w:t>D. Unjust enrichment: Rule 8 alternative pleading is a complication.</w:t>
      </w:r>
    </w:p>
    <w:p>
      <w:pPr>
        <w:spacing w:line="480" w:lineRule="auto" w:after="0"/>
      </w:pPr>
      <w:r>
        <w:t>The MSLSA covers the same subject matter, supporting Fortune Production and Excess Underwriters. However, FAC ¶99 expressly pleads restitution in the alternative only if the agreement/provision is unenforceable. Rule 8(d) permits alternative theories. Seek dismissal of Count IV as an independent/parallel restitution claim, but recognize a court may allow it to remain conditionally or dismiss without prejudice to a true rescission/no-contract theory. Avoid stating that alternative pleading itself is categorically impermissible.</w:t>
      </w:r>
    </w:p>
    <w:p>
      <w:pPr>
        <w:pStyle w:val="Heading1"/>
        <w:keepNext/>
      </w:pPr>
      <w:r>
        <w:t>4. ADDITIONAL RECORD AND AUTHORITY CAUTIONS</w:t>
      </w:r>
    </w:p>
    <w:p>
      <w:pPr>
        <w:pStyle w:val="ListBullet"/>
        <w:spacing w:line="480" w:lineRule="auto" w:after="0"/>
        <w:ind w:left="504" w:hanging="259"/>
      </w:pPr>
      <w:r>
        <w:t>Do not use facts from Meridian’s Answer, internal support-ticket summary, internal project-status report, or Arcadia’s internal Schreiber memo as true on a Rule 12 motion. Those are outside the FAC unless independently judicially noticeable or properly incorporated; the Answer’s denials do not defeat the allegations.</w:t>
      </w:r>
    </w:p>
    <w:p>
      <w:pPr>
        <w:pStyle w:val="ListBullet"/>
        <w:spacing w:line="480" w:lineRule="auto" w:after="0"/>
        <w:ind w:left="504" w:hanging="259"/>
      </w:pPr>
      <w:r>
        <w:t>If the motion relies on MSLSA, SOW-1, the four Change Orders, proposal, sales presentation, and damages-summary report, attach/authenticate the complete documents as central documents and cite exact sections/pages. The FAC expressly references but does not attach them. Review for inconsistencies: proposal/deck details do not all match the final MSLSA; SOW API-spec due dates differ across excerpts; the project report/status report contains internal assertions not in the complaint.</w:t>
      </w:r>
    </w:p>
    <w:p>
      <w:pPr>
        <w:pStyle w:val="ListBullet"/>
        <w:spacing w:line="480" w:lineRule="auto" w:after="0"/>
        <w:ind w:left="504" w:hanging="259"/>
      </w:pPr>
      <w:r>
        <w:t>The damages executive summary labels $18.4 million of projected gross revenue as ‘lost profits’ and expressly says it did not deduct 35–40% delivery costs; its reputation calculation produces a $4.2 million midpoint then rounds/adjusts to $5 million. This is useful to challenge damages later, but a Rule 12 dismissal based on expert methodology risks conversion and is better developed at summary judgment/Daubert.</w:t>
      </w:r>
    </w:p>
    <w:p>
      <w:pPr>
        <w:pStyle w:val="ListBullet"/>
        <w:spacing w:line="480" w:lineRule="auto" w:after="0"/>
        <w:ind w:left="504" w:hanging="259"/>
      </w:pPr>
      <w:r>
        <w:t>The research compilation includes questionable/factually inaccurate authority summaries (including the $25 million asset condition attributed to §17.49(f), broad Texas economic-loss statements, and purported software-specific cases). Do not cite cases from that memo without independent validation. The draft uses established Supreme Court, Fifth Circuit, and Texas Supreme Court authorities instead.</w:t>
      </w:r>
    </w:p>
    <w:p>
      <w:pPr>
        <w:pStyle w:val="Heading1"/>
        <w:keepNext/>
      </w:pPr>
      <w:r>
        <w:t>5. RECOMMENDED NEXT STEPS</w:t>
      </w:r>
    </w:p>
    <w:p>
      <w:pPr>
        <w:pStyle w:val="ListNumber"/>
        <w:spacing w:line="259" w:lineRule="auto" w:after="80"/>
      </w:pPr>
      <w:r>
        <w:t>Immediately verify the full citizenship chain (Apex LP agreement; corporate organization/PPB; trust form/trustees), then move for remand or ask the Court to resolve jurisdiction before merits briefing. The pleaded Delaware overlap appears enough without trust details.</w:t>
      </w:r>
    </w:p>
    <w:p>
      <w:pPr>
        <w:pStyle w:val="ListNumber"/>
        <w:spacing w:line="259" w:lineRule="auto" w:after="80"/>
      </w:pPr>
      <w:r>
        <w:t>Hold the all-count merits motion and proposed order. If the Court retains jurisdiction, file a focused motion seeking DTPA dismissal, narrowing of the data-migration/Change-Order/September 1 breach theories, dismissal or conditional treatment of unjust enrichment, and enforcement of damages limitations. Maintain a separate response to the fraud/reliance arguments with accurate Texas law.</w:t>
      </w:r>
    </w:p>
    <w:p>
      <w:pPr>
        <w:pStyle w:val="ListNumber"/>
        <w:spacing w:line="259" w:lineRule="auto" w:after="80"/>
      </w:pPr>
      <w:r>
        <w:t>Before any filing, confer as required; prepare separate certificate; attach operative agreement documents; reconcile the accepted date / warranty dates; remove bracketed text; add the docket number; and stay within the Scheduling Order page limits.</w:t>
      </w:r>
    </w:p>
    <w:p>
      <w:pPr>
        <w:pStyle w:val="ListNumber"/>
        <w:spacing w:line="259" w:lineRule="auto" w:after="80"/>
      </w:pPr>
      <w:r>
        <w:t>If remanded, assess Texas state-court procedures and deadlines before repurposing this federal Rule 12 motion. Texas Rule of Civil Procedure 91a has a short post-service deadline; it may no longer be available. Consider targeted summary judgment and evidentiary challenges after developing the schedule, support-ticket, Linden Park, and damages record.</w:t>
      </w:r>
    </w:p>
    <w:p>
      <w:pPr>
        <w:spacing w:line="480" w:lineRule="auto" w:after="0"/>
      </w:pPr>
      <w:r>
        <w:t>Bottom line: the attached motion and proposed order are working drafts for the requested package, not filing-ready papers. The jurisdiction issue is the immediate threshold priority; the request for dismissal of every count is not supported by the present Rule 12 record.</w:t>
      </w:r>
    </w:p>
    <w:p>
      <w:pPr>
        <w:spacing w:before="200" w:line="240" w:lineRule="auto"/>
      </w:pPr>
      <w:r>
        <w:rPr>
          <w:b/>
        </w:rPr>
        <w:t>PRIVILEGED &amp; CONFIDENTIAL — ATTORNEY-CLIENT COMMUNICATION / ATTORNEY WORK PRODUCT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259" w:lineRule="auto"/>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60" w:after="0" w:line="259" w:lineRule="auto"/>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00" w:after="0" w:line="259" w:lineRule="auto"/>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