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b/>
          <w:sz w:val="24"/>
        </w:rPr>
        <w:t>UNITED STATES DISTRICT COURT</w:t>
      </w:r>
    </w:p>
    <w:p>
      <w:pPr>
        <w:spacing w:line="240" w:lineRule="auto" w:after="0"/>
        <w:jc w:val="center"/>
      </w:pPr>
      <w:r>
        <w:rPr>
          <w:rFonts w:ascii="Times New Roman" w:hAnsi="Times New Roman"/>
          <w:b/>
          <w:sz w:val="24"/>
        </w:rPr>
        <w:t>WESTERN DISTRICT OF TEXAS</w:t>
      </w:r>
    </w:p>
    <w:p>
      <w:pPr>
        <w:spacing w:line="240" w:lineRule="auto" w:after="0"/>
        <w:jc w:val="center"/>
      </w:pPr>
      <w:r>
        <w:rPr>
          <w:rFonts w:ascii="Times New Roman" w:hAnsi="Times New Roman"/>
          <w:b/>
          <w:sz w:val="24"/>
        </w:rPr>
        <w:t>AUSTIN DIVISION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328"/>
        <w:gridCol w:w="4032"/>
      </w:tblGrid>
      <w:tr>
        <w:tc>
          <w:tcPr>
            <w:tcW w:type="dxa" w:w="5328"/>
            <w:tcMar>
              <w:top w:w="150" w:type="dxa"/>
              <w:start w:w="100" w:type="dxa"/>
              <w:bottom w:w="150" w:type="dxa"/>
              <w:end w:w="100" w:type="dxa"/>
            </w:tcMar>
            <w:vAlign w:val="center"/>
          </w:tcPr>
          <w:p>
            <w:pPr>
              <w:spacing w:line="240" w:lineRule="auto"/>
            </w:pPr>
            <w:r>
              <w:rPr>
                <w:b/>
              </w:rPr>
              <w:t>ARCADIA HEALTH SYSTEMS, LLC,</w:t>
              <w:br/>
            </w:r>
            <w:r>
              <w:t xml:space="preserve">       Plaintiff,</w:t>
              <w:br/>
              <w:br/>
              <w:t>v.</w:t>
              <w:br/>
              <w:br/>
            </w:r>
            <w:r>
              <w:rPr>
                <w:b/>
              </w:rPr>
              <w:t>MERIDIAN CLOUD SOLUTIONS, INC.,</w:t>
              <w:br/>
            </w:r>
            <w:r>
              <w:t xml:space="preserve">       Defendant.</w:t>
            </w:r>
          </w:p>
        </w:tc>
        <w:tc>
          <w:tcPr>
            <w:tcW w:type="dxa" w:w="4032"/>
            <w:tcMar>
              <w:top w:w="150" w:type="dxa"/>
              <w:start w:w="100" w:type="dxa"/>
              <w:bottom w:w="150" w:type="dxa"/>
              <w:end w:w="100" w:type="dxa"/>
            </w:tcMar>
          </w:tcPr>
          <w:p>
            <w:pPr>
              <w:spacing w:line="240" w:lineRule="auto"/>
            </w:pPr>
            <w:r>
              <w:rPr>
                <w:b/>
              </w:rPr>
              <w:t>Civil Action No.</w:t>
              <w:br/>
              <w:t>1:23-cv-00847-CMA</w:t>
            </w:r>
            <w:r>
              <w:br/>
              <w:br/>
              <w:t>The Honorable Catherine M. Alvarez</w:t>
            </w:r>
          </w:p>
        </w:tc>
      </w:tr>
    </w:tbl>
    <w:p/>
    <w:p>
      <w:pPr>
        <w:spacing w:line="240" w:lineRule="auto" w:before="100" w:after="80"/>
        <w:jc w:val="center"/>
      </w:pPr>
      <w:r>
        <w:rPr>
          <w:b/>
          <w:sz w:val="24"/>
        </w:rPr>
        <w:t>DEFENDANT MERIDIAN CLOUD SOLUTIONS, INC.’S MOTION TO DISMISS FIRST AMENDED COMPLAINT UNDER RULE 12(B)(6), OR ALTERNATIVELY RULE 12(C)</w:t>
      </w:r>
    </w:p>
    <w:p>
      <w:pPr>
        <w:spacing w:line="240" w:lineRule="auto" w:after="160"/>
        <w:jc w:val="center"/>
      </w:pPr>
      <w:r>
        <w:rPr>
          <w:i/>
        </w:rPr>
        <w:t>Response due February 5, 2024</w:t>
      </w:r>
    </w:p>
    <w:p>
      <w:pPr>
        <w:spacing w:line="480" w:lineRule="auto" w:after="0"/>
      </w:pPr>
      <w:r>
        <w:t>TO THE HONORABLE UNITED STATES DISTRICT JUDGE:</w:t>
      </w:r>
    </w:p>
    <w:p>
      <w:pPr>
        <w:spacing w:line="480" w:lineRule="auto" w:after="0"/>
      </w:pPr>
      <w:r>
        <w:t>Defendant Meridian Cloud Solutions, Inc. (“Meridian”) moves to dismiss Plaintiff Arcadia Health Systems, LLC’s (“Arcadia”) First Amended Complaint (“FAC”) under Federal Rule of Civil Procedure 12(b)(6), or alternatively Rule 12(c). Meridian expressly preserved failure to state a claim in its Answer. The Court’s case-specific Scheduling Order states that a post-answer motion will be treated as a Rule 12(c) motion; the Court’s Standing Order separately permits a preserved post-answer Rule 12(b)(6) motion. Meridian presents the same pleading-standard analysis under either rule.</w:t>
      </w:r>
    </w:p>
    <w:p>
      <w:pPr>
        <w:spacing w:line="480" w:lineRule="auto" w:after="0"/>
      </w:pPr>
      <w:r>
        <w:t>There is a threshold issue that must precede the merits. The FAC alleges that Arcadia is an LLC whose member includes Apex Medical Ventures, LP, and that Apex’s partners include a Delaware corporation. Meridian is a Delaware corporation. If those allegations are accurate, Arcadia and Meridian share Delaware citizenship and complete diversity is absent. See 28 U.S.C. § 1332(a); 28 U.S.C. § 1447(c). A transfer to Austin under the forum-selection clause cannot supply subject-matter jurisdiction. The Court should resolve that issue first; if jurisdiction is lacking, the proper disposition is remand, not a merits dismissal. Meridian submits the merits arguments below only if the Court determines that it has jurisdiction.</w:t>
      </w:r>
    </w:p>
    <w:p>
      <w:pPr>
        <w:spacing w:line="480" w:lineRule="auto" w:after="0"/>
      </w:pPr>
      <w:r>
        <w:t>If the Court reaches the merits, it should dismiss the DTPA count because the transaction’s consideration exceeds the statute’s $500,000 threshold; dismiss the unjust-enrichment count because an express contract governs the same subject; dismiss the fraud and negligent-misrepresentation counts because the negotiated, express non-reliance provision defeats justifiable reliance and the fraud allegations do not plead contemporaneous falsity and scienter with particularity; and dismiss at least the contract theories contradicted by the SOW and signed Change Orders. At a minimum, the Court should enforce the contractual exclusion of consequential damages and limit the remaining contract claim to remedies available under the agreement.</w:t>
      </w:r>
    </w:p>
    <w:p>
      <w:pPr>
        <w:pStyle w:val="Heading1"/>
        <w:keepNext/>
      </w:pPr>
      <w:r>
        <w:t>I. PROCEDURAL POSTURE AND MATERIALS THE COURT MAY CONSIDER</w:t>
      </w:r>
    </w:p>
    <w:p>
      <w:pPr>
        <w:spacing w:line="480" w:lineRule="auto" w:after="0"/>
      </w:pPr>
      <w:r>
        <w:t>A Rule 12(b)(6) motion tests whether the complaint states a plausible claim; after an answer, Rule 12(c) supplies the procedural vehicle for the same failure-to-state-a-claim defense. The Scheduling Order sets January 15, 2024 as the dispositive-motion deadline, and Meridian’s Answer expressly preserved this defense. (Answer, First Affirmative Defense and reservation of Rule 12 rights.)</w:t>
      </w:r>
    </w:p>
    <w:p>
      <w:pPr>
        <w:spacing w:line="480" w:lineRule="auto" w:after="0"/>
      </w:pPr>
      <w:r>
        <w:t>The Court accepts well-pleaded facts as true, but not legal conclusions, and asks whether those facts plausibly show entitlement to relief. Bell Atl. Corp. v. Twombly, 550 U.S. 544, 555, 570 (2007); Ashcroft v. Iqbal, 556 U.S. 662, 678–79 (2009). The Court may consider a document attached to or incorporated into the complaint, and a document referred to in the complaint and central to the claim, without converting the motion. Collins v. Morgan Stanley Dean Witter, 224 F.3d 496, 498–99 (5th Cir. 2000). The MSLSA, SOW-1, Change Orders, and Meridian’s proposal are repeatedly referenced and central to the pleaded theories. Meridian should submit them as motion exhibits; this draft cites their operative provisions.</w:t>
      </w:r>
    </w:p>
    <w:p>
      <w:pPr>
        <w:pStyle w:val="Heading1"/>
        <w:keepNext/>
      </w:pPr>
      <w:r>
        <w:t>II. THE COURT MUST FIRST CONFIRM SUBJECT-MATTER JURISDICTION</w:t>
      </w:r>
    </w:p>
    <w:p>
      <w:pPr>
        <w:spacing w:line="480" w:lineRule="auto" w:after="0"/>
      </w:pPr>
      <w:r>
        <w:t>Diversity jurisdiction requires complete diversity. An LLC has the citizenship of each of its members, and a limited partnership has the citizenship of each partner. Harvey v. Grey Wolf Drilling Co., 542 F.3d 1077, 1080 (5th Cir. 2008); Carden v. Arkoma Assocs., 494 U.S. 185, 195–96 (1990). A corporation is a citizen of its state of incorporation and the state of its principal place of business. 28 U.S.C. § 1332(c)(1).</w:t>
      </w:r>
    </w:p>
    <w:p>
      <w:pPr>
        <w:spacing w:line="480" w:lineRule="auto" w:after="0"/>
      </w:pPr>
      <w:r>
        <w:t>The FAC identifies Arcadia’s members as Dr. Okonkwo (Texas), Martin Schreiber (Texas), and Apex Medical Ventures, LP. FAC ¶¶ 7–8. It alleges that Apex’s partners include Apex Medical Ventures GP, Inc., a Delaware corporation. Id. ¶ 8. Thus, on the pleaded citizenship chain, Arcadia is a Delaware citizen through its LP member. Meridian is incorporated in Delaware and has its principal place of business in Texas. Id. ¶ 9. The parties therefore share Delaware citizenship (and may also share Texas citizenship, depending on the trust’s citizenship). The Notice of Removal’s treatment of an LLC as a Texas citizen based only on its organization/principal office is not the governing rule. See Harvey, 542 F.3d at 1080.</w:t>
      </w:r>
    </w:p>
    <w:p>
      <w:pPr>
        <w:spacing w:line="480" w:lineRule="auto" w:after="0"/>
      </w:pPr>
      <w:r>
        <w:t>The Court has an independent obligation to examine its jurisdiction. If the member/partner allegations are confirmed, § 1332(a) does not confer jurisdiction and § 1447(c) requires remand to the 73rd District Court, Bexar County. Meridian requests that the Court decide this threshold issue before considering any merits relief.</w:t>
      </w:r>
    </w:p>
    <w:p>
      <w:pPr>
        <w:pStyle w:val="Heading1"/>
        <w:keepNext/>
      </w:pPr>
      <w:r>
        <w:t>III. COUNT V FAILS BECAUSE THE TRANSACTION EXCEEDS THE DTPA’S HIGH-VALUE-TRANSACTION EXEMPTION</w:t>
      </w:r>
    </w:p>
    <w:p>
      <w:pPr>
        <w:spacing w:line="480" w:lineRule="auto" w:after="0"/>
      </w:pPr>
      <w:r>
        <w:t>Texas Business and Commerce Code § 17.49(f) provides that the DTPA does not apply to a cause of action arising from a transaction, project, or related set of transactions involving “total consideration by the consumer of more than $500,000,” except a cause involving a consumer’s residence. Arcadia’s DTPA claim arises from the MSLSA and project. The FAC alleges a $14.7 million base contract and $2.35 million in Change Orders; the MSLSA confirms the $14.7 million base amount. FAC ¶¶ 34, 46–47, 100; MSLSA §§ 6.1–6.2. The transaction is far above the statutory threshold, and it does not involve a consumer residence. Arcadia is an LLC acquiring enterprise software and related services for its business operations.</w:t>
      </w:r>
    </w:p>
    <w:p>
      <w:pPr>
        <w:spacing w:line="480" w:lineRule="auto" w:after="0"/>
      </w:pPr>
      <w:r>
        <w:t>Arcadia’s pre-suit response invokes a $25 million asset threshold. That threshold is not an element of § 17.49(f)’s more-than-$500,000 exemption. The statute’s text makes the consideration threshold dispositive here; Arcadia’s assertion that its assets were $23.8 million does not avoid subsection (f). Nor does the complaint’s consumer-status allegation overcome a transaction exemption that applies even assuming Arcadia is a consumer. Count V should be dismissed with prejudice.</w:t>
      </w:r>
    </w:p>
    <w:p>
      <w:pPr>
        <w:pStyle w:val="Heading1"/>
        <w:keepNext/>
      </w:pPr>
      <w:r>
        <w:t>IV. COUNT IV SEEKS EQUITABLE RECOVERY FOR SUBJECT MATTER GOVERNED BY THE MSLSA</w:t>
      </w:r>
    </w:p>
    <w:p>
      <w:pPr>
        <w:spacing w:line="480" w:lineRule="auto" w:after="0"/>
      </w:pPr>
      <w:r>
        <w:t>The MSLSA expressly governs the software license, implementation, support, training, and data-migration advisory services; SOW-1 allocates project duties; and the four signed Change Orders modify that same project. The FAC seeks return of the same payments made under those writings. Under Texas law, unjust-enrichment/quantum-meruit recovery is unavailable when a valid express contract covers the subject matter. Fortune Prod. Co. v. Conoco, Inc., 52 S.W.3d 671, 684 (Tex. 2000); Excess Underwriters at Lloyd’s v. Frank’s Casing Crew &amp; Rental Tools, Inc., 246 S.W.3d 42, 59 (Tex. 2008). A plaintiff cannot use restitution to undo a risk allocation merely because the contract may limit its damages.</w:t>
      </w:r>
    </w:p>
    <w:p>
      <w:pPr>
        <w:spacing w:line="480" w:lineRule="auto" w:after="0"/>
      </w:pPr>
      <w:r>
        <w:t>Arcadia pleads Count IV “in the alternative” and only “to the extent the MSLSA or any provision thereof is found to be unenforceable.” FAC ¶ 99. Rule 8 permits alternative pleading, but the FAC does not allege that the agreement is void, rescinded, or inapplicable to the payments at issue; it affirmatively sues to enforce it. The Court should dismiss Count IV as a duplicative claim for relief, at least without prejudice to any properly supported alternative restitution theory if Arcadia later establishes that no enforceable contract governs the same subject matter.</w:t>
      </w:r>
    </w:p>
    <w:p>
      <w:pPr>
        <w:pStyle w:val="Heading1"/>
        <w:keepNext/>
      </w:pPr>
      <w:r>
        <w:t>V. COUNTS II AND III DO NOT PLEAD JUSTIFIABLE RELIANCE ON ACTIONABLE PRE-CONTRACT INFORMATION</w:t>
      </w:r>
    </w:p>
    <w:p>
      <w:pPr>
        <w:pStyle w:val="Heading2"/>
        <w:keepNext/>
      </w:pPr>
      <w:r>
        <w:t>A. The contract contains an express, mutual non-reliance acknowledgment—not merely a generic merger clause.</w:t>
      </w:r>
    </w:p>
    <w:p>
      <w:pPr>
        <w:spacing w:line="480" w:lineRule="auto" w:after="0"/>
      </w:pPr>
      <w:r>
        <w:t>Texas law does not treat every merger clause as a bar to fraud. Italian Cowboy Partners, Ltd. v. Prudential Ins. Co. of Am., 341 S.W.3d 323, 333–36 (Tex. 2011). Meridian does not rely on a generic integration clause alone. Section 12.1 also states that each party “has not relied upon any statement, representation, warranty, or agreement” of the other except as expressly set forth in the agreement, and acknowledges that each was represented by counsel and had a full and fair opportunity to negotiate. The clause specifically supersedes proposals, marketing materials, presentations, demonstrations, and pre-effective-date discussions. It is paired with the “as is/as available” disclaimer and a limited, written performance warranty. MSLSA §§ 9.1, 9.4, 12.1.</w:t>
      </w:r>
    </w:p>
    <w:p>
      <w:pPr>
        <w:spacing w:line="480" w:lineRule="auto" w:after="0"/>
      </w:pPr>
      <w:r>
        <w:t>The Fifth Circuit and Texas Supreme Court recognize that a clear, specific non-reliance/disclaimer provision negotiated by sophisticated parties can defeat justifiable reliance. Schlumberger Tech. Corp. v. Swanson, 959 S.W.2d 171, 179–81 (Tex. 1997); Forest Oil Corp. v. McAllen, 268 S.W.3d 51, 60–61 (Tex. 2008). Here, Arcadia pleads it was a commercial healthcare-IT provider, conducted due diligence and engaged outside counsel; the agreement memorializes no reliance on extra-contractual statements. The sales materials and proposal also qualify the relevant statements: the “30–40%” figure describes typical results, says results vary with client environment/data quality/implementation, and is not a guarantee; integration is described as integration with major EHR platforms subject to configuration and accurate specifications. The agreement’s Exhibit A likewise conditions integration on proper configuration and accurate specifications. These writings make reliance on an unqualified, universal performance guarantee implausible.</w:t>
      </w:r>
    </w:p>
    <w:p>
      <w:pPr>
        <w:pStyle w:val="Heading2"/>
        <w:keepNext/>
      </w:pPr>
      <w:r>
        <w:t>B. The fraud count does not plead with particularity why the precise statements were false when made or facts supporting scienter.</w:t>
      </w:r>
    </w:p>
    <w:p>
      <w:pPr>
        <w:spacing w:line="480" w:lineRule="auto" w:after="0"/>
      </w:pPr>
      <w:r>
        <w:t>Rule 9(b) requires the circumstances of fraud to be pleaded with particularity, including the statement, speaker, time, place, and why the statement was false or misleading. Benchmark Elecs., Inc. v. J.M. Huber Corp., 343 F.3d 719, 724 (5th Cir. 2003); Dorsey v. Portfolio Equities, Inc., 540 F.3d 333, 339 (5th Cir. 2008). The FAC gives dates for the October and November presentations, but attributes most statements to an undifferentiated “sales team,” gives no particular basis that the performance metric was false as an aggregate statement when made, and largely infers knowledge from later implementation problems. The omissions theory identifies categories of undisclosed facts but not who knew what, when the information was withheld, or the specific partial statement that made each omission misleading. FAC ¶¶ 28, 30, 56–60, 78–86.</w:t>
      </w:r>
    </w:p>
    <w:p>
      <w:pPr>
        <w:spacing w:line="480" w:lineRule="auto" w:after="0"/>
      </w:pPr>
      <w:r>
        <w:t>“Industry-leading performance” is generalized promotional opinion, not a measurable fact. See Pizza Hut, Inc. v. Papa John’s Int’l, Inc., 227 F.3d 489, 497 (5th Cir. 2000). The “typically see 30–40%” statement is more specific, but the proposal and slide deck describe client-base results and expressly explain that actual results vary; a later poor outcome for Arcadia alone does not plead that the aggregate statement was false when made. The proposal and contract also describe EHR integration as subject to configuration and interface specifications, not an unconditional promise to integrate seamlessly with every EHR.</w:t>
      </w:r>
    </w:p>
    <w:p>
      <w:pPr>
        <w:spacing w:line="480" w:lineRule="auto" w:after="0"/>
      </w:pPr>
      <w:r>
        <w:t>The FAC’s allegations that Meridian “knew or should have known” and acted “recklessly” are conclusions. Its “on information and belief” assertions about other customers and technical limitations are not accompanied by a factual basis that supports contemporaneous knowledge. Post-contract defects, project delay, and a commission incentive do not, without more, plausibly establish that the specific statements were knowingly or recklessly false when uttered. The fraud claim should be dismissed under Rule 9(b) and Twombly/Iqbal.</w:t>
      </w:r>
    </w:p>
    <w:p>
      <w:pPr>
        <w:pStyle w:val="Heading2"/>
        <w:keepNext/>
      </w:pPr>
      <w:r>
        <w:t>C. Count III likewise fails to plead justified reliance, and its damages are limited to reliance loss.</w:t>
      </w:r>
    </w:p>
    <w:p>
      <w:pPr>
        <w:spacing w:line="480" w:lineRule="auto" w:after="0"/>
      </w:pPr>
      <w:r>
        <w:t>Negligent misrepresentation requires justifiable reliance on false information supplied for the plaintiff’s guidance in business. McCamish, Martin, Brown &amp; Loeffler v. F.E. Appling Interests, 991 S.W.2d 787, 791 (Tex. 1999). The express non-reliance acknowledgment and qualification of estimates discussed above defeat the pleaded reliance theory. The FAC also fails to separate specific false information negligently supplied from assertions that Meridian failed to deliver what the contract later required.</w:t>
      </w:r>
    </w:p>
    <w:p>
      <w:pPr>
        <w:spacing w:line="480" w:lineRule="auto" w:after="0"/>
      </w:pPr>
      <w:r>
        <w:t>A negligent-misrepresentation plaintiff may not recover benefit-of-the-bargain damages; the remedy is limited to pecuniary loss caused by reliance. Federal Land Bank Ass’n v. Sloane, 825 S.W.2d 439, 442–43 (Tex. 1991). Count III seeks the full contract value, five-year future profits, and reputational loss, not merely expenditures caused by reliance. At minimum those contract-expectancy and consequential-damage categories should be dismissed. The Court should not, however, treat Texas’s economic-loss rule as a categorical bar to every fraudulent-inducement claim: Formosa Plastics Corp. USA v. Presidio Eng’rs &amp; Contractors, Inc., 960 S.W.2d 41, 46–47 (Tex. 1998), recognizes an independent fraud claim for a knowingly false inducement. Meridian’s argument instead rests on the unusually explicit contractual non-reliance language and the pleading defects identified above.</w:t>
      </w:r>
    </w:p>
    <w:p>
      <w:pPr>
        <w:pStyle w:val="Heading1"/>
        <w:keepNext/>
      </w:pPr>
      <w:r>
        <w:t>VI. COUNT I SHOULD BE NARROWED TO THE CONTRACTUAL OBLIGATIONS MERIDIAN ACTUALLY ASSUMED</w:t>
      </w:r>
    </w:p>
    <w:p>
      <w:pPr>
        <w:spacing w:line="480" w:lineRule="auto" w:after="0"/>
      </w:pPr>
      <w:r>
        <w:t>The MSLSA and SOW-1 are the source of Meridian’s contractual duties. The pleaded contract count cannot impose duties that the signed writings assigned to Arcadia or added only by mutually signed Change Orders. Delaware law governs the agreement under §12.7; the Court should enforce the unambiguous allocation of responsibilities reflected in the writings.</w:t>
      </w:r>
    </w:p>
    <w:p>
      <w:pPr>
        <w:pStyle w:val="Heading2"/>
        <w:keepNext/>
      </w:pPr>
      <w:r>
        <w:t>A. The data-migration theory is foreclosed by the express allocation of responsibility.</w:t>
      </w:r>
    </w:p>
    <w:p>
      <w:pPr>
        <w:spacing w:line="480" w:lineRule="auto" w:after="0"/>
      </w:pPr>
      <w:r>
        <w:t>SOW-1 §3.2 makes Arcadia “solely responsible” for data extraction, transformation, loading, validation, and integrity, and limits Meridian to advisory consulting. It also assigns to Arcadia responsibility for its selected SI Partner. CO-004, signed by both parties, states that the identified data-integrity issues arose from errors in Linden Park’s migration scripts, not a NexusCore defect or Meridian act or omission, and confirms Meridian did not assume migration responsibility. FAC ¶¶ 43, 47(d), 52, 72(d), 100–03; SOW-1 §3.2; CO-004 §§1, 5. The contract count should be dismissed insofar as it seeks to impose liability on Meridian for data corruption or migration errors attributable to Arcadia or Linden Park.</w:t>
      </w:r>
    </w:p>
    <w:p>
      <w:pPr>
        <w:pStyle w:val="Heading2"/>
        <w:keepNext/>
      </w:pPr>
      <w:r>
        <w:t>B. The Change Orders do not establish a breach merely because they added fees.</w:t>
      </w:r>
    </w:p>
    <w:p>
      <w:pPr>
        <w:spacing w:line="480" w:lineRule="auto" w:after="0"/>
      </w:pPr>
      <w:r>
        <w:t>The MSLSA requires signed Change Orders for scope or fee changes. MSLSA §5.4. CO-001 states that four additional systems were not included in the original SOW scope and that Arcadia requested the added connectors; CO-002 states that Arcadia requested the custom dashboard; CO-003 covers additional training beyond SOW-1; and CO-004 addresses Linden Park migration errors. Each was executed by authorized representatives. Those agreements are not, standing alone, breaches of the MSLSA. The allegations that the additional charges themselves were wrongful should be dismissed; Arcadia’s separate theory that a prior sales statement induced a Change Order remains subject to the limits on extra-contractual reliance discussed above.</w:t>
      </w:r>
    </w:p>
    <w:p>
      <w:pPr>
        <w:pStyle w:val="Heading2"/>
        <w:keepNext/>
      </w:pPr>
      <w:r>
        <w:t>C. The September 1, 2022 target date was expressly superseded, and the contract provides schedule adjustments.</w:t>
      </w:r>
    </w:p>
    <w:p>
      <w:pPr>
        <w:spacing w:line="480" w:lineRule="auto" w:after="0"/>
      </w:pPr>
      <w:r>
        <w:t>The FAC alleges a 137-day breach of the original September 1 target. CO-001 expressly says that the original target was “superseded” and that a revised project schedule would be mutually agreed in writing. MSLSA §3.5 also adjusts milestones day-for-day when Arcadia’s failure to perform its responsibilities causes delay. The FAC’s reliance on the superseded date, without identifying a later agreed schedule or alleging a breach of it, does not state a breach based solely on missing September 1. This does not dispose of every implementation-performance theory.</w:t>
      </w:r>
    </w:p>
    <w:p>
      <w:pPr>
        <w:pStyle w:val="Heading2"/>
        <w:keepNext/>
      </w:pPr>
      <w:r>
        <w:t>D. Acceptance and warranty terms narrow remedies but do not support dismissing the entire contract count.</w:t>
      </w:r>
    </w:p>
    <w:p>
      <w:pPr>
        <w:spacing w:line="480" w:lineRule="auto" w:after="0"/>
      </w:pPr>
      <w:r>
        <w:t>Section 5.3 provides for deemed acceptance absent a sufficiently detailed written Nonconformity Notice within 30 days after the applicable Deployment Notice. That provision forecloses an untimely rejection/full-refund theory; it does not erase all post-acceptance warranty and support duties. The limited warranty in §9.1 runs 90 days from Go-Live. The FAC alleges Go-Live on January 15, 2023 and a written email complaint on March 8, 2023—within the 90-day warranty period. A blanket argument that the warranty had already expired on first notice is therefore not supported by the pleadings. The warranty remedy is repair/replacement and, after an uncured notice period, a pro-rata refund of prepaid license fees, not automatic restitution of every fee paid.</w:t>
      </w:r>
    </w:p>
    <w:p>
      <w:pPr>
        <w:spacing w:line="480" w:lineRule="auto" w:after="0"/>
      </w:pPr>
      <w:r>
        <w:t>Sections 8.1–8.3 cap aggregate liability, exclude specified consequential and exemplary damages, and provide exclusive contractual remedies. The §8.2 text expressly identifies lost profits, goodwill, and intangible losses; the cap also applies “regardless of the form of action.” The amount of the §8.1 cap depends on the “event giving rise” and the fees paid/payable in the preceding twelve months; the current pleadings do not establish a single undisputed cap figure. Section 8.4 also excepts certain willful-misconduct/gross-negligence losses. The Court should enforce the text and dismiss barred categories, but reserve the cap calculation and any §8.4 issue if a contract claim remains.</w:t>
      </w:r>
    </w:p>
    <w:p>
      <w:pPr>
        <w:spacing w:line="480" w:lineRule="auto" w:after="0"/>
      </w:pPr>
      <w:r>
        <w:t>Accordingly, dismissal of Count I in its entirety is an aggressive request. The better-supported relief is dismissal of the data-migration, superseded-target-date, and Change-Order-price theories, together with enforcement of contractual damage limits. If the Court concludes the remaining nonconformity/support allegations are adequately pleaded, those allegations should proceed only within the MSLSA’s remedy structure.</w:t>
      </w:r>
    </w:p>
    <w:p>
      <w:pPr>
        <w:pStyle w:val="Heading1"/>
        <w:keepNext/>
      </w:pPr>
      <w:r>
        <w:t>VII. CONCLUSION</w:t>
      </w:r>
    </w:p>
    <w:p>
      <w:pPr>
        <w:spacing w:line="480" w:lineRule="auto" w:after="0"/>
      </w:pPr>
      <w:r>
        <w:t>For the foregoing reasons, Meridian respectfully requests that the Court first determine whether it has subject-matter jurisdiction and, if not, remand under 28 U.S.C. § 1447(c). If jurisdiction exists, Meridian requests dismissal of Counts II through V, dismissal of the contract theories identified above, and enforcement of the MSLSA’s acceptance, warranty, exclusive-remedy, liability-cap, and consequential-damages provisions. In the alternative, Meridian requests dismissal without prejudice where amendment could cure a pleading defect and denial of leave to amend absent the good cause required by the Scheduling Order. Meridian requests oral argument only if the Court believes it would materially assist resolution.</w:t>
      </w:r>
    </w:p>
    <w:p>
      <w:pPr>
        <w:spacing w:line="480" w:lineRule="auto" w:after="0"/>
        <w:jc w:val="left"/>
      </w:pPr>
      <w:r>
        <w:t>Respectfully submitted,</w:t>
      </w:r>
    </w:p>
    <w:p>
      <w:pPr>
        <w:spacing w:line="240" w:lineRule="auto"/>
      </w:pPr>
      <w:r>
        <w:rPr>
          <w:b/>
        </w:rPr>
        <w:t>STONEBRIDGE &amp; CALLOWAY LLP</w:t>
      </w:r>
    </w:p>
    <w:p>
      <w:pPr>
        <w:spacing w:line="240" w:lineRule="auto"/>
      </w:pPr>
      <w:r>
        <w:t>By: /s/ Margaret Calloway</w:t>
      </w:r>
    </w:p>
    <w:p>
      <w:pPr>
        <w:spacing w:line="240" w:lineRule="auto"/>
      </w:pPr>
      <w:r>
        <w:t>Margaret “Meg” Calloway</w:t>
      </w:r>
    </w:p>
    <w:p>
      <w:pPr>
        <w:spacing w:line="240" w:lineRule="auto"/>
      </w:pPr>
      <w:r>
        <w:t>Texas Bar No. 24078153</w:t>
      </w:r>
    </w:p>
    <w:p>
      <w:pPr>
        <w:spacing w:line="240" w:lineRule="auto"/>
      </w:pPr>
      <w:r>
        <w:t>David Arsenault</w:t>
      </w:r>
    </w:p>
    <w:p>
      <w:pPr>
        <w:spacing w:line="240" w:lineRule="auto"/>
      </w:pPr>
      <w:r>
        <w:t>Texas Bar No. 24112490</w:t>
      </w:r>
    </w:p>
    <w:p>
      <w:pPr>
        <w:spacing w:line="240" w:lineRule="auto"/>
      </w:pPr>
      <w:r>
        <w:t>600 Congress Avenue, Suite 2800</w:t>
      </w:r>
    </w:p>
    <w:p>
      <w:pPr>
        <w:spacing w:line="240" w:lineRule="auto"/>
      </w:pPr>
      <w:r>
        <w:t>Austin, Texas 78701</w:t>
      </w:r>
    </w:p>
    <w:p>
      <w:pPr>
        <w:spacing w:line="240" w:lineRule="auto"/>
      </w:pPr>
      <w:r>
        <w:t>Telephone: (512) 555-0140</w:t>
      </w:r>
    </w:p>
    <w:p>
      <w:pPr>
        <w:spacing w:line="240" w:lineRule="auto"/>
      </w:pPr>
      <w:r>
        <w:t>Facsimile: (512) 555-0141</w:t>
      </w:r>
    </w:p>
    <w:p>
      <w:pPr>
        <w:spacing w:line="240" w:lineRule="auto"/>
      </w:pPr>
      <w:r>
        <w:t>mcalloway@stonebridgecalloway.com</w:t>
      </w:r>
    </w:p>
    <w:p>
      <w:pPr>
        <w:spacing w:line="240" w:lineRule="auto"/>
      </w:pPr>
      <w:r>
        <w:t>darsenault@stonebridgecalloway.com</w:t>
      </w:r>
    </w:p>
    <w:p>
      <w:pPr>
        <w:spacing w:line="240" w:lineRule="auto"/>
      </w:pPr>
      <w:r>
        <w:t>Attorneys for Defendant Meridian Cloud Solutions, Inc.</w:t>
      </w:r>
    </w:p>
    <w:p>
      <w:pPr>
        <w:spacing w:line="240" w:lineRule="auto"/>
      </w:pPr>
      <w:r>
        <w:t>Dated: January 15, 2024</w:t>
      </w:r>
    </w:p>
    <w:p>
      <w:pPr>
        <w:pStyle w:val="Heading2"/>
        <w:keepNext/>
      </w:pPr>
      <w:r>
        <w:t>CERTIFICATE OF SERVICE</w:t>
      </w:r>
    </w:p>
    <w:p>
      <w:pPr>
        <w:spacing w:line="480" w:lineRule="auto" w:after="0"/>
      </w:pPr>
      <w:r>
        <w:t>I certify that on January 15, 2024, I filed this document using the Court’s CM/ECF system, which will provide notice to all counsel of record registered to receive electronic service.</w:t>
      </w:r>
    </w:p>
    <w:p>
      <w:pPr>
        <w:spacing w:line="240" w:lineRule="auto"/>
      </w:pPr>
      <w:r>
        <w:t>/s/ Margaret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