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b/>
          <w:sz w:val="24"/>
        </w:rPr>
        <w:t>UNITED STATES DISTRICT COURT</w:t>
      </w:r>
    </w:p>
    <w:p>
      <w:pPr>
        <w:spacing w:line="240" w:lineRule="auto" w:after="0"/>
        <w:jc w:val="center"/>
      </w:pPr>
      <w:r>
        <w:rPr>
          <w:rFonts w:ascii="Times New Roman" w:hAnsi="Times New Roman"/>
          <w:b/>
          <w:sz w:val="24"/>
        </w:rPr>
        <w:t>WESTERN DISTRICT OF TEXAS</w:t>
      </w:r>
    </w:p>
    <w:p>
      <w:pPr>
        <w:spacing w:line="240" w:lineRule="auto" w:after="0"/>
        <w:jc w:val="center"/>
      </w:pPr>
      <w:r>
        <w:rPr>
          <w:rFonts w:ascii="Times New Roman" w:hAnsi="Times New Roman"/>
          <w:b/>
          <w:sz w:val="24"/>
        </w:rPr>
        <w:t>AUSTIN DIVISION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328"/>
        <w:gridCol w:w="4032"/>
      </w:tblGrid>
      <w:tr>
        <w:tc>
          <w:tcPr>
            <w:tcW w:type="dxa" w:w="5328"/>
            <w:tcMar>
              <w:top w:w="150" w:type="dxa"/>
              <w:start w:w="100" w:type="dxa"/>
              <w:bottom w:w="150" w:type="dxa"/>
              <w:end w:w="100" w:type="dxa"/>
            </w:tcMar>
            <w:vAlign w:val="center"/>
          </w:tcPr>
          <w:p>
            <w:pPr>
              <w:spacing w:line="240" w:lineRule="auto"/>
            </w:pPr>
            <w:r>
              <w:rPr>
                <w:b/>
              </w:rPr>
              <w:t>ARCADIA HEALTH SYSTEMS, LLC,</w:t>
              <w:br/>
            </w:r>
            <w:r>
              <w:t xml:space="preserve">       Plaintiff,</w:t>
              <w:br/>
              <w:br/>
              <w:t>v.</w:t>
              <w:br/>
              <w:br/>
            </w:r>
            <w:r>
              <w:rPr>
                <w:b/>
              </w:rPr>
              <w:t>MERIDIAN CLOUD SOLUTIONS, INC.,</w:t>
              <w:br/>
            </w:r>
            <w:r>
              <w:t xml:space="preserve">       Defendant.</w:t>
            </w:r>
          </w:p>
        </w:tc>
        <w:tc>
          <w:tcPr>
            <w:tcW w:type="dxa" w:w="4032"/>
            <w:tcMar>
              <w:top w:w="150" w:type="dxa"/>
              <w:start w:w="100" w:type="dxa"/>
              <w:bottom w:w="150" w:type="dxa"/>
              <w:end w:w="100" w:type="dxa"/>
            </w:tcMar>
          </w:tcPr>
          <w:p>
            <w:pPr>
              <w:spacing w:line="240" w:lineRule="auto"/>
            </w:pPr>
            <w:r>
              <w:rPr>
                <w:b/>
              </w:rPr>
              <w:t>Civil Action No.</w:t>
              <w:br/>
              <w:t>1:23-cv-00847-CMA</w:t>
            </w:r>
            <w:r>
              <w:br/>
              <w:br/>
              <w:t>The Honorable Catherine M. Alvarez</w:t>
            </w:r>
          </w:p>
        </w:tc>
      </w:tr>
    </w:tbl>
    <w:p/>
    <w:p>
      <w:pPr>
        <w:spacing w:line="240" w:lineRule="auto" w:before="100" w:after="80"/>
        <w:jc w:val="center"/>
      </w:pPr>
      <w:r>
        <w:rPr>
          <w:b/>
          <w:sz w:val="24"/>
        </w:rPr>
        <w:t>[PROPOSED] ORDER ON DEFENDANT MERIDIAN CLOUD SOLUTIONS, INC.’S MOTION TO DISMISS FIRST AMENDED COMPLAINT</w:t>
      </w:r>
    </w:p>
    <w:p>
      <w:pPr>
        <w:keepLines/>
        <w:spacing w:line="480" w:lineRule="auto" w:after="0"/>
      </w:pPr>
      <w:r>
        <w:t>The Court has independently considered subject-matter jurisdiction and determined that it has jurisdiction to decide the merits of the motion. If the Court instead determines that jurisdiction is lacking, it will not enter this merits order and will remand the action by separate order under 28 U.S.C. § 1447(c).</w:t>
      </w:r>
    </w:p>
    <w:p>
      <w:pPr>
        <w:keepLines/>
        <w:spacing w:line="480" w:lineRule="auto" w:after="0"/>
      </w:pPr>
      <w:r>
        <w:t>The Court has considered Defendant Meridian Cloud Solutions, Inc.’s Motion to Dismiss First Amended Complaint Under Rule 12(b)(6), or Alternatively Rule 12(c) (Dkt. No. [to be inserted]), the response, reply, applicable law, and the pleadings and materials properly considered at this stage. It is therefore ORDERED:</w:t>
      </w:r>
    </w:p>
    <w:p>
      <w:pPr>
        <w:spacing w:line="480" w:lineRule="auto" w:after="0"/>
      </w:pPr>
      <w:r>
        <w:rPr>
          <w:b/>
        </w:rPr>
        <w:t>1.</w:t>
      </w:r>
      <w:r>
        <w:t xml:space="preserve"> The Motion is GRANTED IN PART and DENIED IN PART as set out below.</w:t>
      </w:r>
    </w:p>
    <w:p>
      <w:pPr>
        <w:keepLines/>
        <w:spacing w:line="480" w:lineRule="auto" w:after="0"/>
      </w:pPr>
      <w:r>
        <w:t>2. Arcadia’s Texas DTPA claim (Count V) is DISMISSED WITH PREJUDICE because the claim arises from a transaction involving consideration greater than $500,000 and is exempt under Tex. Bus. &amp; Com. Code § 17.49(f).</w:t>
      </w:r>
    </w:p>
    <w:p>
      <w:pPr>
        <w:keepLines/>
        <w:spacing w:line="480" w:lineRule="auto" w:after="0"/>
      </w:pPr>
      <w:r>
        <w:t>3. Arcadia’s unjust-enrichment claim (Count IV) is DISMISSED WITHOUT PREJUDICE as an independent claim for restitution covering subject matter governed by the MSLSA. This dismissal does not decide any properly supported alternative remedy if the contract is later found unenforceable or rescinded.</w:t>
      </w:r>
    </w:p>
    <w:p>
      <w:pPr>
        <w:keepLines/>
        <w:spacing w:line="480" w:lineRule="auto" w:after="0"/>
      </w:pPr>
      <w:r>
        <w:t>4. Arcadia’s fraud claim (Count II) is DISMISSED WITHOUT PREJUDICE for failure to plead with particularity facts showing why the identified statements were false when made and a factual basis for scienter. Any further amendment is subject to Rules 15 and 16(b)(4) and the Court’s Scheduling Order.</w:t>
      </w:r>
    </w:p>
    <w:p>
      <w:pPr>
        <w:keepLines/>
        <w:spacing w:line="480" w:lineRule="auto" w:after="0"/>
      </w:pPr>
      <w:r>
        <w:t>5. Arcadia’s negligent-misrepresentation claim (Count III) is DISMISSED WITHOUT PREJUDICE for failure to plead a viable, justifiable-reliance theory distinct from the contractual performance obligations. Count III may not recover benefit-of-the-bargain damages; any amendment is subject to Rules 15 and 16(b)(4) and the Court’s Scheduling Order.</w:t>
      </w:r>
    </w:p>
    <w:p>
      <w:pPr>
        <w:keepLines/>
        <w:spacing w:line="480" w:lineRule="auto" w:after="0"/>
      </w:pPr>
      <w:r>
        <w:t>6. Count I is DISMISSED WITH PREJUDICE insofar as it asserts that Meridian was contractually responsible for Arcadia/Linden Park data-migration execution or seeks to recover the fees charged under the executed Change Orders merely because they were additional fees. The theory that Meridian breached the September 1, 2022 target date is DISMISSED because CO-001 superseded that target. This does not preclude a properly pleaded claim based on a later mutually agreed schedule, subject to Rules 15 and 16(b)(4) and the Scheduling Order.</w:t>
      </w:r>
    </w:p>
    <w:p>
      <w:pPr>
        <w:keepLines/>
        <w:spacing w:line="480" w:lineRule="auto" w:after="0"/>
      </w:pPr>
      <w:r>
        <w:t>7. The Motion is DENIED insofar as it seeks dismissal of any remaining contract claim alleging a nonconforming software or implementation/support obligation, without prejudice to Meridian’s contractual defenses. The MSLSA’s liability cap, consequential-damages exclusion, exclusive-remedy, warranty, and acceptance provisions remain applicable according to their terms; the amount of any cap and the application of any contractual exception are not decided by this Order.</w:t>
      </w:r>
    </w:p>
    <w:p>
      <w:pPr>
        <w:keepLines/>
        <w:spacing w:line="480" w:lineRule="auto" w:after="0"/>
      </w:pPr>
      <w:r>
        <w:t>8. Any amendment must comply with Federal Rules of Civil Procedure 15 and 16(b)(4) and the Court’s Scheduling Order. This Order does not extend the amendment deadline.</w:t>
      </w:r>
    </w:p>
    <w:p>
      <w:pPr>
        <w:spacing w:line="480" w:lineRule="auto" w:after="0"/>
      </w:pPr>
      <w:r>
        <w:t>The Clerk shall terminate the motion at Dkt. No. [to be inserted upon filing].</w:t>
      </w:r>
    </w:p>
    <w:p>
      <w:pPr>
        <w:spacing w:line="480" w:lineRule="auto" w:after="0"/>
      </w:pPr>
      <w:r>
        <w:t>IT IS SO ORDERED.</w:t>
      </w:r>
    </w:p>
    <w:p>
      <w:pPr>
        <w:spacing w:line="480" w:lineRule="auto" w:after="0"/>
      </w:pPr>
      <w:r>
        <w:t>SIGNED this ____ day of ________________, 2024, in Austin, Texas.</w:t>
      </w:r>
    </w:p>
    <w:p>
      <w:pPr>
        <w:spacing w:before="640"/>
        <w:jc w:val="center"/>
      </w:pPr>
      <w:r>
        <w:rPr>
          <w:b/>
        </w:rPr>
        <w:t>________________________________________</w:t>
        <w:br/>
      </w:r>
      <w:r>
        <w:t>THE HONORABLE CATHERINE M. ALVAREZ</w:t>
        <w:br/>
        <w:t>UNITED STATES DISTRICT JUDGE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259"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0" w:line="259"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0" w:line="259"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