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b/>
        </w:rPr>
        <w:t>IN THE UNITED STATES DISTRICT COURT</w:t>
      </w:r>
    </w:p>
    <w:p>
      <w:pPr>
        <w:spacing w:line="240" w:lineRule="auto"/>
        <w:jc w:val="center"/>
      </w:pPr>
      <w:r>
        <w:rPr>
          <w:b/>
        </w:rPr>
        <w:t>FOR THE WESTERN DISTRICT OF TEXAS</w:t>
      </w:r>
    </w:p>
    <w:p>
      <w:pPr>
        <w:spacing w:line="240" w:lineRule="auto"/>
        <w:jc w:val="center"/>
      </w:pPr>
      <w:r>
        <w:rPr>
          <w:b/>
        </w:rPr>
        <w:t>AUSTIN DIVISION</w:t>
      </w:r>
    </w:p>
    <w:p>
      <w:pPr>
        <w:spacing w:line="240" w:lineRule="auto"/>
      </w:pPr>
    </w:p>
    <w:tbl>
      <w:tblPr>
        <w:tblW w:type="auto" w:w="0"/>
        <w:jc w:val="center"/>
        <w:tblLayout w:type="fixed"/>
        <w:tblLook w:firstColumn="1" w:firstRow="1" w:lastColumn="0" w:lastRow="0" w:noHBand="0" w:noVBand="1" w:val="04A0"/>
      </w:tblPr>
      <w:tblGrid>
        <w:gridCol w:w="4464"/>
        <w:gridCol w:w="432"/>
        <w:gridCol w:w="4464"/>
      </w:tblGrid>
      <w:tr>
        <w:tc>
          <w:tcPr>
            <w:tcW w:type="dxa" w:w="4464"/>
          </w:tcPr>
          <w:p>
            <w:pPr>
              <w:spacing w:line="240" w:lineRule="auto"/>
            </w:pPr>
            <w:r/>
            <w:r>
              <w:rPr>
                <w:b/>
              </w:rPr>
              <w:t>ARCADIA HEALTH SYSTEMS, LLC,</w:t>
            </w:r>
          </w:p>
          <w:p>
            <w:pPr>
              <w:spacing w:line="240" w:lineRule="auto"/>
            </w:pPr>
          </w:p>
          <w:p>
            <w:pPr>
              <w:spacing w:line="240" w:lineRule="auto"/>
            </w:pPr>
            <w:r>
              <w:t xml:space="preserve">          Plaintiff,</w:t>
            </w:r>
          </w:p>
          <w:p>
            <w:pPr>
              <w:spacing w:line="240" w:lineRule="auto"/>
            </w:pPr>
          </w:p>
          <w:p>
            <w:pPr>
              <w:spacing w:line="240" w:lineRule="auto"/>
            </w:pPr>
            <w:r>
              <w:t>v.</w:t>
            </w:r>
          </w:p>
          <w:p>
            <w:pPr>
              <w:spacing w:line="240" w:lineRule="auto"/>
            </w:pPr>
          </w:p>
          <w:p>
            <w:pPr>
              <w:spacing w:line="240" w:lineRule="auto"/>
            </w:pPr>
            <w:r>
              <w:rPr>
                <w:b/>
              </w:rPr>
              <w:t>MERIDIAN CLOUD SOLUTIONS, INC.,</w:t>
            </w:r>
          </w:p>
          <w:p>
            <w:pPr>
              <w:spacing w:line="240" w:lineRule="auto"/>
            </w:pPr>
          </w:p>
          <w:p>
            <w:pPr>
              <w:spacing w:line="240" w:lineRule="auto"/>
            </w:pPr>
            <w:r>
              <w:t xml:space="preserve">          Defendant.</w:t>
            </w:r>
          </w:p>
        </w:tc>
        <w:tc>
          <w:tcPr>
            <w:tcW w:type="dxa" w:w="432"/>
          </w:tcPr>
          <w:p>
            <w:pPr>
              <w:spacing w:line="240" w:lineRule="auto"/>
            </w:pPr>
            <w:r/>
            <w:r>
              <w:t>§</w:t>
            </w:r>
          </w:p>
          <w:p>
            <w:pPr>
              <w:spacing w:line="240" w:lineRule="auto"/>
            </w:pPr>
            <w:r>
              <w:t>§</w:t>
            </w:r>
          </w:p>
          <w:p>
            <w:pPr>
              <w:spacing w:line="240" w:lineRule="auto"/>
            </w:pPr>
            <w:r>
              <w:t>§</w:t>
            </w:r>
          </w:p>
          <w:p>
            <w:pPr>
              <w:spacing w:line="240" w:lineRule="auto"/>
            </w:pPr>
            <w:r>
              <w:t>§</w:t>
            </w:r>
          </w:p>
          <w:p>
            <w:pPr>
              <w:spacing w:line="240" w:lineRule="auto"/>
            </w:pPr>
            <w:r>
              <w:t>§</w:t>
            </w:r>
          </w:p>
          <w:p>
            <w:pPr>
              <w:spacing w:line="240" w:lineRule="auto"/>
            </w:pPr>
            <w:r>
              <w:t>§</w:t>
            </w:r>
          </w:p>
          <w:p>
            <w:pPr>
              <w:spacing w:line="240" w:lineRule="auto"/>
            </w:pPr>
            <w:r>
              <w:t>§</w:t>
            </w:r>
          </w:p>
          <w:p>
            <w:pPr>
              <w:spacing w:line="240" w:lineRule="auto"/>
            </w:pPr>
            <w:r>
              <w:t>§</w:t>
            </w:r>
          </w:p>
          <w:p>
            <w:pPr>
              <w:spacing w:line="240" w:lineRule="auto"/>
            </w:pPr>
            <w:r>
              <w:t>§</w:t>
            </w:r>
          </w:p>
        </w:tc>
        <w:tc>
          <w:tcPr>
            <w:tcW w:type="dxa" w:w="4464"/>
          </w:tcPr>
          <w:p>
            <w:pPr>
              <w:spacing w:line="240" w:lineRule="auto"/>
            </w:pPr>
          </w:p>
          <w:p>
            <w:pPr>
              <w:spacing w:line="240" w:lineRule="auto"/>
            </w:pPr>
          </w:p>
          <w:p>
            <w:pPr>
              <w:spacing w:line="240" w:lineRule="auto"/>
            </w:pPr>
            <w:r>
              <w:rPr>
                <w:b/>
              </w:rPr>
              <w:t>Civil Action No. 1:23-cv-00847-CMA</w:t>
            </w:r>
          </w:p>
          <w:p>
            <w:pPr>
              <w:spacing w:line="240" w:lineRule="auto"/>
            </w:pPr>
          </w:p>
          <w:p>
            <w:pPr>
              <w:spacing w:line="240" w:lineRule="auto"/>
            </w:pPr>
            <w:r>
              <w:t>Hon. Catherine M. Alvarez</w:t>
            </w:r>
          </w:p>
          <w:p>
            <w:pPr>
              <w:spacing w:line="240" w:lineRule="auto"/>
            </w:pPr>
          </w:p>
          <w:p>
            <w:pPr>
              <w:spacing w:line="240" w:lineRule="auto"/>
            </w:pPr>
            <w:r>
              <w:t>Response Deadline: [21 days after filing — Standing Order § 3.3(a); e.g., February 2, 2024 if filed January 12, 2024]</w:t>
            </w:r>
          </w:p>
        </w:tc>
      </w:tr>
    </w:tbl>
    <w:p>
      <w:pPr>
        <w:spacing w:line="240" w:lineRule="auto"/>
      </w:pPr>
    </w:p>
    <w:p>
      <w:pPr>
        <w:spacing w:line="240" w:lineRule="auto"/>
        <w:jc w:val="center"/>
      </w:pPr>
      <w:r>
        <w:rPr>
          <w:b/>
        </w:rPr>
        <w:t>DEFENDANT MERIDIAN CLOUD SOLUTIONS, INC.’S MOTION TO DISMISS</w:t>
      </w:r>
    </w:p>
    <w:p>
      <w:pPr>
        <w:spacing w:line="240" w:lineRule="auto"/>
        <w:jc w:val="center"/>
      </w:pPr>
      <w:r>
        <w:rPr>
          <w:b/>
        </w:rPr>
        <w:t>THE FIRST AMENDED COMPLAINT PURSUANT TO</w:t>
      </w:r>
    </w:p>
    <w:p>
      <w:pPr>
        <w:spacing w:line="240" w:lineRule="auto"/>
        <w:jc w:val="center"/>
      </w:pPr>
      <w:r>
        <w:rPr>
          <w:b/>
        </w:rPr>
        <w:t>FEDERAL RULE OF CIVIL PROCEDURE 12(b)(6)</w:t>
      </w:r>
    </w:p>
    <w:p>
      <w:pPr>
        <w:spacing w:line="240" w:lineRule="auto"/>
        <w:jc w:val="center"/>
      </w:pPr>
      <w:r>
        <w:rPr>
          <w:b/>
        </w:rPr>
        <w:t>(OR, ALTERNATIVELY, FOR JUDGMENT ON THE PLEADINGS UNDER RULE 12(c))</w:t>
      </w:r>
    </w:p>
    <w:p>
      <w:pPr>
        <w:spacing w:line="240" w:lineRule="auto"/>
      </w:pPr>
    </w:p>
    <w:p>
      <w:pPr>
        <w:pStyle w:val="Heading1"/>
        <w:jc w:val="center"/>
      </w:pPr>
      <w:r>
        <w:t>TABLE OF CONTENTS</w:t>
      </w:r>
    </w:p>
    <w:p>
      <w:pPr>
        <w:spacing w:line="240" w:lineRule="auto" w:after="60"/>
        <w:ind w:left="0"/>
      </w:pPr>
      <w:r>
        <w:t>INTRODUCTION</w:t>
      </w:r>
    </w:p>
    <w:p>
      <w:pPr>
        <w:spacing w:line="240" w:lineRule="auto" w:after="60"/>
        <w:ind w:left="0"/>
      </w:pPr>
      <w:r>
        <w:t>PROCEDURAL POSTURE AND PRESERVATION OF GROUNDS (STANDING ORDER § 3.4)</w:t>
      </w:r>
    </w:p>
    <w:p>
      <w:pPr>
        <w:spacing w:line="240" w:lineRule="auto" w:after="60"/>
        <w:ind w:left="0"/>
      </w:pPr>
      <w:r>
        <w:t>STATEMENT OF THE ISSUES</w:t>
      </w:r>
    </w:p>
    <w:p>
      <w:pPr>
        <w:spacing w:line="240" w:lineRule="auto" w:after="60"/>
        <w:ind w:left="0"/>
      </w:pPr>
      <w:r>
        <w:t>BACKGROUND</w:t>
      </w:r>
    </w:p>
    <w:p>
      <w:pPr>
        <w:spacing w:line="240" w:lineRule="auto" w:after="60"/>
        <w:ind w:left="576"/>
      </w:pPr>
      <w:r>
        <w:t>A. The Parties and the Negotiated MSLSA</w:t>
      </w:r>
    </w:p>
    <w:p>
      <w:pPr>
        <w:spacing w:line="240" w:lineRule="auto" w:after="60"/>
        <w:ind w:left="576"/>
      </w:pPr>
      <w:r>
        <w:t>B. The Alleged Pre-Sale Statements</w:t>
      </w:r>
    </w:p>
    <w:p>
      <w:pPr>
        <w:spacing w:line="240" w:lineRule="auto" w:after="60"/>
        <w:ind w:left="576"/>
      </w:pPr>
      <w:r>
        <w:t>C. The Alleged Implementation and Post-Go-Live Problems</w:t>
      </w:r>
    </w:p>
    <w:p>
      <w:pPr>
        <w:spacing w:line="240" w:lineRule="auto" w:after="60"/>
        <w:ind w:left="0"/>
      </w:pPr>
      <w:r>
        <w:t>LEGAL STANDARD</w:t>
      </w:r>
    </w:p>
    <w:p>
      <w:pPr>
        <w:spacing w:line="240" w:lineRule="auto" w:after="60"/>
        <w:ind w:left="0"/>
      </w:pPr>
      <w:r>
        <w:t>ARGUMENT</w:t>
      </w:r>
    </w:p>
    <w:p>
      <w:pPr>
        <w:spacing w:line="240" w:lineRule="auto" w:after="60"/>
        <w:ind w:left="576"/>
      </w:pPr>
      <w:r>
        <w:t>I. Choice of Law</w:t>
      </w:r>
    </w:p>
    <w:p>
      <w:pPr>
        <w:spacing w:line="240" w:lineRule="auto" w:after="60"/>
        <w:ind w:left="576"/>
      </w:pPr>
      <w:r>
        <w:t>II. Count V (DTPA) Is Barred by the Statute’s Large-Transaction Exemptions</w:t>
      </w:r>
    </w:p>
    <w:p>
      <w:pPr>
        <w:spacing w:line="240" w:lineRule="auto" w:after="60"/>
        <w:ind w:left="576"/>
      </w:pPr>
      <w:r>
        <w:t>III. Count IV (Unjust Enrichment) Fails Because an Express Contract Governs</w:t>
      </w:r>
    </w:p>
    <w:p>
      <w:pPr>
        <w:spacing w:line="240" w:lineRule="auto" w:after="60"/>
        <w:ind w:left="576"/>
      </w:pPr>
      <w:r>
        <w:t>IV. Count II (Fraud) Fails as a Matter of Law</w:t>
      </w:r>
    </w:p>
    <w:p>
      <w:pPr>
        <w:spacing w:line="240" w:lineRule="auto" w:after="60"/>
        <w:ind w:left="1152"/>
      </w:pPr>
      <w:r>
        <w:t>A. Arcadia contractually disclaimed reliance on extra-contractual statements</w:t>
      </w:r>
    </w:p>
    <w:p>
      <w:pPr>
        <w:spacing w:line="240" w:lineRule="auto" w:after="60"/>
        <w:ind w:left="1152"/>
      </w:pPr>
      <w:r>
        <w:t>B. The core statements are non-actionable puffery or opinion</w:t>
      </w:r>
    </w:p>
    <w:p>
      <w:pPr>
        <w:spacing w:line="240" w:lineRule="auto" w:after="60"/>
        <w:ind w:left="1152"/>
      </w:pPr>
      <w:r>
        <w:t>C. The remaining allegations do not satisfy Rule 9(b)</w:t>
      </w:r>
    </w:p>
    <w:p>
      <w:pPr>
        <w:spacing w:line="240" w:lineRule="auto" w:after="60"/>
        <w:ind w:left="1152"/>
      </w:pPr>
      <w:r>
        <w:t>D. The nondisclosure theory fails for lack of a duty to disclose</w:t>
      </w:r>
    </w:p>
    <w:p>
      <w:pPr>
        <w:spacing w:line="240" w:lineRule="auto" w:after="60"/>
        <w:ind w:left="576"/>
      </w:pPr>
      <w:r>
        <w:t>V. Count III (Negligent Misrepresentation) Fails</w:t>
      </w:r>
    </w:p>
    <w:p>
      <w:pPr>
        <w:spacing w:line="240" w:lineRule="auto" w:after="60"/>
        <w:ind w:left="576"/>
      </w:pPr>
      <w:r>
        <w:t>VI. Count I (Breach of Contract) Should Be Dismissed in Substantial Part</w:t>
      </w:r>
    </w:p>
    <w:p>
      <w:pPr>
        <w:spacing w:line="240" w:lineRule="auto" w:after="60"/>
        <w:ind w:left="1152"/>
      </w:pPr>
      <w:r>
        <w:t>A. Data-migration theories are foreclosed by the contract</w:t>
      </w:r>
    </w:p>
    <w:p>
      <w:pPr>
        <w:spacing w:line="240" w:lineRule="auto" w:after="60"/>
        <w:ind w:left="1152"/>
      </w:pPr>
      <w:r>
        <w:t>B. The mutually executed Change Orders cannot constitute a breach</w:t>
      </w:r>
    </w:p>
    <w:p>
      <w:pPr>
        <w:spacing w:line="240" w:lineRule="auto" w:after="60"/>
        <w:ind w:left="1152"/>
      </w:pPr>
      <w:r>
        <w:t>C. Software-performance theories are limited to the exclusive § 9.1 remedy</w:t>
      </w:r>
    </w:p>
    <w:p>
      <w:pPr>
        <w:spacing w:line="240" w:lineRule="auto" w:after="60"/>
        <w:ind w:left="1152"/>
      </w:pPr>
      <w:r>
        <w:t>D. Consequential and punitive damages are contractually excluded</w:t>
      </w:r>
    </w:p>
    <w:p>
      <w:pPr>
        <w:spacing w:line="240" w:lineRule="auto" w:after="60"/>
        <w:ind w:left="0"/>
      </w:pPr>
      <w:r>
        <w:t>CONCLUSION AND PRAYER</w:t>
      </w:r>
    </w:p>
    <w:p>
      <w:r>
        <w:br w:type="page"/>
      </w:r>
    </w:p>
    <w:p>
      <w:pPr>
        <w:pStyle w:val="Heading1"/>
        <w:jc w:val="center"/>
      </w:pPr>
      <w:r>
        <w:t>TABLE OF AUTHORITIES</w:t>
      </w:r>
    </w:p>
    <w:p>
      <w:pPr>
        <w:spacing w:line="240" w:lineRule="auto" w:after="120"/>
      </w:pPr>
      <w:r>
        <w:t>[Binding (B) / Persuasive (P) designations per Standing Order § 1.4. Page references to be conformed at finalization.]</w:t>
      </w:r>
    </w:p>
    <w:p>
      <w:pPr>
        <w:spacing w:line="240" w:lineRule="auto" w:after="60"/>
        <w:ind w:left="0"/>
      </w:pPr>
      <w:r>
        <w:rPr>
          <w:b/>
        </w:rPr>
        <w:t>Cases</w:t>
      </w:r>
    </w:p>
    <w:p>
      <w:pPr>
        <w:spacing w:line="240" w:lineRule="auto" w:after="60"/>
        <w:ind w:left="432"/>
      </w:pPr>
      <w:r>
        <w:rPr>
          <w:i/>
        </w:rPr>
        <w:t>Abry Partners V, L.P. v. F &amp; W Acquisition LLC</w:t>
      </w:r>
      <w:r>
        <w:t>, 891 A.2d 1032 (Del. Ch. 2006) (P)</w:t>
      </w:r>
    </w:p>
    <w:p>
      <w:pPr>
        <w:spacing w:line="240" w:lineRule="auto" w:after="60"/>
        <w:ind w:left="432"/>
      </w:pPr>
      <w:r>
        <w:rPr>
          <w:i/>
        </w:rPr>
        <w:t>Ashcroft v. Iqbal</w:t>
      </w:r>
      <w:r>
        <w:t>, 556 U.S. 662 (2009) (B)</w:t>
      </w:r>
    </w:p>
    <w:p>
      <w:pPr>
        <w:spacing w:line="240" w:lineRule="auto" w:after="60"/>
        <w:ind w:left="432"/>
      </w:pPr>
      <w:r>
        <w:rPr>
          <w:i/>
        </w:rPr>
        <w:t>Bell Atl. Corp. v. Twombly</w:t>
      </w:r>
      <w:r>
        <w:t>, 550 U.S. 544 (2007) (B)</w:t>
      </w:r>
    </w:p>
    <w:p>
      <w:pPr>
        <w:spacing w:line="240" w:lineRule="auto" w:after="60"/>
        <w:ind w:left="432"/>
      </w:pPr>
      <w:r>
        <w:rPr>
          <w:i/>
        </w:rPr>
        <w:t>Benchmark Elecs., Inc. v. J.M. Huber Corp.</w:t>
      </w:r>
      <w:r>
        <w:t>, 343 F.3d 719 (5th Cir. 2003) (B)</w:t>
      </w:r>
    </w:p>
    <w:p>
      <w:pPr>
        <w:spacing w:line="240" w:lineRule="auto" w:after="60"/>
        <w:ind w:left="432"/>
      </w:pPr>
      <w:r>
        <w:rPr>
          <w:i/>
        </w:rPr>
        <w:t>Bombardier Aerospace Corp. v. SPEP Aircraft Holdings, LLC</w:t>
      </w:r>
      <w:r>
        <w:t>, 572 S.W.3d 213 (Tex. 2019) (B on Texas law)</w:t>
      </w:r>
    </w:p>
    <w:p>
      <w:pPr>
        <w:spacing w:line="240" w:lineRule="auto" w:after="60"/>
        <w:ind w:left="432"/>
      </w:pPr>
      <w:r>
        <w:rPr>
          <w:i/>
        </w:rPr>
        <w:t>Collins v. Morgan Stanley Dean Witter</w:t>
      </w:r>
      <w:r>
        <w:t>, 224 F.3d 496 (5th Cir. 2000) (B)</w:t>
      </w:r>
    </w:p>
    <w:p>
      <w:pPr>
        <w:spacing w:line="240" w:lineRule="auto" w:after="60"/>
        <w:ind w:left="432"/>
      </w:pPr>
      <w:r>
        <w:rPr>
          <w:i/>
        </w:rPr>
        <w:t>D.S.A., Inc. v. Hillsboro Indep. Sch. Dist.</w:t>
      </w:r>
      <w:r>
        <w:t>, 973 S.W.2d 662 (Tex. 1998) (per curiam) (B on Texas law)</w:t>
      </w:r>
    </w:p>
    <w:p>
      <w:pPr>
        <w:spacing w:line="240" w:lineRule="auto" w:after="60"/>
        <w:ind w:left="432"/>
      </w:pPr>
      <w:r>
        <w:rPr>
          <w:i/>
        </w:rPr>
        <w:t>DeSantis v. Wackenhut Corp.</w:t>
      </w:r>
      <w:r>
        <w:t>, 793 S.W.2d 670 (Tex. 1990) (B on Texas law)</w:t>
      </w:r>
    </w:p>
    <w:p>
      <w:pPr>
        <w:spacing w:line="240" w:lineRule="auto" w:after="60"/>
        <w:ind w:left="432"/>
      </w:pPr>
      <w:r>
        <w:rPr>
          <w:i/>
        </w:rPr>
        <w:t>Doe v. MySpace, Inc.</w:t>
      </w:r>
      <w:r>
        <w:t>, 528 F.3d 413 (5th Cir. 2008) (B)</w:t>
      </w:r>
    </w:p>
    <w:p>
      <w:pPr>
        <w:spacing w:line="240" w:lineRule="auto" w:after="60"/>
        <w:ind w:left="432"/>
      </w:pPr>
      <w:r>
        <w:rPr>
          <w:i/>
        </w:rPr>
        <w:t>Fed. Land Bank Ass’n of Tyler v. Sloane</w:t>
      </w:r>
      <w:r>
        <w:t>, 825 S.W.2d 439 (Tex. 1991) (B on Texas law)</w:t>
      </w:r>
    </w:p>
    <w:p>
      <w:pPr>
        <w:spacing w:line="240" w:lineRule="auto" w:after="60"/>
        <w:ind w:left="432"/>
      </w:pPr>
      <w:r>
        <w:rPr>
          <w:i/>
        </w:rPr>
        <w:t>Forest Oil Corp. v. McAllen</w:t>
      </w:r>
      <w:r>
        <w:t>, 268 S.W.3d 51 (Tex. 2008) (B on Texas law)</w:t>
      </w:r>
    </w:p>
    <w:p>
      <w:pPr>
        <w:spacing w:line="240" w:lineRule="auto" w:after="60"/>
        <w:ind w:left="432"/>
      </w:pPr>
      <w:r>
        <w:rPr>
          <w:i/>
        </w:rPr>
        <w:t>Fortune Prod. Co. v. Conoco, Inc.</w:t>
      </w:r>
      <w:r>
        <w:t>, 52 S.W.3d 671 (Tex. 2000) (B on Texas law)</w:t>
      </w:r>
    </w:p>
    <w:p>
      <w:pPr>
        <w:spacing w:line="240" w:lineRule="auto" w:after="60"/>
        <w:ind w:left="432"/>
      </w:pPr>
      <w:r>
        <w:rPr>
          <w:i/>
        </w:rPr>
        <w:t>Italian Cowboy Partners, Ltd. v. Prudential Ins. Co. of Am.</w:t>
      </w:r>
      <w:r>
        <w:t>, 341 S.W.3d 323 (Tex. 2011) (B on Texas law)</w:t>
      </w:r>
    </w:p>
    <w:p>
      <w:pPr>
        <w:spacing w:line="240" w:lineRule="auto" w:after="60"/>
        <w:ind w:left="432"/>
      </w:pPr>
      <w:r>
        <w:rPr>
          <w:i/>
        </w:rPr>
        <w:t>JPMorgan Chase Bank, N.A. v. Orca Assets G.P., L.L.C.</w:t>
      </w:r>
      <w:r>
        <w:t>, 546 S.W.3d 648 (Tex. 2018) (B on Texas law)</w:t>
      </w:r>
    </w:p>
    <w:p>
      <w:pPr>
        <w:spacing w:line="240" w:lineRule="auto" w:after="60"/>
        <w:ind w:left="432"/>
      </w:pPr>
      <w:r>
        <w:rPr>
          <w:i/>
        </w:rPr>
        <w:t>Klaxon Co. v. Stentor Elec. Mfg. Co.</w:t>
      </w:r>
      <w:r>
        <w:t>, 313 U.S. 487 (1941) (B)</w:t>
      </w:r>
    </w:p>
    <w:p>
      <w:pPr>
        <w:spacing w:line="240" w:lineRule="auto" w:after="60"/>
        <w:ind w:left="432"/>
      </w:pPr>
      <w:r>
        <w:rPr>
          <w:i/>
        </w:rPr>
        <w:t>Kuroda v. SPJS Holdings, L.L.C.</w:t>
      </w:r>
      <w:r>
        <w:t>, 971 A.2d 872 (Del. Ch. 2009) (P)</w:t>
      </w:r>
    </w:p>
    <w:p>
      <w:pPr>
        <w:spacing w:line="240" w:lineRule="auto" w:after="60"/>
        <w:ind w:left="432"/>
      </w:pPr>
      <w:r>
        <w:rPr>
          <w:i/>
        </w:rPr>
        <w:t>McCamish, Martin, Brown &amp; Loeffler v. F.E. Appling Interests</w:t>
      </w:r>
      <w:r>
        <w:t>, 991 S.W.2d 787 (Tex. 1999) (B on Texas law)</w:t>
      </w:r>
    </w:p>
    <w:p>
      <w:pPr>
        <w:spacing w:line="240" w:lineRule="auto" w:after="60"/>
        <w:ind w:left="432"/>
      </w:pPr>
      <w:r>
        <w:rPr>
          <w:i/>
        </w:rPr>
        <w:t>Pizza Hut, Inc. v. Papa John’s Int’l, Inc.</w:t>
      </w:r>
      <w:r>
        <w:t>, 227 F.3d 489 (5th Cir. 2000) (B)</w:t>
      </w:r>
    </w:p>
    <w:p>
      <w:pPr>
        <w:spacing w:line="240" w:lineRule="auto" w:after="60"/>
        <w:ind w:left="432"/>
      </w:pPr>
      <w:r>
        <w:rPr>
          <w:i/>
        </w:rPr>
        <w:t>Presidio Enters., Inc. v. Warner Bros. Distrib. Corp.</w:t>
      </w:r>
      <w:r>
        <w:t>, 784 F.2d 674 (5th Cir. 1986) (B)</w:t>
      </w:r>
    </w:p>
    <w:p>
      <w:pPr>
        <w:spacing w:line="240" w:lineRule="auto" w:after="60"/>
        <w:ind w:left="432"/>
      </w:pPr>
      <w:r>
        <w:rPr>
          <w:i/>
        </w:rPr>
        <w:t>Prudential Ins. Co. of Am. v. Jefferson Assocs., Ltd.</w:t>
      </w:r>
      <w:r>
        <w:t>, 896 S.W.2d 156 (Tex. 1995) (B on Texas law)</w:t>
      </w:r>
    </w:p>
    <w:p>
      <w:pPr>
        <w:spacing w:line="240" w:lineRule="auto" w:after="60"/>
        <w:ind w:left="432"/>
      </w:pPr>
      <w:r>
        <w:rPr>
          <w:i/>
        </w:rPr>
        <w:t>Schlumberger Tech. Corp. v. Swanson</w:t>
      </w:r>
      <w:r>
        <w:t>, 959 S.W.2d 171 (Tex. 1997) (B on Texas law)</w:t>
      </w:r>
    </w:p>
    <w:p>
      <w:pPr>
        <w:spacing w:line="240" w:lineRule="auto" w:after="60"/>
        <w:ind w:left="432"/>
      </w:pPr>
      <w:r>
        <w:rPr>
          <w:i/>
        </w:rPr>
        <w:t>Tuchman v. DSC Commc’ns Corp.</w:t>
      </w:r>
      <w:r>
        <w:t>, 14 F.3d 1061 (5th Cir. 1994) (B)</w:t>
      </w:r>
    </w:p>
    <w:p>
      <w:pPr>
        <w:spacing w:line="240" w:lineRule="auto" w:after="60"/>
        <w:ind w:left="432"/>
      </w:pPr>
      <w:r>
        <w:rPr>
          <w:i/>
        </w:rPr>
        <w:t>VLIW Tech., LLC v. Hewlett-Packard Co.</w:t>
      </w:r>
      <w:r>
        <w:t>, 840 A.2d 606 (Del. 2003) (P)</w:t>
      </w:r>
    </w:p>
    <w:p>
      <w:pPr>
        <w:spacing w:line="240" w:lineRule="auto" w:after="60"/>
        <w:ind w:left="432"/>
      </w:pPr>
      <w:r>
        <w:rPr>
          <w:i/>
        </w:rPr>
        <w:t>Williams v. WMX Techs., Inc.</w:t>
      </w:r>
      <w:r>
        <w:t>, 112 F.3d 175 (5th Cir. 1997) (B)</w:t>
      </w:r>
    </w:p>
    <w:p>
      <w:pPr>
        <w:spacing w:line="240" w:lineRule="auto" w:after="60"/>
        <w:ind w:left="0"/>
      </w:pPr>
      <w:r>
        <w:rPr>
          <w:b/>
        </w:rPr>
        <w:t>Statutes and Rules</w:t>
      </w:r>
    </w:p>
    <w:p>
      <w:pPr>
        <w:spacing w:line="240" w:lineRule="auto" w:after="60"/>
        <w:ind w:left="432"/>
      </w:pPr>
      <w:r>
        <w:t>Tex. Bus. &amp; Com. Code § 17.45(4)</w:t>
      </w:r>
    </w:p>
    <w:p>
      <w:pPr>
        <w:spacing w:line="240" w:lineRule="auto" w:after="60"/>
        <w:ind w:left="432"/>
      </w:pPr>
      <w:r>
        <w:t>Tex. Bus. &amp; Com. Code § 17.49(f)</w:t>
      </w:r>
    </w:p>
    <w:p>
      <w:pPr>
        <w:spacing w:line="240" w:lineRule="auto" w:after="60"/>
        <w:ind w:left="432"/>
      </w:pPr>
      <w:r>
        <w:t>Tex. Bus. &amp; Com. Code § 17.49(g)</w:t>
      </w:r>
    </w:p>
    <w:p>
      <w:pPr>
        <w:spacing w:line="240" w:lineRule="auto" w:after="60"/>
        <w:ind w:left="432"/>
      </w:pPr>
      <w:r>
        <w:t>Fed. R. Civ. P. 9(b), 12(b)(6), 12(c), 12(h)(2)</w:t>
      </w:r>
    </w:p>
    <w:p>
      <w:pPr>
        <w:spacing w:line="240" w:lineRule="auto" w:after="60"/>
        <w:ind w:left="0"/>
      </w:pPr>
      <w:r>
        <w:rPr>
          <w:b/>
        </w:rPr>
        <w:t>Other Authorities</w:t>
      </w:r>
    </w:p>
    <w:p>
      <w:pPr>
        <w:spacing w:line="240" w:lineRule="auto" w:after="60"/>
        <w:ind w:left="432"/>
      </w:pPr>
      <w:r>
        <w:t>Restatement (Second) of Conflict of Laws § 187 (1971)</w:t>
      </w:r>
    </w:p>
    <w:p>
      <w:r>
        <w:br w:type="page"/>
      </w:r>
    </w:p>
    <w:p>
      <w:pPr>
        <w:ind w:firstLine="720"/>
        <w:jc w:val="both"/>
      </w:pPr>
      <w:r>
        <w:t>Defendant Meridian Cloud Solutions, Inc. (“Meridian”) moves to dismiss each count of the First Amended Complaint (Dkt. 12) (“FAC”) filed by Plaintiff Arcadia Health Systems, LLC (“Arcadia”) for failure to state a claim upon which relief can be granted. Fed. R. Civ. P. 12(b)(6), 12(h)(2); Standing Order § 3.4.</w:t>
      </w:r>
    </w:p>
    <w:p>
      <w:pPr>
        <w:pStyle w:val="Heading1"/>
        <w:jc w:val="center"/>
      </w:pPr>
      <w:r>
        <w:t>INTRODUCTION</w:t>
      </w:r>
    </w:p>
    <w:p>
      <w:pPr>
        <w:ind w:firstLine="720"/>
        <w:jc w:val="both"/>
      </w:pPr>
      <w:r>
        <w:t xml:space="preserve">This is a contract dispute between two sophisticated commercial parties who, with counsel on both sides, negotiated a written Master Software License and Services Agreement (“MSLSA”) that allocates precisely the risks Arcadia now seeks to reassign through tort and statutory theories. Arcadia alleges it engaged outside counsel to negotiate the MSLSA, tried and failed to obtain broader liability and warranty terms, and then signed a $14.7 million agreement. FAC ¶¶ 32–34. In that agreement Arcadia expressly acknowledged that “it has not relied upon any statement, representation, warranty, or agreement of the other Party except as expressly set forth in this Agreement.” MSLSA § 12.1. It agreed that it alone was responsible for data migration, </w:t>
      </w:r>
      <w:r>
        <w:rPr>
          <w:i/>
        </w:rPr>
        <w:t>id.</w:t>
      </w:r>
      <w:r>
        <w:t xml:space="preserve"> §§ 3.4(e), Ex. C § C.2; SOW-1 § 3.2; that its remedy for software nonconformity would be repair, replacement, or a pro-rata refund, MSLSA § 9.1(b); and that neither party would be liable for lost profits, goodwill, or other consequential damages, </w:t>
      </w:r>
      <w:r>
        <w:rPr>
          <w:i/>
        </w:rPr>
        <w:t>id.</w:t>
      </w:r>
      <w:r>
        <w:t xml:space="preserve"> § 8.2.</w:t>
      </w:r>
    </w:p>
    <w:p>
      <w:pPr>
        <w:ind w:firstLine="720"/>
        <w:jc w:val="both"/>
      </w:pPr>
      <w:r>
        <w:t>The FAC tries to plead around that bargain. It recasts sales-presentation superlatives as fraud (Count II) and negligent misrepresentation (Count III), seeks restitution of the contract price despite suing on the contract (Count IV), invokes a consumer-protection statute that by its terms excludes counseled, multi-million-dollar transactions (Count V), and pursues a $47.3 million contract claim (Count I) built largely on obligations the contract assigns to Arcadia and on damages the contract excludes. Counts II through V should be dismissed in their entirety, and Count I should be dismissed to the extent described in Part VI.</w:t>
      </w:r>
    </w:p>
    <w:p>
      <w:pPr>
        <w:spacing w:line="240" w:lineRule="auto" w:after="240"/>
      </w:pPr>
      <w:r>
        <w:t>*</w:t>
      </w:r>
      <w:r>
        <w:rPr>
          <w:i/>
        </w:rPr>
        <w:t xml:space="preserve">[DRAFTING NOTE — DELETE BEFORE FILING: Do not file until the subject-matter-jurisdiction issue in Cover Memo § II.A is resolved. If the team nonetheless files in this Court, candor requires adding a statement disclosing the Arcadia member/partner citizenship facts pleaded at FAC ¶¶ 7–8 and Meridian’s Texas citizenship, and the Court should be invited to address jurisdiction first. </w:t>
      </w:r>
      <w:r>
        <w:t>See Steel Co. v. Citizens for a Better Env’t</w:t>
      </w:r>
      <w:r>
        <w:rPr>
          <w:i/>
        </w:rPr>
        <w:t>, 523 U.S. 83, 94–95 (1998).]</w:t>
      </w:r>
      <w:r>
        <w:t>*</w:t>
      </w:r>
    </w:p>
    <w:p>
      <w:pPr>
        <w:pStyle w:val="Heading1"/>
        <w:jc w:val="center"/>
      </w:pPr>
      <w:r>
        <w:t>PROCEDURAL POSTURE AND PRESERVATION OF GROUNDS (STANDING ORDER § 3.4)</w:t>
      </w:r>
    </w:p>
    <w:p>
      <w:pPr>
        <w:ind w:firstLine="720"/>
        <w:jc w:val="both"/>
      </w:pPr>
      <w:r>
        <w:t xml:space="preserve">Meridian answered the FAC on October 2, 2023. Its Answer expressly asserted failure to state a claim and reserved the right to file a Rule 12(b)(6) motion. Answer, First Affirmative Defense &amp; Part III. This motion is filed within the January 15, 2024 dispositive-motion deadline set by the Scheduling Order (Dkt. [__] § III.A.1). Consistent with Standing Order § 3.4(d), the grounds presented here were preserved in the Answer as follows: failure to state a claim (First Affirmative Defense; Part III); contractual limitation of liability, consequential-damages waiver, and exclusive remedies (Second, Third, and Fourth Affirmative Defenses); limited warranty and warranty disclaimer (Sixth and Seventh); integration and non-reliance (Eighth); failure to plead fraud with particularity (Eleventh); absence of justifiable reliance (Twelfth); DTPA exemption and consumer status (Thirteenth and Fourteenth); and unavailability of unjust enrichment (Twenty-First). No party is prejudiced by treatment of this motion under Rule 12(b)(6): the standard is identical to that applied under Rule 12(c), </w:t>
      </w:r>
      <w:r>
        <w:rPr>
          <w:i/>
        </w:rPr>
        <w:t>Doe v. MySpace, Inc.</w:t>
      </w:r>
      <w:r>
        <w:t>, 528 F.3d 413, 418 (5th Cir. 2008), fact discovery remains open through May 31, 2024, and the motion relies only on the FAC and documents it references. Should the Court elect to proceed under Rule 12(c), as contemplated by the Scheduling Order, Meridian requests the same relief under that Rule.</w:t>
      </w:r>
    </w:p>
    <w:p>
      <w:pPr>
        <w:pStyle w:val="Heading1"/>
        <w:jc w:val="center"/>
      </w:pPr>
      <w:r>
        <w:t>STATEMENT OF THE ISSUES</w:t>
      </w:r>
    </w:p>
    <w:p>
      <w:pPr>
        <w:ind w:firstLine="720"/>
        <w:jc w:val="both"/>
      </w:pPr>
      <w:r>
        <w:t>1. Whether Count V fails because the DTPA does not apply to a counseled written-contract transaction exceeding $100,000, or to any transaction exceeding $500,000, not involving the consumer’s residence. Tex. Bus. &amp; Com. Code § 17.49(f), (g).</w:t>
      </w:r>
    </w:p>
    <w:p>
      <w:pPr>
        <w:ind w:firstLine="720"/>
        <w:jc w:val="both"/>
      </w:pPr>
      <w:r>
        <w:t>2. Whether Count IV fails because an express, valid contract whose existence Arcadia affirmatively pleads governs the subject matter of the claim.</w:t>
      </w:r>
    </w:p>
    <w:p>
      <w:pPr>
        <w:ind w:firstLine="720"/>
        <w:jc w:val="both"/>
      </w:pPr>
      <w:r>
        <w:t>3. Whether Count II fails because Arcadia contractually disclaimed reliance on extra-contractual statements, because the principal statements are non-actionable puffery or opinion, and because the remaining allegations do not satisfy Rule 9(b).</w:t>
      </w:r>
    </w:p>
    <w:p>
      <w:pPr>
        <w:ind w:firstLine="720"/>
        <w:jc w:val="both"/>
      </w:pPr>
      <w:r>
        <w:t>4. Whether Count III fails for the same reasons and because Arcadia seeks only benefit-of-the-bargain damages that are unavailable for negligent misrepresentation.</w:t>
      </w:r>
    </w:p>
    <w:p>
      <w:pPr>
        <w:ind w:firstLine="720"/>
        <w:jc w:val="both"/>
      </w:pPr>
      <w:r>
        <w:t>5. Whether Count I should be dismissed to the extent it rests on obligations the MSLSA assigns to Arcadia, on mutually executed Change Orders, on software-performance theories subject to an exclusive remedy, and on categories of damages the MSLSA excludes.</w:t>
      </w:r>
    </w:p>
    <w:p>
      <w:pPr>
        <w:pStyle w:val="Heading1"/>
        <w:jc w:val="center"/>
      </w:pPr>
      <w:r>
        <w:t>BACKGROUND</w:t>
      </w:r>
    </w:p>
    <w:p>
      <w:pPr>
        <w:ind w:firstLine="720"/>
        <w:jc w:val="both"/>
      </w:pPr>
      <w:r>
        <w:t>The following is drawn from the FAC’s well-pleaded allegations, taken as true for purposes of this motion only, and from the MSLSA, Statement of Work #1 (“SOW-1”), Change Orders CO-001 through CO-004, and the December 9, 2021 written proposal, each of which the FAC references and relies upon. FAC ¶¶ 27, 33–37, 46–47 &amp; Exs. A–C, H. Those documents are submitted in the accompanying Appendix (App. 1–3).</w:t>
      </w:r>
    </w:p>
    <w:p>
      <w:pPr>
        <w:pStyle w:val="Heading2"/>
      </w:pPr>
      <w:r>
        <w:t>A. The Parties and the Negotiated MSLSA</w:t>
      </w:r>
    </w:p>
    <w:p>
      <w:pPr>
        <w:ind w:firstLine="720"/>
        <w:jc w:val="both"/>
      </w:pPr>
      <w:r>
        <w:t xml:space="preserve">Arcadia is a healthcare-IT services company with approximately $62 million in annual revenue serving 23 hospitals and more than 140 clinics. FAC ¶¶ 2, 6. Before signing, its Chief Technology Officer conducted due diligence, including reference calls with Meridian clients, </w:t>
      </w:r>
      <w:r>
        <w:rPr>
          <w:i/>
        </w:rPr>
        <w:t>id.</w:t>
      </w:r>
      <w:r>
        <w:t xml:space="preserve"> ¶ 31, and Arcadia “engaged outside counsel to assist in the negotiation process,” during which it sought “enhanced limitation of liability provisions and expanded warranty protections.” </w:t>
      </w:r>
      <w:r>
        <w:rPr>
          <w:i/>
        </w:rPr>
        <w:t>Id.</w:t>
      </w:r>
      <w:r>
        <w:t xml:space="preserve"> ¶ 32. On March 15, 2022, the parties executed the MSLSA and SOW-1, with a total contract value of $14.7 million. </w:t>
      </w:r>
      <w:r>
        <w:rPr>
          <w:i/>
        </w:rPr>
        <w:t>Id.</w:t>
      </w:r>
      <w:r>
        <w:t xml:space="preserve"> ¶¶ 33–35.</w:t>
      </w:r>
    </w:p>
    <w:p>
      <w:pPr>
        <w:ind w:firstLine="720"/>
        <w:jc w:val="both"/>
      </w:pPr>
      <w:r>
        <w:t xml:space="preserve">The MSLSA contains several provisions central to this motion. Section 12.1 provides that the agreement “supersedes all prior . . . proposals, representations, and understandings, whether oral or written,” specifically including “marketing materials, product descriptions, brochures, presentations, and demonstrations,” and that “[e]ach Party acknowledges that, in entering into this Agreement, it has not relied upon any statement, representation, warranty, or agreement of the other Party except as expressly set forth in this Agreement,” and “has been represented by counsel.” App. 1, MSLSA § 12.1. Section 9.4 disclaims all warranties other than the limited warranty of § 9.1 and records Arcadia’s acknowledgment that it “relied on its own due diligence and evaluation in selecting the Licensed Software.” </w:t>
      </w:r>
      <w:r>
        <w:rPr>
          <w:i/>
        </w:rPr>
        <w:t>Id.</w:t>
      </w:r>
      <w:r>
        <w:t xml:space="preserve"> § 9.4. Section 9.1 warrants for 90 days after Go-Live that the software will perform substantially in accordance with the Documentation, with repair, replacement, or a pro-rata refund as the “sole and exclusive remedy.” </w:t>
      </w:r>
      <w:r>
        <w:rPr>
          <w:i/>
        </w:rPr>
        <w:t>Id.</w:t>
      </w:r>
      <w:r>
        <w:t xml:space="preserve"> § 9.1(a)–(b). Section 8.2 excludes liability for “indirect, incidental, special, consequential, punitive, or exemplary damages, including . . . loss of profits, goodwill, use, data, or other intangible losses,” whether in contract or tort, and Section 8.1 caps aggregate liability at fees paid or payable in the preceding twelve months. </w:t>
      </w:r>
      <w:r>
        <w:rPr>
          <w:i/>
        </w:rPr>
        <w:t>Id.</w:t>
      </w:r>
      <w:r>
        <w:t xml:space="preserve"> §§ 8.1–8.2. Data migration is assigned to Arcadia: Arcadia must “perform all data migration activities . . . using qualified personnel or a third-party systems integrator retained by Licensee,” and Meridian’s role is “advisory” only, with “no responsibility or liability” for migrated-data integrity. </w:t>
      </w:r>
      <w:r>
        <w:rPr>
          <w:i/>
        </w:rPr>
        <w:t>Id.</w:t>
      </w:r>
      <w:r>
        <w:t xml:space="preserve"> § 3.4(e) &amp; Ex. C §§ C.1–C.2; SOW-1 §§ 1.2(a), 3.2. The September 1, 2022 date is defined as a “Target Go-Live Date,” subject to adjustment. MSLSA § 1.1; SOW-1 § 6. Scope changes require mutually signed Change Orders. MSLSA § 5.4(c). Section 12.7 selects Delaware law to govern “this Agreement.”</w:t>
      </w:r>
    </w:p>
    <w:p>
      <w:pPr>
        <w:pStyle w:val="Heading2"/>
      </w:pPr>
      <w:r>
        <w:t>B. The Alleged Pre-Sale Statements</w:t>
      </w:r>
    </w:p>
    <w:p>
      <w:pPr>
        <w:ind w:firstLine="720"/>
        <w:jc w:val="both"/>
      </w:pPr>
      <w:r>
        <w:t xml:space="preserve">The FAC attributes three quoted statements to Meridian’s sales team: at an October 12, 2021 presentation, that NexusCore “delivers industry-leading performance for healthcare analytics” and that clients “typically see 30-40% improvement in reporting efficiency,” FAC ¶ 23; and at a November 18, 2021 demonstration, that NexusCore “will integrate seamlessly with any EHR platform,” </w:t>
      </w:r>
      <w:r>
        <w:rPr>
          <w:i/>
        </w:rPr>
        <w:t>id.</w:t>
      </w:r>
      <w:r>
        <w:t xml:space="preserve"> ¶ 25. It then lists seven further characterizations (“proven,” “purpose-built,” “straightforward,” and the like) attributed to “Meridian’s sales team” “[t]hroughout the pre-sale process,” without speaker, date, or setting. </w:t>
      </w:r>
      <w:r>
        <w:rPr>
          <w:i/>
        </w:rPr>
        <w:t>Id.</w:t>
      </w:r>
      <w:r>
        <w:t xml:space="preserve"> ¶ 28. The December 9, 2021 written proposal, which the FAC acknowledges contained disclaimers, </w:t>
      </w:r>
      <w:r>
        <w:rPr>
          <w:i/>
        </w:rPr>
        <w:t>id.</w:t>
      </w:r>
      <w:r>
        <w:t xml:space="preserve"> ¶ 27, stated that “[e]stimated timelines and performance metrics are provided for planning purposes only and do not constitute guarantees,” and described integration “with major EHR platforms through our standard API framework, subject to proper configuration.” App. 3.</w:t>
      </w:r>
    </w:p>
    <w:p>
      <w:pPr>
        <w:pStyle w:val="Heading2"/>
      </w:pPr>
      <w:r>
        <w:t>C. The Alleged Implementation and Post-Go-Live Problems</w:t>
      </w:r>
    </w:p>
    <w:p>
      <w:pPr>
        <w:ind w:firstLine="720"/>
        <w:jc w:val="both"/>
      </w:pPr>
      <w:r>
        <w:t xml:space="preserve">Arcadia alleges that Go-Live occurred on January 15, 2023 rather than the September 1, 2022 target, FAC ¶ 45; that the parties executed four Change Orders totaling $2.35 million, </w:t>
      </w:r>
      <w:r>
        <w:rPr>
          <w:i/>
        </w:rPr>
        <w:t>id.</w:t>
      </w:r>
      <w:r>
        <w:t xml:space="preserve"> ¶¶ 46–47; that “the data migration was plagued with errors,” </w:t>
      </w:r>
      <w:r>
        <w:rPr>
          <w:i/>
        </w:rPr>
        <w:t>id.</w:t>
      </w:r>
      <w:r>
        <w:t xml:space="preserve"> ¶ 43; and that after Go-Live Arcadia experienced latency and report errors, which it reported in writing on March 8, 2023, and which Meridian addressed with patches in May and June 2023. </w:t>
      </w:r>
      <w:r>
        <w:rPr>
          <w:i/>
        </w:rPr>
        <w:t>Id.</w:t>
      </w:r>
      <w:r>
        <w:t xml:space="preserve"> ¶¶ 49–53. Arcadia seeks $47.3 million, of which $30.1 million is lost profits, “increased operating costs,” and “reputational harm.” </w:t>
      </w:r>
      <w:r>
        <w:rPr>
          <w:i/>
        </w:rPr>
        <w:t>Id.</w:t>
      </w:r>
      <w:r>
        <w:t xml:space="preserve"> ¶¶ 61–66.</w:t>
      </w:r>
    </w:p>
    <w:p>
      <w:pPr>
        <w:pStyle w:val="Heading1"/>
        <w:jc w:val="center"/>
      </w:pPr>
      <w:r>
        <w:t>LEGAL STANDARD</w:t>
      </w:r>
    </w:p>
    <w:p>
      <w:pPr>
        <w:ind w:firstLine="720"/>
        <w:jc w:val="both"/>
      </w:pPr>
      <w:r>
        <w:t xml:space="preserve">To survive a Rule 12(b)(6) motion, a complaint must plead “enough facts to state a claim to relief that is plausible on its face.” </w:t>
      </w:r>
      <w:r>
        <w:rPr>
          <w:i/>
        </w:rPr>
        <w:t>Bell Atl. Corp. v. Twombly</w:t>
      </w:r>
      <w:r>
        <w:t xml:space="preserve">, 550 U.S. 544, 570 (2007). “Threadbare recitals of the elements of a cause of action, supported by mere conclusory statements, do not suffice,” and legal conclusions are not entitled to the assumption of truth. </w:t>
      </w:r>
      <w:r>
        <w:rPr>
          <w:i/>
        </w:rPr>
        <w:t>Ashcroft v. Iqbal</w:t>
      </w:r>
      <w:r>
        <w:t xml:space="preserve">, 556 U.S. 662, 678 (2009). The Court may consider documents attached to the motion that are referenced in the complaint and central to the plaintiff’s claims. </w:t>
      </w:r>
      <w:r>
        <w:rPr>
          <w:i/>
        </w:rPr>
        <w:t>Collins v. Morgan Stanley Dean Witter</w:t>
      </w:r>
      <w:r>
        <w:t xml:space="preserve">, 224 F.3d 496, 498–99 (5th Cir. 2000); Standing Order § 3.4. Claims sounding in fraud must also satisfy Rule 9(b), which requires the plaintiff to “specify the statements contended to be fraudulent, identify the speaker, state when and where the statements were made, and explain why the statements were fraudulent.” </w:t>
      </w:r>
      <w:r>
        <w:rPr>
          <w:i/>
        </w:rPr>
        <w:t>Williams v. WMX Techs., Inc.</w:t>
      </w:r>
      <w:r>
        <w:t xml:space="preserve">, 112 F.3d 175, 177 (5th Cir. 1997); </w:t>
      </w:r>
      <w:r>
        <w:rPr>
          <w:i/>
        </w:rPr>
        <w:t>Benchmark Elecs., Inc. v. J.M. Huber Corp.</w:t>
      </w:r>
      <w:r>
        <w:t>, 343 F.3d 719, 724 (5th Cir. 2003); Standing Order § 4.2.</w:t>
      </w:r>
    </w:p>
    <w:p>
      <w:pPr>
        <w:pStyle w:val="Heading1"/>
        <w:jc w:val="center"/>
      </w:pPr>
      <w:r>
        <w:t>ARGUMENT</w:t>
      </w:r>
    </w:p>
    <w:p>
      <w:pPr>
        <w:pStyle w:val="Heading2"/>
      </w:pPr>
      <w:r>
        <w:t>I. Choice of Law</w:t>
      </w:r>
    </w:p>
    <w:p>
      <w:pPr>
        <w:ind w:firstLine="720"/>
        <w:jc w:val="both"/>
      </w:pPr>
      <w:r>
        <w:t xml:space="preserve">A federal court sitting in diversity applies the forum state’s choice-of-law rules. </w:t>
      </w:r>
      <w:r>
        <w:rPr>
          <w:i/>
        </w:rPr>
        <w:t>Klaxon Co. v. Stentor Elec. Mfg. Co.</w:t>
      </w:r>
      <w:r>
        <w:t xml:space="preserve">, 313 U.S. 487, 496 (1941). Texas enforces contractual choice-of-law clauses under Restatement (Second) of Conflict of Laws § 187. </w:t>
      </w:r>
      <w:r>
        <w:rPr>
          <w:i/>
        </w:rPr>
        <w:t>DeSantis v. Wackenhut Corp.</w:t>
      </w:r>
      <w:r>
        <w:t xml:space="preserve">, 793 S.W.2d 670, 677–78 (Tex. 1990). Delaware law therefore governs construction of the MSLSA and Count I. MSLSA § 12.7. The Fifth Circuit has read a clause providing that “this Agreement” is governed by a given state’s law as not reaching related tort claims, </w:t>
      </w:r>
      <w:r>
        <w:rPr>
          <w:i/>
        </w:rPr>
        <w:t>Benchmark</w:t>
      </w:r>
      <w:r>
        <w:t xml:space="preserve">, 343 F.3d at 726–27, and the FAC pleads Texas law for Counts II–V, FAC ¶¶ 89, 97, 104, 115. Meridian accepts that framing for this motion. The result is the same under either State’s law: both enforce clear non-reliance clauses and bar quasi-contract claims where an express contract governs. </w:t>
      </w:r>
      <w:r>
        <w:rPr>
          <w:i/>
        </w:rPr>
        <w:t>Compare Schlumberger Tech. Corp. v. Swanson</w:t>
      </w:r>
      <w:r>
        <w:t xml:space="preserve">, 959 S.W.2d 171, 179–81 (Tex. 1997), </w:t>
      </w:r>
      <w:r>
        <w:rPr>
          <w:i/>
        </w:rPr>
        <w:t>and Fortune Prod. Co. v. Conoco, Inc.</w:t>
      </w:r>
      <w:r>
        <w:t xml:space="preserve">, 52 S.W.3d 671, 684 (Tex. 2000), </w:t>
      </w:r>
      <w:r>
        <w:rPr>
          <w:i/>
        </w:rPr>
        <w:t>with Abry Partners V, L.P. v. F &amp; W Acquisition LLC</w:t>
      </w:r>
      <w:r>
        <w:t xml:space="preserve">, 891 A.2d 1032, 1057–59 (Del. Ch. 2006), </w:t>
      </w:r>
      <w:r>
        <w:rPr>
          <w:i/>
        </w:rPr>
        <w:t>and Kuroda v. SPJS Holdings, L.L.C.</w:t>
      </w:r>
      <w:r>
        <w:t>, 971 A.2d 872, 891 (Del. Ch. 2009).</w:t>
      </w:r>
    </w:p>
    <w:p>
      <w:pPr>
        <w:pStyle w:val="Heading2"/>
      </w:pPr>
      <w:r>
        <w:t>II. Count V (DTPA) Is Barred by the Statute’s Large-Transaction Exemptions</w:t>
      </w:r>
    </w:p>
    <w:p>
      <w:pPr>
        <w:ind w:firstLine="720"/>
        <w:jc w:val="both"/>
      </w:pPr>
      <w:r>
        <w:t xml:space="preserve">The Legislature has excluded large, counseled commercial transactions from the DTPA. The Act “does not apply to a claim arising out of a written contract if: (1) the contract relates to a transaction, a project, or a set of transactions relating to the same project involving total consideration by the consumer of more than $100,000; (2) in negotiating the contract the consumer is represented by legal counsel who is not directly or indirectly identified, suggested, or selected by the defendant or an agent of the defendant; and (3) the contract does not involve the consumer’s residence.” Tex. Bus. &amp; Com. Code § 17.49(f). Independently, the Act does not apply to “a cause of action arising from a transaction, a project, or a set of transactions relating to the same project, involving total consideration by the consumer of more than $500,000, other than a cause of action involving a consumer’s residence.” </w:t>
      </w:r>
      <w:r>
        <w:rPr>
          <w:i/>
        </w:rPr>
        <w:t>Id.</w:t>
      </w:r>
      <w:r>
        <w:t xml:space="preserve"> § 17.49(g).</w:t>
      </w:r>
    </w:p>
    <w:p>
      <w:pPr>
        <w:ind w:firstLine="720"/>
        <w:jc w:val="both"/>
      </w:pPr>
      <w:r>
        <w:t xml:space="preserve">Both exemptions are established on the face of the FAC. Arcadia sues on a written contract with “total contract value” of $14.7 million, plus $2.35 million in Change Orders. FAC ¶¶ 33–34, 46, 100. Arcadia alleges that it “engaged outside counsel to assist in the negotiation process,” </w:t>
      </w:r>
      <w:r>
        <w:rPr>
          <w:i/>
        </w:rPr>
        <w:t>id.</w:t>
      </w:r>
      <w:r>
        <w:t xml:space="preserve"> ¶ 32—counsel Arcadia itself retained, not counsel selected by Meridian—and the MSLSA records that each party “has been represented by counsel.” MSLSA § 12.1. The transaction is a commercial software license, not Arcadia’s residence. Every DTPA theory Arcadia asserts—the § 17.46(b) laundry-list claims, unconscionability, and breach of express warranty, FAC ¶¶ 108–110—“aris[es] out of” and “from” that transaction. Arcadia’s pre-suit contention that it has less than $25 million in assets is beside the point: asset size bears on the definition of “consumer” in § 17.45(4), not on the § 17.49(f) and (g) exemptions, neither of which contains an asset test. Because amendment cannot alter the size of the transaction or Arcadia’s own allegation that it was represented by counsel, Count V should be dismissed with prejudice.</w:t>
      </w:r>
    </w:p>
    <w:p>
      <w:pPr>
        <w:ind w:firstLine="720"/>
        <w:jc w:val="both"/>
      </w:pPr>
      <w:r>
        <w:t xml:space="preserve">Count V fails for additional reasons. The characteristics-and-quality theories under § 17.46(b)(5) and (7) rest on the same puffery addressed in Part IV.B, which is not actionable under the DTPA. </w:t>
      </w:r>
      <w:r>
        <w:rPr>
          <w:i/>
        </w:rPr>
        <w:t>Presidio Enters., Inc. v. Warner Bros. Distrib. Corp.</w:t>
      </w:r>
      <w:r>
        <w:t xml:space="preserve">, 784 F.2d 674, 679–80 (5th Cir. 1986); </w:t>
      </w:r>
      <w:r>
        <w:rPr>
          <w:i/>
        </w:rPr>
        <w:t>Prudential Ins. Co. of Am. v. Jefferson Assocs., Ltd.</w:t>
      </w:r>
      <w:r>
        <w:t xml:space="preserve">, 896 S.W.2d 156, 163 (Tex. 1995). The express-warranty theory, FAC ¶ 110, cannot rest on pre-sale statements that the MSLSA disclaims and supersedes, MSLSA §§ 9.4, 12.1, and a breach of the § 9.1 warranty is a contract claim subject to that section’s exclusive remedy. The unconscionability allegation, FAC ¶ 109, is a conclusory recital that a sophisticated, counseled party was taken advantage of “to a grossly unfair degree,” which </w:t>
      </w:r>
      <w:r>
        <w:rPr>
          <w:i/>
        </w:rPr>
        <w:t>Iqbal</w:t>
      </w:r>
      <w:r>
        <w:t xml:space="preserve"> does not credit.</w:t>
      </w:r>
    </w:p>
    <w:p>
      <w:pPr>
        <w:pStyle w:val="Heading2"/>
      </w:pPr>
      <w:r>
        <w:t>III. Count IV (Unjust Enrichment) Fails Because an Express Contract Governs</w:t>
      </w:r>
    </w:p>
    <w:p>
      <w:pPr>
        <w:ind w:firstLine="720"/>
        <w:jc w:val="both"/>
      </w:pPr>
      <w:r>
        <w:t xml:space="preserve">Under Texas law, recovery for unjust enrichment is generally unavailable “when a valid, express contract covers the subject matter of the parties’ dispute.” </w:t>
      </w:r>
      <w:r>
        <w:rPr>
          <w:i/>
        </w:rPr>
        <w:t>Fortune Prod.</w:t>
      </w:r>
      <w:r>
        <w:t xml:space="preserve">, 52 S.W.3d at 684. Delaware law is the same. </w:t>
      </w:r>
      <w:r>
        <w:rPr>
          <w:i/>
        </w:rPr>
        <w:t>Kuroda</w:t>
      </w:r>
      <w:r>
        <w:t>, 971 A.2d at 891 (dismissing unjust enrichment claim where contract governed the parties’ relationship). Count IV seeks restitution of the $17.05 million Arcadia paid “under the MSLSA” and the Change Orders for “software licenses, implementation services, maintenance, training, and data migration consulting,” on the theory that the software “failed to provide the functionality and performance for which Arcadia bargained.” FAC ¶¶ 100–102. That is the subject matter of the MSLSA itself.</w:t>
      </w:r>
    </w:p>
    <w:p>
      <w:pPr>
        <w:ind w:firstLine="720"/>
        <w:jc w:val="both"/>
      </w:pPr>
      <w:r>
        <w:t xml:space="preserve">Arcadia’s attempt to plead the claim “in the alternative” and “to the extent the MSLSA or any provision thereof is found to be unenforceable,” FAC ¶ 99, does not save it. Although Rule 8(d) permits alternative pleading, an alternative theory must still be plausible. Arcadia affirmatively alleges that the MSLSA is “a valid and enforceable written contract,” </w:t>
      </w:r>
      <w:r>
        <w:rPr>
          <w:i/>
        </w:rPr>
        <w:t>id.</w:t>
      </w:r>
      <w:r>
        <w:t xml:space="preserve"> ¶ 69; Meridian admits the contract, Answer ¶¶ 11–12; and the FAC pleads no fact suggesting that the agreement, or any provision bearing on the payments at issue, is void. The Change Orders on which Arcadia’s $2.35 million restitution claim partly rests are themselves written contracts incorporated into the MSLSA. MSLSA § 5.4(c); App. 2. A plaintiff may not use unjust enrichment to escape the price, remedy, and damages terms of a contract it concedes is valid and on which it simultaneously sues. Count IV should be dismissed with prejudice.</w:t>
      </w:r>
    </w:p>
    <w:p>
      <w:pPr>
        <w:pStyle w:val="Heading2"/>
      </w:pPr>
      <w:r>
        <w:t>IV. Count II (Fraud) Fails as a Matter of Law</w:t>
      </w:r>
    </w:p>
    <w:p>
      <w:pPr>
        <w:pStyle w:val="Heading3"/>
      </w:pPr>
      <w:r>
        <w:t>A. Arcadia contractually disclaimed reliance on extra-contractual statements.</w:t>
      </w:r>
    </w:p>
    <w:p>
      <w:pPr>
        <w:ind w:firstLine="720"/>
        <w:jc w:val="both"/>
      </w:pPr>
      <w:r>
        <w:t xml:space="preserve">Justifiable reliance is an element of fraud. </w:t>
      </w:r>
      <w:r>
        <w:rPr>
          <w:i/>
        </w:rPr>
        <w:t>Italian Cowboy Partners, Ltd. v. Prudential Ins. Co. of Am.</w:t>
      </w:r>
      <w:r>
        <w:t xml:space="preserve">, 341 S.W.3d 323, 337 (Tex. 2011); </w:t>
      </w:r>
      <w:r>
        <w:rPr>
          <w:i/>
        </w:rPr>
        <w:t>JPMorgan Chase Bank, N.A. v. Orca Assets G.P., L.L.C.</w:t>
      </w:r>
      <w:r>
        <w:t xml:space="preserve">, 546 S.W.3d 648, 653–54 (Tex. 2018). Texas enforces a contractual disclaimer of reliance that bars a fraudulent-inducement claim where the disclaimer is clear and the circumstances show the parties intended to foreclose such claims. </w:t>
      </w:r>
      <w:r>
        <w:rPr>
          <w:i/>
        </w:rPr>
        <w:t>Schlumberger</w:t>
      </w:r>
      <w:r>
        <w:t xml:space="preserve">, 959 S.W.2d at 179–81; </w:t>
      </w:r>
      <w:r>
        <w:rPr>
          <w:i/>
        </w:rPr>
        <w:t>Forest Oil Corp. v. McAllen</w:t>
      </w:r>
      <w:r>
        <w:t xml:space="preserve">, 268 S.W.3d 51, 58–61 (Tex. 2008). </w:t>
      </w:r>
      <w:r>
        <w:rPr>
          <w:i/>
        </w:rPr>
        <w:t>Italian Cowboy</w:t>
      </w:r>
      <w:r>
        <w:t xml:space="preserve"> draws the operative line: a standard merger clause that merely recites that the writing is the entire agreement does not bar fraud claims, but language by which the parties “clearly and unequivocally” disclaim reliance on representations outside the contract does. 341 S.W.3d at 331–36. The relevant circumstances include whether the terms were negotiated rather than boilerplate, whether the complaining party was represented by counsel, whether the parties dealt at arm’s length, and whether they were knowledgeable in business matters. </w:t>
      </w:r>
      <w:r>
        <w:rPr>
          <w:i/>
        </w:rPr>
        <w:t>Forest Oil</w:t>
      </w:r>
      <w:r>
        <w:t>, 268 S.W.3d at 60.</w:t>
      </w:r>
    </w:p>
    <w:p>
      <w:pPr>
        <w:ind w:firstLine="720"/>
        <w:jc w:val="both"/>
      </w:pPr>
      <w:r>
        <w:t xml:space="preserve">Section 12.1 contains exactly the language </w:t>
      </w:r>
      <w:r>
        <w:rPr>
          <w:i/>
        </w:rPr>
        <w:t>Italian Cowboy</w:t>
      </w:r>
      <w:r>
        <w:t xml:space="preserve"> found missing. It does not stop at a merger recital; it states that “[e]ach Party acknowledges that, in entering into this Agreement, it has not relied upon any statement, representation, warranty, or agreement of the other Party except as expressly set forth in this Agreement.” MSLSA § 12.1. It specifically enumerates the categories on which Count II is built—“proposals,” “marketing materials, product descriptions, brochures, presentations, and demonstrations,” and “oral discussions, negotiations, and representations”—and Section 9.4 separately records Arcadia’s acknowledgment that it “relied on its own due diligence and evaluation in selecting the Licensed Software.” </w:t>
      </w:r>
      <w:r>
        <w:rPr>
          <w:i/>
        </w:rPr>
        <w:t>Id.</w:t>
      </w:r>
      <w:r>
        <w:t xml:space="preserve"> §§ 9.4, 12.1. And every </w:t>
      </w:r>
      <w:r>
        <w:rPr>
          <w:i/>
        </w:rPr>
        <w:t>Forest Oil</w:t>
      </w:r>
      <w:r>
        <w:t xml:space="preserve"> circumstance appears on the face of the FAC: Arcadia is a $62 million-revenue enterprise, FAC ¶ 6; it conducted its own due diligence, </w:t>
      </w:r>
      <w:r>
        <w:rPr>
          <w:i/>
        </w:rPr>
        <w:t>id.</w:t>
      </w:r>
      <w:r>
        <w:t xml:space="preserve"> ¶ 31; it retained outside counsel who negotiated the agreement over several weeks and sought changes to the liability and warranty terms, </w:t>
      </w:r>
      <w:r>
        <w:rPr>
          <w:i/>
        </w:rPr>
        <w:t>id.</w:t>
      </w:r>
      <w:r>
        <w:t xml:space="preserve"> ¶ 32; and the parties dealt at arm’s length. Count II seeks to impose liability on precisely the October and November 2021 presentation statements and pre-sale characterizations that Arcadia promised it was not relying upon. FAC ¶¶ 78–79. The disclaimer bars the claim as a matter of law.</w:t>
      </w:r>
    </w:p>
    <w:p>
      <w:pPr>
        <w:ind w:firstLine="720"/>
        <w:jc w:val="both"/>
      </w:pPr>
      <w:r>
        <w:t xml:space="preserve">The same result follows under Delaware law, should the Court apply it. Delaware enforces clear anti-reliance language between sophisticated parties to bar fraud claims premised on extra-contractual statements. </w:t>
      </w:r>
      <w:r>
        <w:rPr>
          <w:i/>
        </w:rPr>
        <w:t>Abry Partners</w:t>
      </w:r>
      <w:r>
        <w:t xml:space="preserve">, 891 A.2d at 1057–59. Arcadia’s allegations that the written proposal’s disclaimers did not retract earlier oral statements, FAC ¶ 27, and that reliance was justified because Meridian had “superior knowledge,” </w:t>
      </w:r>
      <w:r>
        <w:rPr>
          <w:i/>
        </w:rPr>
        <w:t>id.</w:t>
      </w:r>
      <w:r>
        <w:t xml:space="preserve"> ¶ 84, do not address—let alone overcome—the subsequent, negotiated non-reliance acknowledgment in the contract Arcadia signed.</w:t>
      </w:r>
    </w:p>
    <w:p>
      <w:pPr>
        <w:pStyle w:val="Heading3"/>
      </w:pPr>
      <w:r>
        <w:t>B. The core statements are non-actionable puffery or opinion.</w:t>
      </w:r>
    </w:p>
    <w:p>
      <w:pPr>
        <w:ind w:firstLine="720"/>
        <w:jc w:val="both"/>
      </w:pPr>
      <w:r>
        <w:t xml:space="preserve">Independently, the statements on which Arcadia principally relies are not actionable misrepresentations of fact. General statements of product superiority are puffery. </w:t>
      </w:r>
      <w:r>
        <w:rPr>
          <w:i/>
        </w:rPr>
        <w:t>Pizza Hut, Inc. v. Papa John’s Int’l, Inc.</w:t>
      </w:r>
      <w:r>
        <w:t xml:space="preserve">, 227 F.3d 489, 496–97 (5th Cir. 2000); </w:t>
      </w:r>
      <w:r>
        <w:rPr>
          <w:i/>
        </w:rPr>
        <w:t>Prudential</w:t>
      </w:r>
      <w:r>
        <w:t xml:space="preserve">, 896 S.W.2d at 163 (describing a building as “superb” and “super fine” was puffery); </w:t>
      </w:r>
      <w:r>
        <w:rPr>
          <w:i/>
        </w:rPr>
        <w:t>Presidio</w:t>
      </w:r>
      <w:r>
        <w:t xml:space="preserve">, 784 F.2d at 679–81. Whether a statement is one of fact or opinion turns on its specificity, the parties’ comparative knowledge, and whether it concerns past or present facts rather than future events. </w:t>
      </w:r>
      <w:r>
        <w:rPr>
          <w:i/>
        </w:rPr>
        <w:t>Italian Cowboy</w:t>
      </w:r>
      <w:r>
        <w:t>, 341 S.W.3d at 337–38.</w:t>
      </w:r>
    </w:p>
    <w:p>
      <w:pPr>
        <w:ind w:firstLine="720"/>
        <w:jc w:val="both"/>
      </w:pPr>
      <w:r>
        <w:t xml:space="preserve">“[D]elivers industry-leading performance for healthcare analytics,” FAC ¶ 23, is a quintessential unverifiable claim of superiority. So are the unattributed descriptors in paragraph 28—“proven,” “purpose-built,” “straightforward,” “significantly improved,” “superior reliability,” and “comprehensive” support. Statements that implementation “could be completed within approximately six months” and that Meridian would provide support, </w:t>
      </w:r>
      <w:r>
        <w:rPr>
          <w:i/>
        </w:rPr>
        <w:t>id.</w:t>
      </w:r>
      <w:r>
        <w:t xml:space="preserve"> ¶¶ 28(d), 79(e), are predictions about future performance, not representations of existing fact, and the FAC alleges no facts showing that Meridian did not intend to perform when they were made. The “30-40% improvement” statement, which the FAC itself characterizes as describing what “Arcadia could expect,” </w:t>
      </w:r>
      <w:r>
        <w:rPr>
          <w:i/>
        </w:rPr>
        <w:t>id.</w:t>
      </w:r>
      <w:r>
        <w:t xml:space="preserve"> ¶ 23, was expressly qualified in the written proposal Arcadia received before signing as a “performance metric[]” offered “for planning purposes only” that did “not constitute [a] guarantee[].” App. 3. The FAC does not allege that the statement was false as a description of other clients’ experience; it alleges only that Arcadia’s own results were worse, FAC ¶ 79(b)—which says nothing about the truth of the statement when made. The “seamless integration” statement is addressed in Part IV.C.</w:t>
      </w:r>
    </w:p>
    <w:p>
      <w:pPr>
        <w:pStyle w:val="Heading3"/>
      </w:pPr>
      <w:r>
        <w:t>C. The remaining allegations do not satisfy Rule 9(b).</w:t>
      </w:r>
    </w:p>
    <w:p>
      <w:pPr>
        <w:ind w:firstLine="720"/>
        <w:jc w:val="both"/>
      </w:pPr>
      <w:r>
        <w:t xml:space="preserve">Rule 9(b) requires the FAC to identify, for each statement, the speaker, the time and place, the content, and why it was false when made. </w:t>
      </w:r>
      <w:r>
        <w:rPr>
          <w:i/>
        </w:rPr>
        <w:t>Williams</w:t>
      </w:r>
      <w:r>
        <w:t xml:space="preserve">, 112 F.3d at 177–78. The FAC does not do so for most of what Count II relies on. Paragraph 28 attributes seven characterizations to “Meridian’s sales team” “[t]hroughout the pre-sale process,” with no speaker, date, place, or medium. That is the group pleading Standing Order § 4.2 prohibits. Paragraphs 56–60, incorporated into Count II, FAC ¶ 78, rest entirely on “information and belief” with no stated factual basis, which Rule 9(b) does not permit. </w:t>
      </w:r>
      <w:r>
        <w:rPr>
          <w:i/>
        </w:rPr>
        <w:t>Tuchman v. DSC Commc’ns Corp.</w:t>
      </w:r>
      <w:r>
        <w:t>, 14 F.3d 1061, 1068 (5th Cir. 1994).</w:t>
      </w:r>
    </w:p>
    <w:p>
      <w:pPr>
        <w:ind w:firstLine="720"/>
        <w:jc w:val="both"/>
      </w:pPr>
      <w:r>
        <w:t xml:space="preserve">Even the statements the FAC dates and quotes fail on the “why.” As to “will integrate seamlessly with any EHR platform,” FAC ¶ 25, the FAC does not identify which Meridian employee spoke those words (it alleges only that “Meridian’s sales team” did so at a demonstration attended by Mr. Poletti), and its explanation of falsity is that integration turned out to be dependent on “numerous factors” and that NexusCore “did not ‘seamlessly’ integrate with Arcadia’s EHR systems” during implementation. </w:t>
      </w:r>
      <w:r>
        <w:rPr>
          <w:i/>
        </w:rPr>
        <w:t>Id.</w:t>
      </w:r>
      <w:r>
        <w:t xml:space="preserve"> ¶ 26. Alleging that a product later did not perform as hoped does not plead that a statement was false when made. Nor does the FAC plead facts supporting scienter. Its allegation that the speakers “knew” or acted “recklessly,” </w:t>
      </w:r>
      <w:r>
        <w:rPr>
          <w:i/>
        </w:rPr>
        <w:t>id.</w:t>
      </w:r>
      <w:r>
        <w:t xml:space="preserve"> ¶¶ 30, 81, is conclusory, and its only proffered motive—that salespeople earn commissions, </w:t>
      </w:r>
      <w:r>
        <w:rPr>
          <w:i/>
        </w:rPr>
        <w:t>id.</w:t>
      </w:r>
      <w:r>
        <w:t xml:space="preserve"> ¶ 58—is a generic incentive shared by every seller. Although Rule 9(b) permits intent to be alleged generally, the FAC must still set out facts that make an inference of knowing falsity plausible. It sets out none.</w:t>
      </w:r>
    </w:p>
    <w:p>
      <w:pPr>
        <w:pStyle w:val="Heading3"/>
      </w:pPr>
      <w:r>
        <w:t>D. The nondisclosure theory fails for lack of a duty to disclose.</w:t>
      </w:r>
    </w:p>
    <w:p>
      <w:pPr>
        <w:ind w:firstLine="720"/>
        <w:jc w:val="both"/>
      </w:pPr>
      <w:r>
        <w:t xml:space="preserve">Count II’s fraud-by-omission theory, FAC ¶¶ 85–86, requires a duty to disclose. Texas generally imposes no such duty between parties dealing at arm’s length absent a confidential or fiduciary relationship. </w:t>
      </w:r>
      <w:r>
        <w:rPr>
          <w:i/>
        </w:rPr>
        <w:t>See Bombardier Aerospace Corp. v. SPEP Aircraft Holdings, LLC</w:t>
      </w:r>
      <w:r>
        <w:t xml:space="preserve">, 572 S.W.3d 213, 219–20 (Tex. 2019). The FAC pleads no such relationship. Its “partial disclosure” theory, FAC ¶ 86, does not identify which partial disclosure was made, by whom, or when, and the “omitted” facts are pleaded solely on information and belief without any stated basis. </w:t>
      </w:r>
      <w:r>
        <w:rPr>
          <w:i/>
        </w:rPr>
        <w:t>Id.</w:t>
      </w:r>
      <w:r>
        <w:t xml:space="preserve"> ¶¶ 56–60. The non-reliance clause independently forecloses an omission theory premised on the same pre-contract communications. MSLSA § 12.1.</w:t>
      </w:r>
    </w:p>
    <w:p>
      <w:pPr>
        <w:pStyle w:val="Heading2"/>
      </w:pPr>
      <w:r>
        <w:t>V. Count III (Negligent Misrepresentation) Fails</w:t>
      </w:r>
    </w:p>
    <w:p>
      <w:pPr>
        <w:ind w:firstLine="720"/>
        <w:jc w:val="both"/>
      </w:pPr>
      <w:r>
        <w:t xml:space="preserve">Count III rests on the same statements as Count II. FAC ¶ 92 (incorporating ¶¶ 23, 25, 28, 79). Where, as here, a negligent-misrepresentation claim rests on the same alleged facts as a fraud claim, the Fifth Circuit applies Rule 9(b) to both. </w:t>
      </w:r>
      <w:r>
        <w:rPr>
          <w:i/>
        </w:rPr>
        <w:t>Benchmark</w:t>
      </w:r>
      <w:r>
        <w:t xml:space="preserve">, 343 F.3d at 723. The claim therefore fails for the reasons given in Part IV.C. It also fails for lack of justifiable reliance, an element of the tort, </w:t>
      </w:r>
      <w:r>
        <w:rPr>
          <w:i/>
        </w:rPr>
        <w:t>McCamish, Martin, Brown &amp; Loeffler v. F.E. Appling Interests</w:t>
      </w:r>
      <w:r>
        <w:t xml:space="preserve">, 991 S.W.2d 787, 791 (Tex. 1999), which the non-reliance clause negates for the reasons given in Part IV.A, and because puffery and predictions of future performance are not “false information” about existing fact. </w:t>
      </w:r>
      <w:r>
        <w:rPr>
          <w:i/>
        </w:rPr>
        <w:t>See</w:t>
      </w:r>
      <w:r>
        <w:t xml:space="preserve"> Part IV.B.</w:t>
      </w:r>
    </w:p>
    <w:p>
      <w:pPr>
        <w:ind w:firstLine="720"/>
        <w:jc w:val="both"/>
      </w:pPr>
      <w:r>
        <w:t xml:space="preserve">Count III fails for a further, independent reason. Damages for negligent misrepresentation are limited to pecuniary loss caused by reliance; benefit-of-the-bargain damages, including lost profits on the bargain, are not recoverable. </w:t>
      </w:r>
      <w:r>
        <w:rPr>
          <w:i/>
        </w:rPr>
        <w:t>Fed. Land Bank Ass’n of Tyler v. Sloane</w:t>
      </w:r>
      <w:r>
        <w:t xml:space="preserve">, 825 S.W.2d 439, 442–43 (Tex. 1991). A negligent-misrepresentation claim that seeks only the benefit of the bargain therefore fails as a matter of law. </w:t>
      </w:r>
      <w:r>
        <w:rPr>
          <w:i/>
        </w:rPr>
        <w:t>D.S.A., Inc. v. Hillsboro Indep. Sch. Dist.</w:t>
      </w:r>
      <w:r>
        <w:t xml:space="preserve">, 973 S.W.2d 662, 663–64 (Tex. 1998) (per curiam). Count III seeks “no less than $47,300,000,” FAC ¶ 96—the full contract price as “direct damages,” lost profits over five years, and “reputational harm,” </w:t>
      </w:r>
      <w:r>
        <w:rPr>
          <w:i/>
        </w:rPr>
        <w:t>id.</w:t>
      </w:r>
      <w:r>
        <w:t xml:space="preserve"> ¶¶ 62–65—which is the value of the bargain Arcadia says it did not receive. The FAC nowhere isolates any out-of-pocket reliance loss distinct from its contract expectancy.</w:t>
      </w:r>
    </w:p>
    <w:p>
      <w:pPr>
        <w:pStyle w:val="Heading2"/>
      </w:pPr>
      <w:r>
        <w:t>VI. Count I (Breach of Contract) Should Be Dismissed in Substantial Part</w:t>
      </w:r>
    </w:p>
    <w:p>
      <w:pPr>
        <w:ind w:firstLine="720"/>
        <w:jc w:val="both"/>
      </w:pPr>
      <w:r>
        <w:t xml:space="preserve">Under Delaware law, a breach-of-contract plaintiff must plead the existence of a contract, the breach of an obligation imposed by that contract, and resulting damage. </w:t>
      </w:r>
      <w:r>
        <w:rPr>
          <w:i/>
        </w:rPr>
        <w:t>VLIW Tech., LLC v. Hewlett-Packard Co.</w:t>
      </w:r>
      <w:r>
        <w:t xml:space="preserve">, 840 A.2d 606, 612 (Del. 2003). Where the contract’s plain terms place an obligation on the plaintiff, or exclude a category of recovery, the contract controls over the complaint’s characterization. </w:t>
      </w:r>
      <w:r>
        <w:rPr>
          <w:i/>
        </w:rPr>
        <w:t>See Collins</w:t>
      </w:r>
      <w:r>
        <w:t>, 224 F.3d at 498–99. Count I should be dismissed to the extent set out below. Meridian also submits that, once these theories are removed, the FAC fails to identify any specific contractual provision breached by the remaining generalized allegations of delay and deficient implementation, FAC ¶¶ 72(b), (c), (h), and Count I should therefore be dismissed in its entirety. At a minimum, the following theories and remedies should be dismissed.</w:t>
      </w:r>
    </w:p>
    <w:p>
      <w:pPr>
        <w:pStyle w:val="Heading3"/>
      </w:pPr>
      <w:r>
        <w:t>A. Data-migration theories are foreclosed by the contract.</w:t>
      </w:r>
    </w:p>
    <w:p>
      <w:pPr>
        <w:ind w:firstLine="720"/>
        <w:jc w:val="both"/>
      </w:pPr>
      <w:r>
        <w:t xml:space="preserve">Arcadia alleges that Meridian breached by “failing to properly plan, execute, and oversee the data migration,” resulting in “data corruption, incomplete transfers, and data integrity failures.” FAC ¶ 72(d); </w:t>
      </w:r>
      <w:r>
        <w:rPr>
          <w:i/>
        </w:rPr>
        <w:t>see id.</w:t>
      </w:r>
      <w:r>
        <w:t xml:space="preserve"> ¶¶ 43, 47(d), 52. The MSLSA assigns data migration to Arcadia “solely”: Arcadia must perform “all data migration activities, including the extraction, transformation, and loading of legacy data,” through its own personnel or a systems integrator it retains; Meridian’s services are “advisory in nature”; and Meridian has “no responsibility or liability for . . . the accuracy, completeness, integrity, or quality of data migrated,” “data loss, corruption, or errors occurring during the migration process,” or software-performance defects “caused by inaccurate, incomplete, or corrupted migrated data.” MSLSA § 3.4(e) &amp; Ex. C §§ C.1–C.2; SOW-1 §§ 1.2(a), 3.2. Meridian cannot have breached an obligation it did not undertake. Paragraph 72(d), and paragraphs 72(a), (f), and (g) to the extent they rest on data-quality defects, should be dismissed.</w:t>
      </w:r>
    </w:p>
    <w:p>
      <w:pPr>
        <w:pStyle w:val="Heading3"/>
      </w:pPr>
      <w:r>
        <w:t>B. The mutually executed Change Orders cannot constitute a breach.</w:t>
      </w:r>
    </w:p>
    <w:p>
      <w:pPr>
        <w:ind w:firstLine="720"/>
        <w:jc w:val="both"/>
      </w:pPr>
      <w:r>
        <w:t>Arcadia alleges that Meridian breached by “requiring Arcadia to execute Change Orders totaling $2,350,000.” FAC ¶ 72(e). The MSLSA provides that scope changes are effective only through a written Change Order “signed by authorized representatives of both Parties,” which is then incorporated into the agreement. MSLSA § 5.4(c). Each Change Order was executed by both parties. App. 2. Entering into a written amendment that the contract contemplates is not a breach of the contract, and the FAC identifies no provision that obligated Meridian to perform the added work for free. Nor does the FAC allege duress or any other basis for avoiding the Change Orders. Paragraph 72(e) should be dismissed, as should the corresponding $2.35 million component of the damages claim.</w:t>
      </w:r>
    </w:p>
    <w:p>
      <w:pPr>
        <w:pStyle w:val="Heading3"/>
      </w:pPr>
      <w:r>
        <w:t>C. Software-performance theories are limited to the exclusive § 9.1 remedy.</w:t>
      </w:r>
    </w:p>
    <w:p>
      <w:pPr>
        <w:ind w:firstLine="720"/>
        <w:jc w:val="both"/>
      </w:pPr>
      <w:r>
        <w:t xml:space="preserve">Arcadia alleges that Meridian breached by failing to deliver software that “performed substantially in accordance with the documentation” and by delivering software with defects. FAC ¶¶ 72(a), (g). That is the § 9.1 warranty, whose “sole and exclusive remedy” is repair or replacement or, failing cure within 60 days of written notice, a pro-rata refund of pre-paid license fees. MSLSA § 9.1(b); </w:t>
      </w:r>
      <w:r>
        <w:rPr>
          <w:i/>
        </w:rPr>
        <w:t>see id.</w:t>
      </w:r>
      <w:r>
        <w:t xml:space="preserve"> §§ 8.3, 12.20. Section 9.4 disclaims all other warranties, including any warranty that the software “will meet Licensee’s requirements or expectations” or “operate without interruption or be error-free.” </w:t>
      </w:r>
      <w:r>
        <w:rPr>
          <w:i/>
        </w:rPr>
        <w:t>Id.</w:t>
      </w:r>
      <w:r>
        <w:t xml:space="preserve"> § 9.4. Delaware respects the parties’ freedom to define and limit contractual remedies. </w:t>
      </w:r>
      <w:r>
        <w:rPr>
          <w:i/>
        </w:rPr>
        <w:t>See Abry Partners</w:t>
      </w:r>
      <w:r>
        <w:t>, 891 A.2d at 1061–62. The FAC alleges that Meridian released patches, FAC ¶ 53, and does not allege that Arcadia invoked the refund remedy or that it was refused. To the extent Count I rests on software nonconformity, it should be dismissed insofar as it seeks any recovery beyond the § 9.1(b) remedy.</w:t>
      </w:r>
    </w:p>
    <w:p>
      <w:pPr>
        <w:pStyle w:val="Heading3"/>
      </w:pPr>
      <w:r>
        <w:t>D. Consequential and punitive damages are contractually excluded.</w:t>
      </w:r>
    </w:p>
    <w:p>
      <w:pPr>
        <w:ind w:firstLine="720"/>
        <w:jc w:val="both"/>
      </w:pPr>
      <w:r>
        <w:t>Section 8.2 bars recovery of “indirect, incidental, special, consequential, punitive, or exemplary damages, including . . . loss of profits, goodwill, use, data, or other intangible losses,” “regardless of the form of action,” and Section 8.5 provides that the exclusion applies even if a limited remedy fails of its essential purpose. MSLSA §§ 8.2, 8.5. Count I nonetheless seeks $18.4 million in five-year lost profits, $6.7 million in “increased operating costs” for running a legacy system, added staff, and third-party consultants, and $5 million for “reputational harm” from prospective clients that did not sign. FAC ¶¶ 63–65, 74, 123(a). By the FAC’s own description, each is a loss flowing from the alleged breach’s effect on Arcadia’s business rather than the value of the promised performance itself—the definition of consequential damages—and lost profits and goodwill are named expressly. None of the Section 8.4 exceptions is pleaded as to Count I. Count I should be dismissed to the extent it seeks lost profits, reputational or goodwill damages, increased operating costs, and punitive or exemplary damages. Meridian reserves the application of the Section 8.1 cap, whose amount depends on the fee history, for a later stage.</w:t>
      </w:r>
    </w:p>
    <w:p>
      <w:pPr>
        <w:pStyle w:val="Heading1"/>
        <w:jc w:val="center"/>
      </w:pPr>
      <w:r>
        <w:t>CONCLUSION AND PRAYER</w:t>
      </w:r>
    </w:p>
    <w:p>
      <w:pPr>
        <w:ind w:firstLine="720"/>
        <w:jc w:val="both"/>
      </w:pPr>
      <w:r>
        <w:t>Meridian respectfully requests that the Court (1) dismiss Counts II, III, IV, and V of the First Amended Complaint with prejudice; (2) dismiss Count I in its entirety or, alternatively, dismiss Count I to the extent it rests on data migration (FAC ¶ 72(d) and related allegations), on the execution of Change Orders CO-001 through CO-004 (FAC ¶ 72(e)), or on software nonconformity beyond the remedy provided by MSLSA § 9.1(b), and to the extent it seeks lost profits, reputational or goodwill damages, increased operating costs, or punitive or exemplary damages; and (3) grant Meridian all other relief to which it is entitled. Meridian respectfully requests oral argument because the motion presents several dispositive contract-construction questions that argument may help narrow. Standing Order § 3.6.</w:t>
      </w:r>
    </w:p>
    <w:p>
      <w:pPr>
        <w:spacing w:line="240" w:lineRule="auto" w:after="240"/>
      </w:pPr>
      <w:r>
        <w:t>Dated: January [__], 2024</w:t>
      </w:r>
    </w:p>
    <w:p>
      <w:pPr>
        <w:spacing w:line="240" w:lineRule="auto"/>
        <w:ind w:left="4320"/>
      </w:pPr>
      <w:r>
        <w:t>Respectfully submitted,</w:t>
      </w:r>
    </w:p>
    <w:p>
      <w:pPr>
        <w:spacing w:line="240" w:lineRule="auto"/>
        <w:ind w:left="4320"/>
      </w:pPr>
    </w:p>
    <w:p>
      <w:pPr>
        <w:spacing w:line="240" w:lineRule="auto"/>
        <w:ind w:left="4320"/>
      </w:pPr>
      <w:r>
        <w:rPr>
          <w:b/>
        </w:rPr>
        <w:t>STONEBRIDGE &amp; CALLOWAY LLP</w:t>
      </w:r>
    </w:p>
    <w:p>
      <w:pPr>
        <w:spacing w:line="240" w:lineRule="auto"/>
        <w:ind w:left="4320"/>
      </w:pPr>
    </w:p>
    <w:p>
      <w:pPr>
        <w:spacing w:line="240" w:lineRule="auto"/>
        <w:ind w:left="4320"/>
      </w:pPr>
      <w:r>
        <w:t>/s/ [DRAFT — not for signature]</w:t>
      </w:r>
    </w:p>
    <w:p>
      <w:pPr>
        <w:spacing w:line="240" w:lineRule="auto"/>
        <w:ind w:left="4320"/>
      </w:pPr>
      <w:r>
        <w:t>Margaret Calloway</w:t>
      </w:r>
    </w:p>
    <w:p>
      <w:pPr>
        <w:spacing w:line="240" w:lineRule="auto"/>
        <w:ind w:left="4320"/>
      </w:pPr>
      <w:r>
        <w:t>Texas Bar No. [CONFIRM — Answer lists 24037891; Notice of Removal lists 24078153]</w:t>
      </w:r>
    </w:p>
    <w:p>
      <w:pPr>
        <w:spacing w:line="240" w:lineRule="auto"/>
        <w:ind w:left="4320"/>
      </w:pPr>
      <w:r>
        <w:t>David Arsenault</w:t>
      </w:r>
    </w:p>
    <w:p>
      <w:pPr>
        <w:spacing w:line="240" w:lineRule="auto"/>
        <w:ind w:left="4320"/>
      </w:pPr>
      <w:r>
        <w:t>Texas Bar No. [CONFIRM — Answer lists 24098254; Notice of Removal lists 24112490]</w:t>
      </w:r>
    </w:p>
    <w:p>
      <w:pPr>
        <w:spacing w:line="240" w:lineRule="auto"/>
        <w:ind w:left="4320"/>
      </w:pPr>
      <w:r>
        <w:t>600 Congress Avenue, Suite 2800</w:t>
      </w:r>
    </w:p>
    <w:p>
      <w:pPr>
        <w:spacing w:line="240" w:lineRule="auto"/>
        <w:ind w:left="4320"/>
      </w:pPr>
      <w:r>
        <w:t>Austin, Texas 78701</w:t>
      </w:r>
    </w:p>
    <w:p>
      <w:pPr>
        <w:spacing w:line="240" w:lineRule="auto"/>
        <w:ind w:left="4320"/>
      </w:pPr>
      <w:r>
        <w:t>Telephone: (512) [CONFIRM]</w:t>
      </w:r>
    </w:p>
    <w:p>
      <w:pPr>
        <w:spacing w:line="240" w:lineRule="auto"/>
        <w:ind w:left="4320"/>
      </w:pPr>
      <w:r>
        <w:t>Facsimile: (512) [CONFIRM]</w:t>
      </w:r>
    </w:p>
    <w:p>
      <w:pPr>
        <w:spacing w:line="240" w:lineRule="auto"/>
        <w:ind w:left="4320"/>
      </w:pPr>
      <w:r>
        <w:t>mcalloway@stonebridgecalloway.com</w:t>
      </w:r>
    </w:p>
    <w:p>
      <w:pPr>
        <w:spacing w:line="240" w:lineRule="auto"/>
        <w:ind w:left="4320"/>
      </w:pPr>
      <w:r>
        <w:t>darsenault@stonebridgecalloway.com</w:t>
      </w:r>
    </w:p>
    <w:p>
      <w:pPr>
        <w:spacing w:line="240" w:lineRule="auto"/>
        <w:ind w:left="4320"/>
      </w:pPr>
    </w:p>
    <w:p>
      <w:pPr>
        <w:spacing w:line="240" w:lineRule="auto"/>
        <w:ind w:left="4320"/>
      </w:pPr>
      <w:r>
        <w:rPr>
          <w:i/>
        </w:rPr>
        <w:t>Attorneys for Defendant Meridian Cloud Solutions, Inc.</w:t>
      </w:r>
    </w:p>
    <w:p/>
    <w:p>
      <w:pPr>
        <w:pStyle w:val="Heading1"/>
        <w:jc w:val="center"/>
      </w:pPr>
      <w:r>
        <w:t>CERTIFICATE OF CONFERENCE</w:t>
      </w:r>
    </w:p>
    <w:p>
      <w:pPr>
        <w:ind w:firstLine="720"/>
        <w:jc w:val="both"/>
      </w:pPr>
      <w:r>
        <w:t>A certificate of conference complying with Standing Order § 3.1 is being filed as a separate document concurrently with this motion.</w:t>
      </w:r>
    </w:p>
    <w:p>
      <w:pPr>
        <w:pStyle w:val="Heading1"/>
        <w:jc w:val="center"/>
      </w:pPr>
      <w:r>
        <w:t>CERTIFICATE OF SERVICE</w:t>
      </w:r>
    </w:p>
    <w:p>
      <w:pPr>
        <w:ind w:firstLine="720"/>
        <w:jc w:val="both"/>
      </w:pPr>
      <w:r>
        <w:t>I certify that on January [__], 2024, I electronically filed the foregoing with the Clerk of Court using the CM/ECF system, which will send notification of such filing to all counsel of record, including Jonathan Breckenridge, Wexford Hale LLP, 300 West 6th Street, Suite 1500, Austin, Texas 78701, jbreckenridge@wexfordhale.com, counsel for Plaintiff Arcadia Health Systems, LLC.</w:t>
      </w:r>
    </w:p>
    <w:p>
      <w:pPr>
        <w:spacing w:line="240" w:lineRule="auto"/>
        <w:ind w:left="4320"/>
      </w:pPr>
      <w:r>
        <w:t>/s/ [DRAFT]</w:t>
      </w:r>
    </w:p>
    <w:p>
      <w:pPr>
        <w:spacing w:line="240" w:lineRule="auto"/>
        <w:ind w:left="4320"/>
      </w:pPr>
      <w:r>
        <w:t>Margaret Calloway</w:t>
      </w:r>
    </w:p>
    <w:p/>
    <w:p>
      <w:pPr>
        <w:pStyle w:val="Heading1"/>
        <w:jc w:val="center"/>
      </w:pPr>
      <w:r>
        <w:t>INDEX OF APPENDIX (submitted separately)</w:t>
      </w:r>
    </w:p>
    <w:p>
      <w:pPr>
        <w:spacing w:line="240" w:lineRule="auto" w:after="80"/>
      </w:pPr>
      <w:r>
        <w:t>App. 1 — Master Software License and Services Agreement dated March 15, 2022, including Exhibits A–E and Schedule 1 (SOW-1) (FAC Exs. A–B)</w:t>
      </w:r>
    </w:p>
    <w:p>
      <w:pPr>
        <w:spacing w:line="240" w:lineRule="auto" w:after="80"/>
      </w:pPr>
      <w:r>
        <w:t>App. 2 — Change Orders CO-001 through CO-004 (FAC Ex. C)</w:t>
      </w:r>
    </w:p>
    <w:p>
      <w:pPr>
        <w:spacing w:line="240" w:lineRule="auto" w:after="80"/>
      </w:pPr>
      <w:r>
        <w:t>App. 3 — Meridian Written Proposal dated December 9, 2021 (FAC Ex. H)</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C00000"/>
        <w:sz w:val="18"/>
      </w:rPr>
      <w:t>PRIVILEGED DRAFT — DO NOT FILE — HOLD PENDING RESOLUTION OF SUBJECT-MATTER JURISDICTION (SEE COVER MEMO § II.A)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240" w:lineRule="auto"/>
      <w:outlineLvl w:val="0"/>
    </w:pPr>
    <w:rPr>
      <w:rFonts w:asciiTheme="majorHAnsi" w:eastAsiaTheme="majorEastAsia" w:hAnsiTheme="majorHAnsi" w:cstheme="majorBidi" w:ascii="Times New Roman" w:hAnsi="Times New Roman" w:eastAsia="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120" w:line="240" w:lineRule="auto"/>
      <w:outlineLvl w:val="1"/>
    </w:pPr>
    <w:rPr>
      <w:rFonts w:asciiTheme="majorHAnsi" w:eastAsiaTheme="majorEastAsia" w:hAnsiTheme="majorHAnsi" w:cstheme="majorBidi"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120" w:line="240" w:lineRule="auto"/>
      <w:outlineLvl w:val="2"/>
    </w:pPr>
    <w:rPr>
      <w:rFonts w:asciiTheme="majorHAnsi" w:eastAsiaTheme="majorEastAsia" w:hAnsiTheme="majorHAnsi" w:cstheme="majorBidi" w:ascii="Times New Roman" w:hAnsi="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