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center"/>
      </w:pPr>
      <w:r>
        <w:rPr>
          <w:rFonts w:ascii="Times New Roman" w:hAnsi="Times New Roman"/>
          <w:b/>
          <w:sz w:val="24"/>
        </w:rPr>
        <w:t>IN THE UNITED STATES DISTRICT COURT</w:t>
      </w:r>
    </w:p>
    <w:p>
      <w:pPr>
        <w:spacing w:line="276" w:lineRule="auto" w:after="160"/>
        <w:jc w:val="center"/>
      </w:pPr>
      <w:r>
        <w:rPr>
          <w:rFonts w:ascii="Times New Roman" w:hAnsi="Times New Roman"/>
          <w:b/>
          <w:sz w:val="24"/>
        </w:rPr>
        <w:t>FOR THE DISTRICT OF COLORADO</w:t>
      </w:r>
    </w:p>
    <w:tbl>
      <w:tblPr>
        <w:tblW w:type="auto" w:w="0"/>
        <w:jc w:val="center"/>
        <w:tblLayout w:type="fixed"/>
        <w:tblLook w:firstColumn="1" w:firstRow="1" w:lastColumn="0" w:lastRow="0" w:noHBand="0" w:noVBand="1" w:val="04A0"/>
      </w:tblPr>
      <w:tblGrid>
        <w:gridCol w:w="4536"/>
        <w:gridCol w:w="5112"/>
      </w:tblGrid>
      <w:tr>
        <w:trPr>
          <w:cantSplit/>
        </w:trPr>
        <w:tc>
          <w:tcPr>
            <w:tcW w:type="dxa" w:w="4536"/>
            <w:tcMar>
              <w:top w:w="60" w:type="dxa"/>
              <w:start w:w="80" w:type="dxa"/>
              <w:bottom w:w="60" w:type="dxa"/>
              <w:end w:w="80" w:type="dxa"/>
            </w:tcMar>
            <w:vAlign w:val="center"/>
            <w:tcBorders>
              <w:top w:val="nil"/>
              <w:left w:val="nil"/>
              <w:bottom w:val="nil"/>
              <w:right w:val="nil"/>
              <w:insideH w:val="nil"/>
              <w:insideV w:val="nil"/>
            </w:tcBorders>
          </w:tcPr>
          <w:p>
            <w:pPr>
              <w:spacing w:line="276" w:lineRule="auto" w:after="0"/>
            </w:pPr>
            <w:r>
              <w:rPr>
                <w:rFonts w:ascii="Times New Roman" w:hAnsi="Times New Roman"/>
                <w:sz w:val="24"/>
              </w:rPr>
              <w:t>ELENA VASQUEZ,</w:t>
              <w:br/>
              <w:br/>
              <w:t>Plaintiff,</w:t>
              <w:br/>
              <w:br/>
              <w:t>v.</w:t>
              <w:br/>
              <w:br/>
              <w:t>RIDGELINE NATIONAL BANK,</w:t>
              <w:br/>
              <w:br/>
              <w:t>Defendant.</w:t>
            </w:r>
          </w:p>
        </w:tc>
        <w:tc>
          <w:tcPr>
            <w:tcW w:type="dxa" w:w="5112"/>
            <w:tcMar>
              <w:top w:w="60" w:type="dxa"/>
              <w:start w:w="80" w:type="dxa"/>
              <w:bottom w:w="60" w:type="dxa"/>
              <w:end w:w="80" w:type="dxa"/>
            </w:tcMar>
            <w:vAlign w:val="center"/>
            <w:tcBorders>
              <w:top w:val="nil"/>
              <w:left w:val="nil"/>
              <w:bottom w:val="nil"/>
              <w:right w:val="nil"/>
              <w:insideH w:val="nil"/>
              <w:insideV w:val="nil"/>
            </w:tcBorders>
          </w:tcPr>
          <w:p>
            <w:pPr>
              <w:spacing w:line="276" w:lineRule="auto" w:after="0"/>
            </w:pPr>
            <w:r>
              <w:rPr>
                <w:rFonts w:ascii="Times New Roman" w:hAnsi="Times New Roman"/>
                <w:sz w:val="24"/>
              </w:rPr>
              <w:t>Civil Action No. 1:23-cv-03187-RBJ</w:t>
              <w:br/>
              <w:br/>
              <w:t>Hon. Robert B. Jenkins</w:t>
            </w:r>
          </w:p>
        </w:tc>
      </w:tr>
    </w:tbl>
    <w:p>
      <w:pPr>
        <w:spacing w:after="40" w:line="240" w:lineRule="auto"/>
      </w:pPr>
    </w:p>
    <w:p>
      <w:pPr>
        <w:spacing w:line="276" w:lineRule="auto" w:after="160"/>
        <w:jc w:val="center"/>
      </w:pPr>
      <w:r>
        <w:rPr>
          <w:rFonts w:ascii="Times New Roman" w:hAnsi="Times New Roman"/>
          <w:b/>
          <w:sz w:val="24"/>
        </w:rPr>
        <w:t>PLAINTIFF ELENA VASQUEZ’S MEMORANDUM IN OPPOSITION TO</w:t>
        <w:br/>
        <w:t>DEFENDANT RIDGELINE NATIONAL BANK’S MOTION FOR SUMMARY JUDGMENT</w:t>
      </w:r>
    </w:p>
    <w:p>
      <w:pPr>
        <w:spacing w:line="480" w:lineRule="auto" w:after="0"/>
        <w:ind w:firstLine="720"/>
      </w:pPr>
      <w:r>
        <w:t>Plaintiff Elena Vasquez respectfully submits this memorandum in opposition to Defendant Ridgeline National Bank’s motion for summary judgment. The motion should be denied on all three claims. Defendant’s BSA argument improperly treats the confidential FinCEN report as the only protected act, even though the statute expressly protects information given to the employer and Vasquez’s April 3 compliance memorandum was known to the officials who set the termination in motion. The record also permits a finding that those officials suspected Vasquez had prompted the OCC inquiry: General Counsel Hargrove called her the “obvious candidate,” demanded that the source be identified and contained, and Caldwell replied, “Let me handle this.” Thirteen days later, Caldwell placed her on her first PIP in more than eleven years.</w:t>
      </w:r>
    </w:p>
    <w:p>
      <w:pPr>
        <w:spacing w:line="480" w:lineRule="auto" w:after="0"/>
        <w:ind w:firstLine="720"/>
      </w:pPr>
      <w:r>
        <w:t>Defendant’s performance explanation is not undisputed. The signed business plan set a $10 million Q2 origination target, which Vasquez exceeded; the PIP retroactively recast the target as $15 million. Internal Audit rated the loan files later cited as satisfactory. One client whose complaint supposedly supported discipline swears no complaint was ever made, and Caldwell cannot identify a record or source for it. The other complaint was attributed to the principal of the very customer Vasquez had flagged for suspicious activity. The Bank also imposed a 32-day PIP despite a policy requiring at least 60 days absent extraordinary circumstances documented and approved in advance. A jury—not the Court on summary judgment—must decide whether these irregularities reflect poor management or a retaliatory cover story.</w:t>
      </w:r>
    </w:p>
    <w:p>
      <w:pPr>
        <w:spacing w:line="480" w:lineRule="auto" w:after="0"/>
        <w:ind w:firstLine="720"/>
      </w:pPr>
      <w:r>
        <w:t>Finally, SOX expressly includes a subsidiary whose financial information is included in the consolidated financial statements of a publicly traded parent; Defendant’s quotation of § 1514A omits that language. And no federal statute preempts Vasquez’s complementary Colorado public-policy claim. Genuine disputes on motive and pretext, and Defendant’s failure to establish its categorical legal defenses, require trial.</w:t>
      </w:r>
    </w:p>
    <w:p>
      <w:pPr>
        <w:pStyle w:val="Heading1"/>
        <w:keepNext/>
      </w:pPr>
      <w:r>
        <w:t>I. SUMMARY-JUDGMENT STANDARD</w:t>
      </w:r>
    </w:p>
    <w:p>
      <w:pPr>
        <w:spacing w:line="480" w:lineRule="auto" w:after="0"/>
        <w:ind w:firstLine="720"/>
      </w:pPr>
      <w:r>
        <w:t>Summary judgment is proper only if the movant shows that there is no genuine dispute of material fact and that it is entitled to judgment as a matter of law. Fed. R. Civ. P. 56(a). The Court must view the record and draw all reasonable inferences in Vasquez’s favor; it may not weigh evidence, resolve conflicts, or make credibility determinations. Tolan v. Cotton, 572 U.S. 650, 657 (2014); Anderson v. Liberty Lobby, Inc., 477 U.S. 242, 255 (1986). A dispute is genuine when a reasonable jury could return a verdict for the nonmovant. Anderson, 477 U.S. at 248. Evidence that an employer’s stated reason is false, combined with the surrounding circumstances, permits—but does not require—a jury to infer unlawful motive. Reeves v. Sanderson Plumbing Prods., Inc., 530 U.S. 133, 147–49, 150–51 (2000).</w:t>
      </w:r>
    </w:p>
    <w:p>
      <w:pPr>
        <w:spacing w:line="480" w:lineRule="auto" w:after="0"/>
        <w:ind w:firstLine="720"/>
      </w:pPr>
      <w:r>
        <w:t>The BSA and SOX prescribe a contributing-factor standard, not a heightened but-for standard at the employee’s initial stage. Each incorporates the procedures and burdens in 49 U.S.C. § 42121(b): Vasquez must show that protected activity was a contributing factor in the adverse action; the Bank then must prove by clear and convincing evidence that it would have taken the same action absent the protected activity. 31 U.S.C. § 5328(b); 18 U.S.C. § 1514A(b)(2)(C); 49 U.S.C. § 42121(b)(2)(B). The evidence easily creates a jury question under that standard and also defeats Defendant’s alternative McDonnell Douglas argument.</w:t>
      </w:r>
    </w:p>
    <w:p>
      <w:pPr>
        <w:pStyle w:val="Heading1"/>
        <w:keepNext/>
      </w:pPr>
      <w:r>
        <w:t>II. MATERIAL FACTS THAT ARE DISPUTED</w:t>
      </w:r>
    </w:p>
    <w:p>
      <w:pPr>
        <w:spacing w:line="480" w:lineRule="auto" w:after="0"/>
      </w:pPr>
      <w:r>
        <w:t>The following record facts, viewed in Vasquez’s favor, preclude judgment as a matter of law:</w:t>
      </w:r>
    </w:p>
    <w:p>
      <w:pPr>
        <w:spacing w:line="408" w:lineRule="auto" w:after="80"/>
        <w:ind w:left="605" w:hanging="461"/>
      </w:pPr>
      <w:r>
        <w:rPr>
          <w:b/>
        </w:rPr>
        <w:t xml:space="preserve">1. </w:t>
      </w:r>
      <w:r>
        <w:t>Before the events at issue, Caldwell rated Vasquez “Outstanding” in her February 10, 2023 review, described her portfolio management as exemplary, and recorded that she had received positive reviews throughout eleven consecutive years. (Vasquez 2022 Review §§ 2–4; Caldwell Dep. 22–24.)</w:t>
      </w:r>
    </w:p>
    <w:p>
      <w:pPr>
        <w:spacing w:line="408" w:lineRule="auto" w:after="80"/>
        <w:ind w:left="605" w:hanging="461"/>
      </w:pPr>
      <w:r>
        <w:rPr>
          <w:b/>
        </w:rPr>
        <w:t xml:space="preserve">2. </w:t>
      </w:r>
      <w:r>
        <w:t>On April 3, 2023, Vasquez sent Chief Compliance Officer Prescott a detailed memorandum concerning $18.7 million in 63 Orion Gateway wires: funds from six foreign entities remained in the account for two to five business days before transfer to four domestic entities. Vasquez recommended SAR filing and enhanced due diligence. Prescott testified the memo was thorough and the transaction pattern warranted careful review. (Prescott Dep. 27–38; Medina Decl. ¶¶ 7–18.)</w:t>
      </w:r>
    </w:p>
    <w:p>
      <w:pPr>
        <w:spacing w:line="408" w:lineRule="auto" w:after="80"/>
        <w:ind w:left="605" w:hanging="461"/>
      </w:pPr>
      <w:r>
        <w:rPr>
          <w:b/>
        </w:rPr>
        <w:t xml:space="preserve">3. </w:t>
      </w:r>
      <w:r>
        <w:t>Prescott assigned AML Analyst Medina to investigate. Medina concluded that the activity was highly indicative of layering and recommended immediate SARs. Yet Hargrove announced the matter “reviewed and resolved” on May 2, before Medina completed his work; Prescott later told Medina to “stand down.” Prescott had no written analysis supporting Hargrove’s conclusion and acknowledged the review was shorter than she expected. (Prescott Dep. 46–78, 79–92, 169–78; Medina Decl. ¶¶ 17–23.)</w:t>
      </w:r>
    </w:p>
    <w:p>
      <w:pPr>
        <w:spacing w:line="408" w:lineRule="auto" w:after="80"/>
        <w:ind w:left="605" w:hanging="461"/>
      </w:pPr>
      <w:r>
        <w:rPr>
          <w:b/>
        </w:rPr>
        <w:t xml:space="preserve">4. </w:t>
      </w:r>
      <w:r>
        <w:t>After the OCC requested Orion Gateway records on July 28, Hargrove wrote Caldwell on August 1 that the inquiry “almost certainly stems from an internal leak,” identified Vasquez as “the obvious candidate given her April memo,” and said the Bank needed to “identify the source and contain this.” Caldwell responded, “Understood. Let me handle this.” Caldwell later admitted he knew from that email that Vasquez had submitted a memorandum to Compliance. (Hargrove–Caldwell Email, Aug. 1, 2023; Caldwell Dep. 74–80, 121–23; Prescott Dep. 93–108.)</w:t>
      </w:r>
    </w:p>
    <w:p>
      <w:pPr>
        <w:spacing w:line="408" w:lineRule="auto" w:after="80"/>
        <w:ind w:left="605" w:hanging="461"/>
      </w:pPr>
      <w:r>
        <w:rPr>
          <w:b/>
        </w:rPr>
        <w:t xml:space="preserve">5. </w:t>
      </w:r>
      <w:r>
        <w:t>Caldwell testified that, before August 1, he had no documented action toward a PIP; he could not identify when he first considered one, and produced no email, calendar entry, or notes of a pre-August 1 PIP discussion. Vasquez was placed on a PIP on August 14—13 days after Hargrove identified her as the likely source. (Caldwell Dep. 75–79; PIP (Aug. 14, 2023).)</w:t>
      </w:r>
    </w:p>
    <w:p>
      <w:pPr>
        <w:spacing w:line="408" w:lineRule="auto" w:after="80"/>
        <w:ind w:left="605" w:hanging="461"/>
      </w:pPr>
      <w:r>
        <w:rPr>
          <w:b/>
        </w:rPr>
        <w:t xml:space="preserve">6. </w:t>
      </w:r>
      <w:r>
        <w:t>The PIP’s Q2 target was $15 million, but the January business plan signed by Caldwell set the target at $10 million. Vasquez originated $11.3 million. Caldwell admitted she exceeded the written target, could not identify when any increase was communicated, and knew of no written amendment. The Handbook forbids a PIP from introducing a target not previously communicated in writing. (2023 Business Plan § 3; PIP § 3.3; Caldwell Dep. 34–38; Handbook § 7.4.2.)</w:t>
      </w:r>
    </w:p>
    <w:p>
      <w:pPr>
        <w:spacing w:line="408" w:lineRule="auto" w:after="80"/>
        <w:ind w:left="605" w:hanging="461"/>
      </w:pPr>
      <w:r>
        <w:rPr>
          <w:b/>
        </w:rPr>
        <w:t xml:space="preserve">7. </w:t>
      </w:r>
      <w:r>
        <w:t>The PIP claimed deficiencies in the Thornburg, Westlake, and Meridian files, but the May 15 Internal Audit rated the Thornburg, Westlake, and Meridian accounts satisfactory or better and recommended no corrective action. The audit uses somewhat different full entity names for Westlake and Meridian than the PIP; Caldwell nevertheless acknowledged that the three accounts he cited had been rated satisfactory. He could not identify specific missing Westlake documents or the relevant forms for Thornburg, had no retained notes of his own review, did not consult Internal Audit, and did not recall raising these issues with Vasquez before the PIP. (Internal Audit Q1 2023 Report §§ 3–4; Caldwell Dep. 51–54; PIP § 3.1.)</w:t>
      </w:r>
    </w:p>
    <w:p>
      <w:pPr>
        <w:spacing w:line="408" w:lineRule="auto" w:after="80"/>
        <w:ind w:left="605" w:hanging="461"/>
      </w:pPr>
      <w:r>
        <w:rPr>
          <w:b/>
        </w:rPr>
        <w:t xml:space="preserve">8. </w:t>
      </w:r>
      <w:r>
        <w:t>The PIP attributed a responsiveness complaint to Jeffrey Thornburg. Thornburg declares under penalty of perjury that he never complained, was never contacted by the Bank about any complaint, and consistently found Vasquez responsive. Caldwell could not recall who relayed the supposed complaint or identify a supporting record. Caldwell identified the other complainant as Raymond Sellars, Orion Gateway’s principal—the customer whose activity Vasquez had reported. (Thornburg Decl. ¶¶ 2–7; Caldwell Dep. 62–65; PIP § 3.2.)</w:t>
      </w:r>
    </w:p>
    <w:p>
      <w:pPr>
        <w:spacing w:line="408" w:lineRule="auto" w:after="80"/>
        <w:ind w:left="605" w:hanging="461"/>
      </w:pPr>
      <w:r>
        <w:rPr>
          <w:b/>
        </w:rPr>
        <w:t xml:space="preserve">9. </w:t>
      </w:r>
      <w:r>
        <w:t>The PIP ran only 32 days. Handbook § 7.4.3 sets a 60-to-90-day period and permits a shorter period than 60 days only for documented extraordinary circumstances with the HR Director’s prior approval. Caldwell recalled no written justification, said he did not believe he had ever issued another PIP shorter than 60 days, and could not recall HR raising the duration. The Handbook also requires prior notice/coaching, resources and support, regular check-ins, and a written, fact-supported post-PIP determination. (Handbook §§ 7.4.2–7.4.6; PIP §§ 4–6; Caldwell Dep. 92–94.)</w:t>
      </w:r>
    </w:p>
    <w:p>
      <w:pPr>
        <w:spacing w:line="408" w:lineRule="auto" w:after="80"/>
        <w:ind w:left="605" w:hanging="461"/>
      </w:pPr>
      <w:r>
        <w:rPr>
          <w:b/>
        </w:rPr>
        <w:t xml:space="preserve">10. </w:t>
      </w:r>
      <w:r>
        <w:t>Vasquez was terminated September 22. Medina, the AML analyst whose investigation independently corroborated Vasquez, was terminated October 14 in a purported restructuring, although he was the only employee removed and his substantially similar AML position was refilled about three weeks later. Medina had no prior discipline and did not know about Vasquez’s FinCEN report. This evidence is relevant to the Bank’s response to internal reporting and pretext, not proof that the Bank knew of the confidential FinCEN filing. (Termination Letter; Medina Decl. ¶¶ 24–30; Prescott Dep. 116–25.)</w:t>
      </w:r>
    </w:p>
    <w:p>
      <w:pPr>
        <w:pStyle w:val="Heading1"/>
        <w:keepNext/>
      </w:pPr>
      <w:r>
        <w:t>III. ARGUMENT</w:t>
      </w:r>
    </w:p>
    <w:p>
      <w:pPr>
        <w:pStyle w:val="Heading2"/>
        <w:keepNext/>
      </w:pPr>
      <w:r>
        <w:t>A. A jury could find that Ridgeline retaliated against Vasquez for protected BSA reporting.</w:t>
      </w:r>
    </w:p>
    <w:p>
      <w:pPr>
        <w:pStyle w:val="Heading3"/>
        <w:keepNext/>
      </w:pPr>
      <w:r>
        <w:t>1. The BSA protects internal reports to an employer as well as reports to regulators.</w:t>
      </w:r>
    </w:p>
    <w:p>
      <w:pPr>
        <w:spacing w:line="480" w:lineRule="auto" w:after="0"/>
        <w:ind w:firstLine="720"/>
      </w:pPr>
      <w:r>
        <w:t>The Bank’s threshold argument—that Vasquez cannot prove anyone knew she filed a confidential FinCEN tip—misstates both the statute and the record. Section 5328(a)(1) prohibits an employer from discriminating against an employee because of a lawful act “in providing information to the employer or any Federal regulatory or law enforcement agency regarding a violation” of the BSA or its regulations. 31 U.S.C. § 5328(a)(1) (emphasis added). Congress thus protects internal reporting to the employer independently of an external filing. Vasquez’s April 3 memorandum to the Bank’s CCO reported suspected BSA violations and recommended SARs; it is the paradigm of protected internal activity. Defendant’s own statement of facts recognizes that the claims arise from both the April 3 memorandum and the June 15 FinCEN report. (Def.’s SUMF ¶ 44.)</w:t>
      </w:r>
    </w:p>
    <w:p>
      <w:pPr>
        <w:spacing w:line="480" w:lineRule="auto" w:after="0"/>
        <w:ind w:firstLine="720"/>
      </w:pPr>
      <w:r>
        <w:t>Ridgeline indisputably knew of the April memorandum. Prescott received it, acknowledged it, directed a compliance review, escalated it to General Counsel, and assigned Medina to investigate. (Prescott Dep. 27–58.) Hargrove sent Caldwell the memorandum’s subject and identified Vasquez by name as the “obvious candidate” behind the OCC inquiry. Caldwell then admitted that, as of August 1, he knew she had submitted “something to Compliance” about Orion Gateway. (Caldwell Dep. 121–23.) No rule requires an employee to disclose an internal report to the same manager who later acts against her for the employer to be liable; here, in any event, the decisionmaker knew.</w:t>
      </w:r>
    </w:p>
    <w:p>
      <w:pPr>
        <w:spacing w:line="480" w:lineRule="auto" w:after="0"/>
        <w:ind w:firstLine="720"/>
      </w:pPr>
      <w:r>
        <w:t>The report was also protected because it conveyed information about a substantial suspected BSA violation. The underlying records showed $18.7 million moving through the account in 63 wires, from multiple foreign entities to different domestic recipients after only two-to-five-day holding periods. Medina independently found layering indicators and recommended immediate SARs; expert Redmond identified multiple recognized red flags and opined that the activity warranted reporting. (Medina Decl. ¶¶ 12–18; Redmond Report §§ IV–VIII.) Whether the transactions were ultimately illicit is not an element Vasquez must establish to defeat summary judgment on retaliation; the record at minimum supports a reasonable, good-faith report regarding a suspected BSA violation.</w:t>
      </w:r>
    </w:p>
    <w:p>
      <w:pPr>
        <w:pStyle w:val="Heading3"/>
        <w:keepNext/>
      </w:pPr>
      <w:r>
        <w:t>2. Decisionmakers knew of—and acted on—the protected reporting.</w:t>
      </w:r>
    </w:p>
    <w:p>
      <w:pPr>
        <w:spacing w:line="480" w:lineRule="auto" w:after="0"/>
        <w:ind w:firstLine="720"/>
      </w:pPr>
      <w:r>
        <w:t>Even if the Court separately considers the June 15 external report, the confidentiality of FinCEN’s portal does not dispose of the claim. The evidence is that Hargrove and Caldwell believed Vasquez had triggered the regulatory inquiry about the same transactions she had internally reported. Hargrove’s email was not a vague observation: he said the OCC inquiry “almost certainly” came from an internal leak, named Vasquez as the obvious candidate based on her April memo, and demanded identification and containment of the source. Caldwell answered that he would “handle this.” (Hargrove–Caldwell Email, Aug. 1, 2023.) Prescott also testified that Hargrove identified Vasquez as the likely source of information to regulators and said he would discuss it with Caldwell. (Prescott Dep. 93–108.)</w:t>
      </w:r>
    </w:p>
    <w:p>
      <w:pPr>
        <w:spacing w:line="480" w:lineRule="auto" w:after="0"/>
        <w:ind w:firstLine="720"/>
      </w:pPr>
      <w:r>
        <w:t>A jury may infer knowledge and retaliatory intent from what the decisionmakers believed; an employer cannot insulate retaliation merely because its suspicion that an employee reported externally was not confirmed by the agency. The Bank’s argument asks the Court to credit Caldwell’s and Hargrove’s denials over their contemporaneous written words and the timing that followed. Rule 56 does not permit that choice. And the internal memorandum independently satisfies § 5328(a)(1), regardless of whether the Bank knew Vasquez used FinCEN’s portal.</w:t>
      </w:r>
    </w:p>
    <w:p>
      <w:pPr>
        <w:spacing w:line="480" w:lineRule="auto" w:after="0"/>
        <w:ind w:firstLine="720"/>
      </w:pPr>
      <w:r>
        <w:t>Caldwell made the PIP recommendation and signed the termination letter; he also knew of the April memorandum and, at minimum, knew Hargrove believed Vasquez was the OCC source. Hargrove was General Counsel, directed the source-identification effort, and Caldwell testified Hargrove was “generally supportive” of his termination recommendation. (Caldwell Dep. 118–23.) A jury could find direct knowledge and influence. In the alternative, where a biased official’s acts proximately cause an adverse action through another decisionmaker, the “cat’s paw” principle applies. Staub v. Proctor Hosp., 562 U.S. 411, 419–22 (2011).</w:t>
      </w:r>
    </w:p>
    <w:p>
      <w:pPr>
        <w:pStyle w:val="Heading3"/>
        <w:keepNext/>
      </w:pPr>
      <w:r>
        <w:t>3. The temporal sequence and pretext evidence establish at least a contributing factor.</w:t>
      </w:r>
    </w:p>
    <w:p>
      <w:pPr>
        <w:spacing w:line="480" w:lineRule="auto" w:after="0"/>
        <w:ind w:firstLine="720"/>
      </w:pPr>
      <w:r>
        <w:t>The timing is unusually probative when tied to direct evidence of source-hunting. The OCC request arrived July 28; Hargrove named Vasquez on August 1 and sought to identify and contain the “leak”; Caldwell said he would handle it; on August 14 Caldwell issued Vasquez’s first PIP. Caldwell could not identify any dated, written step toward a PIP before the August 1 email. (Caldwell Dep. 75–79.) The sequence supports an inference that the disclosure contributed to the PIP and eventual termination. Under § 5328(b) and § 42121(b), Vasquez need only show that protected activity was a contributing factor. If she does, Ridgeline must prove by clear and convincing evidence that it would have taken the same action in the absence of the protected activity. The disputed performance record cannot meet that demanding defense as a matter of law.</w:t>
      </w:r>
    </w:p>
    <w:p>
      <w:pPr>
        <w:spacing w:line="480" w:lineRule="auto" w:after="0"/>
        <w:ind w:firstLine="720"/>
      </w:pPr>
      <w:r>
        <w:t>The supposed performance basis is contradicted by contemporaneous records and testimony, not merely by Vasquez’s disagreement with management. First, the $15 million benchmark was inconsistent with the signed annual plan. Caldwell signed a $10 million Q2 target; Vasquez produced $11.3 million and therefore exceeded it. The Handbook expressly provides that a PIP may not introduce a target that was not previously communicated in writing. Caldwell could not say when or even with certainty to whom any change was communicated, and acknowledged no email, memorandum, or amendment. (2023 Business Plan § 3; Caldwell Dep. 34–38; Handbook § 7.4.2.) A jury could regard the retroactive $15 million target as fabricated or selectively invoked.</w:t>
      </w:r>
    </w:p>
    <w:p>
      <w:pPr>
        <w:spacing w:line="480" w:lineRule="auto" w:after="0"/>
        <w:ind w:firstLine="720"/>
      </w:pPr>
      <w:r>
        <w:t>Second, the file-documentation charge conflicts with Internal Audit’s May 15 report. Audit rated the Thornburg, Westlake, and Meridian accounts satisfactory or better and recommended no corrective action, specifically finding the Thornburg and Westlake files in good order and the Meridian file well maintained. The audit and PIP use somewhat different full entity names for Westlake and Meridian, but Caldwell acknowledged that all three accounts he cited were rated satisfactory. Caldwell’s later account was undocumented; he could not identify the particular Westlake document, the Thornburg forms, or the date of his review, and admitted he did not consult Internal Audit or raise the issues with Vasquez before the PIP. (Internal Audit Q1 2023 Report §§ 3–4; Caldwell Dep. 51–54.) A jury can credit the formal audit over Caldwell’s unrecorded and imprecise later assessment.</w:t>
      </w:r>
    </w:p>
    <w:p>
      <w:pPr>
        <w:spacing w:line="480" w:lineRule="auto" w:after="0"/>
        <w:ind w:firstLine="720"/>
      </w:pPr>
      <w:r>
        <w:t>Third, the client-complaint charge is sharply disputed. Thornburg—the client named in the PIP—swears that he never complained and that Vasquez was consistently responsive. The Bank never contacted him to confirm a complaint. Caldwell could not identify who supposedly conveyed the complaint or produce a record. (Thornburg Decl. ¶¶ 3–6; Caldwell Dep. 62–65.) The other supposed complainant, Sellars, was the principal of Orion Gateway, the subject of Vasquez’s compliance report. That fact does not prove Sellars’s complaint was false, but it makes the identity and circumstances of the complaint a matter for the jury—especially given its use against the employee who reported his company.</w:t>
      </w:r>
    </w:p>
    <w:p>
      <w:pPr>
        <w:spacing w:line="480" w:lineRule="auto" w:after="0"/>
        <w:ind w:firstLine="720"/>
      </w:pPr>
      <w:r>
        <w:t>Fourth, Ridgeline departed from the mandatory safeguards in its own PIP policy. Section 7.4.3 requires a period of at least 60 days absent extraordinary circumstances documented in writing and approved by the HR Director before issuance. Vasquez received 32 days. Caldwell identified no documented extraordinary circumstances and could not recall a shorter PIP for any other employee. The PIP itself supplies no written explanation for the deviation. The Handbook also requires prior notice and a reasonable opportunity to address concerns, support or training, regular meetings, and a written determination specifying the facts supporting unsuccessful completion. (Handbook §§ 7.4.2–7.4.6; PIP.) The unexplained compression, against a history of no formal discipline and a recent Outstanding review, permits an inference of pretext.</w:t>
      </w:r>
    </w:p>
    <w:p>
      <w:pPr>
        <w:spacing w:line="480" w:lineRule="auto" w:after="0"/>
        <w:ind w:firstLine="720"/>
      </w:pPr>
      <w:r>
        <w:t>The comparator and corroborating evidence reinforce that inference. Two other SVPs under Caldwell—Whitfield and Lomax—received “Needs Improvement” annual ratings, yet neither received a PIP. Whitfield originated the Orion Gateway relationship; Vasquez testified that relationship was outside her portfolio. Caldwell knew Whitfield was the relationship manager but identified no discipline for him. (Caldwell Dep. 102–06; Def.’s SUMF ¶¶ 9–10.) The comparison is not conclusive on its own, but, alongside the altered target, audit conflict, false complaint evidence, and policy departures, it is probative of selective enforcement. Medina’s later firing and rapid replacement likewise provide context for the Bank’s response to internal reporting; Vasquez does not offer Medina’s termination as proof that the Bank knew about her confidential FinCEN report. (Medina Decl. ¶¶ 24–30.)</w:t>
      </w:r>
    </w:p>
    <w:p>
      <w:pPr>
        <w:spacing w:line="480" w:lineRule="auto" w:after="0"/>
        <w:ind w:firstLine="720"/>
      </w:pPr>
      <w:r>
        <w:t>Taken together, the August 1 email, thirteen-day interval, first PIP in Vasquez’s career, policy violations, and demonstrably questionable reasons would permit a reasonable jury to find retaliation. The Bank’s invitation to treat Caldwell’s sworn characterization of the decision as “solely performance-based” as conclusive asks the Court to resolve credibility and weigh competing proof. That is impermissible. See Reeves, 530 U.S. at 150–51.</w:t>
      </w:r>
    </w:p>
    <w:p>
      <w:pPr>
        <w:pStyle w:val="Heading2"/>
        <w:keepNext/>
      </w:pPr>
      <w:r>
        <w:t>B. The SOX claim cannot be dismissed on Defendant’s categorical corporate-coverage theory.</w:t>
      </w:r>
    </w:p>
    <w:p>
      <w:pPr>
        <w:spacing w:line="480" w:lineRule="auto" w:after="0"/>
        <w:ind w:firstLine="720"/>
      </w:pPr>
      <w:r>
        <w:t>Defendant argues only that Ridgeline National Bank is not itself publicly traded. Its argument quotes only part of 18 U.S.C. § 1514A(a) and omits the controlling parent-subsidiary language. The statute covers “[n]o company with a class of securities registered” or required to file reports under the Exchange Act, “including any subsidiary or affiliate whose financial information is included in the consolidated financial statements of such company,” and any officer, employee, contractor, subcontractor, or agent of such company. 18 U.S.C. § 1514A(a) (emphasis added), as amended by Dodd-Frank Wall Street Reform and Consumer Protection Act § 929A, Pub. L. No. 111-203, 124 Stat. 1376, 1852 (2010).</w:t>
      </w:r>
    </w:p>
    <w:p>
      <w:pPr>
        <w:spacing w:line="480" w:lineRule="auto" w:after="0"/>
        <w:ind w:firstLine="720"/>
      </w:pPr>
      <w:r>
        <w:t>The record establishes that Ridgeline Financial Group, Inc. is a NASDAQ-listed bank holding company and that Ridgeline National Bank is its wholly owned subsidiary. (Def.’s SUMF ¶ 2; Prescott Dep. 8–14.) Defendant’s proof that the Bank does not separately issue publicly registered securities, or is not separately listed in EDGAR, does not answer whether the Bank’s financial information is included in the parent’s consolidated financial statements. Nor does Defendant offer evidence that it is excluded. A wholly owned operating bank subsidiary of a publicly traded bank holding company falls within the text when its financial information is consolidated; the Bank cannot obtain judgment by ignoring that statutory clause. At minimum, the record and Defendant’s incomplete showing leave a material coverage question.</w:t>
      </w:r>
    </w:p>
    <w:p>
      <w:pPr>
        <w:spacing w:line="480" w:lineRule="auto" w:after="0"/>
        <w:ind w:firstLine="720"/>
      </w:pPr>
      <w:r>
        <w:t>The statute’s breadth is consistent with Lawson v. FMR LLC, which rejected an artificially narrow construction of SOX and recognized Congress’s purpose of protecting whistleblowers from retaliation in corporate structures that include private entities and service relationships. 571 U.S. 429, 440–42 (2014). The 2010 amendment makes subsidiary coverage explicit. Accordingly, Defendant’s corporate-identity argument does not entitle it to judgment.</w:t>
      </w:r>
    </w:p>
    <w:p>
      <w:pPr>
        <w:spacing w:line="480" w:lineRule="auto" w:after="0"/>
        <w:ind w:firstLine="720"/>
      </w:pPr>
      <w:r>
        <w:t>SOX also uses the contributing-factor framework incorporated from 49 U.S.C. § 42121(b). 18 U.S.C. § 1514A(b)(2)(C). The same evidence of source-identification, decisionmaker knowledge, timing, and pretext raises a jury question on causation. The reports concerned substantial suspected BSA/AML violations and the Bank’s decision to suppress a compliance investigation and decline required reporting. Whether a reasonable employee understood this conduct to implicate federal law relating to fraud against shareholders is a contextual question; the company-coverage ground Defendant actually advances does not resolve it. See 18 U.S.C. § 1514A(a)(1)(C)–(D). In any event, the record permits the inference that a public bank holding company’s consolidated financial and regulatory-risk disclosures could be affected by a bank subsidiary’s concealment of material BSA failures. Defendant has not moved on the statutory subject-matter element or shown an undisputed absence of protected conduct.</w:t>
      </w:r>
    </w:p>
    <w:p>
      <w:pPr>
        <w:spacing w:line="480" w:lineRule="auto" w:after="0"/>
        <w:ind w:firstLine="720"/>
      </w:pPr>
      <w:r>
        <w:t>Because a genuine dispute remains as to whether Ridgeline is a covered subsidiary and the adverse action was motivated in part by the protected disclosures, summary judgment on Count II should be denied.</w:t>
      </w:r>
    </w:p>
    <w:p>
      <w:pPr>
        <w:pStyle w:val="Heading2"/>
        <w:keepNext/>
      </w:pPr>
      <w:r>
        <w:t>C. The Colorado public-policy claim is neither field- nor conflict-preempted.</w:t>
      </w:r>
    </w:p>
    <w:p>
      <w:pPr>
        <w:spacing w:line="480" w:lineRule="auto" w:after="0"/>
        <w:ind w:firstLine="720"/>
      </w:pPr>
      <w:r>
        <w:t>Colorado recognizes a tort claim for discharge in violation of public policy where an employee is terminated for conduct that furthers a clear and substantial public policy. Martin Marietta Corp. v. Lorenz, 823 P.2d 100, 109 (Colo. 1992). The policy must be well established, the employee’s conduct must further it, and the discharge must jeopardize the policy. Id. The BSA’s requirements to detect and report suspicious activity, together with Congress’s express protection for employees who report BSA violations, identify a clear federal public policy. Vasquez reported concrete suspicious transactions through the Bank’s compliance channels, was then believed by senior leadership to have alerted the OCC, and was subjected to adverse action. Retaliating against the employee who raised the concern would deter the very reporting the policy seeks to encourage.</w:t>
      </w:r>
    </w:p>
    <w:p>
      <w:pPr>
        <w:spacing w:line="480" w:lineRule="auto" w:after="0"/>
        <w:ind w:firstLine="720"/>
      </w:pPr>
      <w:r>
        <w:t>Defendant’s field-preemption theory has no textual foundation. The BSA does not state that its whistleblower provisions occupy the entire field of employment remedies or displace state public-policy tort law. A federal statute’s detailed regulatory scheme, without more, does not establish field preemption; the question is whether Congress intended to exclude state law from the field. English v. General Electric Co., 496 U.S. 72, 78–79 (1990). The BSA regulates financial-crime reporting and expressly protects employees; it does not establish a comprehensive national code governing every state-law consequence of retaliatory discharge. Indeed, the state tort operates in the same direction as § 5328 by deterring retaliation and encouraging reporting.</w:t>
      </w:r>
    </w:p>
    <w:p>
      <w:pPr>
        <w:spacing w:line="480" w:lineRule="auto" w:after="0"/>
        <w:ind w:firstLine="720"/>
      </w:pPr>
      <w:r>
        <w:t>There is no conflict preemption either. The Bank can comply with federal law by investigating and reporting suspicious activity and comply with Colorado law by refraining from retaliating against employees who raise concerns. The state tort does not require filing a SAR where federal law would forbid disclosure; it addresses the distinct conduct of firing an employee for reporting a suspected violation. Nor does the possibility of additional state-law damages make compliance with federal law impossible or frustrate a federal objective. Defendant’s argument that Colorado remedies may differ from federal remedies is not a conflict: overlapping remedies are not themselves an obstacle to the federal scheme. See Wyeth v. Levine, 555 U.S. 555, 565, 573 (2009).</w:t>
      </w:r>
    </w:p>
    <w:p>
      <w:pPr>
        <w:spacing w:line="480" w:lineRule="auto" w:after="0"/>
        <w:ind w:firstLine="720"/>
      </w:pPr>
      <w:r>
        <w:t>Defendant’s reliance on Crawford Rehabilitation Services, Inc. v. Weissman is misplaced. Crawford addresses whether a common-law tort is available under Colorado law when an adequate statutory remedy already protects the public policy; it does not hold that federal law preempts the state tort. 938 P.2d 540, 551 (Colo. 1997). Those are distinct inquiries. Defendant has not shown that the BSA’s administrative remedy is an adequate substitute for the full injury and relief asserted here, much less that Congress intended it to be exclusive. A possible overlap in recovery can be addressed through election of remedies or a bar on double recovery; it does not support summary judgment on a Supremacy Clause theory. At minimum, the Court should reject Defendant’s categorical preemption defense. The undisputed evidence of reporting, suspected source identification, and ensuing discipline creates a jury question on the Colorado claim’s elements.</w:t>
      </w:r>
    </w:p>
    <w:p>
      <w:pPr>
        <w:pStyle w:val="Heading1"/>
        <w:keepNext/>
      </w:pPr>
      <w:r>
        <w:t>IV. CONCLUSION</w:t>
      </w:r>
    </w:p>
    <w:p>
      <w:pPr>
        <w:spacing w:line="480" w:lineRule="auto" w:after="0"/>
        <w:ind w:firstLine="720"/>
      </w:pPr>
      <w:r>
        <w:t>The record contains direct evidence of a source-identification effort, decisionmaker knowledge of Vasquez’s protected internal report, close timing, and substantial evidence from which a jury could find the Bank’s stated performance reasons unworthy of credence. The BSA protects reports to the employer; SOX expressly reaches qualifying subsidiaries of public companies; and neither statute preempts the Colorado public-policy claim. Plaintiff respectfully requests that the Court deny Defendant’s motion for summary judgment on Counts I, II, and III.</w:t>
      </w:r>
    </w:p>
    <w:p>
      <w:pPr>
        <w:spacing w:line="276" w:lineRule="auto" w:before="240"/>
      </w:pPr>
      <w:r>
        <w:rPr>
          <w:rFonts w:ascii="Times New Roman" w:hAnsi="Times New Roman"/>
          <w:sz w:val="24"/>
        </w:rPr>
        <w:t>Respectfully submitted,</w:t>
        <w:br/>
        <w:br/>
        <w:t>GARRITY &amp; LOWE LLP</w:t>
        <w:br/>
        <w:br/>
        <w:t>By: /s/ Margaret Garrity</w:t>
        <w:br/>
        <w:t>Margaret Garrity</w:t>
        <w:br/>
        <w:t>James Okafor</w:t>
        <w:br/>
        <w:t>1600 Stout Street, Suite 1050</w:t>
        <w:br/>
        <w:t>Denver, Colorado 80202</w:t>
        <w:br/>
        <w:t>mgarrity@garritylowe.com</w:t>
        <w:br/>
        <w:t>jokafor@garritylowe.com</w:t>
        <w:br/>
        <w:br/>
        <w:t>Attorneys for Plaintiff Elena Vasquez</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18"/>
      </w:rPr>
      <w:t xml:space="preserve">PLAINTIFF’S OPPOSITION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i/>
        <w:sz w:val="18"/>
      </w:rPr>
      <w:t>VASQUEZ v. RIDGELINE NATIONAL BANK  |  CASE NO. 1:23-cv-03187-RBJ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40" w:line="360" w:lineRule="auto"/>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40" w:line="36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20" w:after="40" w:line="360" w:lineRule="auto"/>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 Elena Vasquez’s Memorandum in Opposition to Defendant’s Motion for Summary Judgment</dc:title>
  <dc:subject>Vasquez v. Ridgeline National Bank, Case No. 1:23-cv-03187-RBJ</dc:subject>
  <dc:creator>Garrity &amp; Lowe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