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introduction"/>
    <w:p>
      <w:pPr>
        <w:spacing w:after="0" w:before="0" w:line="240" w:lineRule="auto"/>
        <w:jc w:val="center"/>
      </w:pPr>
      <w:r>
        <w:rPr>
          <w:b/>
          <w:i w:val="0"/>
          <w:sz w:val="24"/>
          <w:u w:val="none"/>
        </w:rPr>
        <w:t>IN THE UNITED STATES DISTRICT COURT</w:t>
      </w:r>
    </w:p>
    <w:p>
      <w:pPr>
        <w:spacing w:after="240" w:before="0" w:line="240" w:lineRule="auto"/>
        <w:jc w:val="center"/>
      </w:pPr>
      <w:r>
        <w:rPr>
          <w:b/>
          <w:i w:val="0"/>
          <w:sz w:val="24"/>
          <w:u w:val="none"/>
        </w:rPr>
        <w:t>FOR THE DISTRICT OF COLORADO</w:t>
      </w:r>
    </w:p>
    <w:p>
      <w:pPr>
        <w:spacing w:after="240" w:before="0" w:line="240" w:lineRule="auto"/>
      </w:pPr>
      <w:r>
        <w:rPr>
          <w:b w:val="0"/>
          <w:i w:val="0"/>
          <w:sz w:val="24"/>
          <w:u w:val="none"/>
        </w:rPr>
        <w:t>Civil Action No. 1:23-cv-03187-RBJ</w:t>
      </w:r>
    </w:p>
    <w:p>
      <w:pPr>
        <w:spacing w:after="240" w:before="0" w:line="240" w:lineRule="auto"/>
      </w:pPr>
      <w:r>
        <w:rPr>
          <w:b w:val="0"/>
          <w:i w:val="0"/>
          <w:sz w:val="24"/>
          <w:u w:val="none"/>
        </w:rPr>
        <w:t>ELENA VASQUEZ,</w:t>
      </w:r>
    </w:p>
    <w:p>
      <w:pPr>
        <w:spacing w:after="240" w:before="0" w:line="240" w:lineRule="auto"/>
        <w:ind w:left="1440"/>
      </w:pPr>
      <w:r>
        <w:rPr>
          <w:b w:val="0"/>
          <w:i w:val="0"/>
          <w:sz w:val="24"/>
          <w:u w:val="none"/>
        </w:rPr>
        <w:t>Plaintiff,</w:t>
      </w:r>
    </w:p>
    <w:p>
      <w:pPr>
        <w:spacing w:after="240" w:before="0" w:line="240" w:lineRule="auto"/>
      </w:pPr>
      <w:r>
        <w:rPr>
          <w:b w:val="0"/>
          <w:i w:val="0"/>
          <w:sz w:val="24"/>
          <w:u w:val="none"/>
        </w:rPr>
        <w:t>v.</w:t>
      </w:r>
    </w:p>
    <w:p>
      <w:pPr>
        <w:spacing w:after="240" w:before="0" w:line="240" w:lineRule="auto"/>
      </w:pPr>
      <w:r>
        <w:rPr>
          <w:b w:val="0"/>
          <w:i w:val="0"/>
          <w:sz w:val="24"/>
          <w:u w:val="none"/>
        </w:rPr>
        <w:t>RIDGELINE NATIONAL BANK,</w:t>
      </w:r>
    </w:p>
    <w:p>
      <w:pPr>
        <w:spacing w:after="120" w:before="0" w:line="240" w:lineRule="auto"/>
        <w:ind w:left="1440"/>
      </w:pPr>
      <w:r>
        <w:rPr>
          <w:b w:val="0"/>
          <w:i w:val="0"/>
          <w:sz w:val="24"/>
          <w:u w:val="none"/>
        </w:rPr>
        <w:t>Defendant.</w:t>
      </w:r>
    </w:p>
    <w:p>
      <w:pPr>
        <w:spacing w:after="240" w:before="0" w:line="240" w:lineRule="auto"/>
      </w:pPr>
      <w:r>
        <w:rPr>
          <w:b w:val="0"/>
          <w:i w:val="0"/>
          <w:sz w:val="24"/>
          <w:u w:val="none"/>
        </w:rPr>
        <w:t>______________________________________________________________________________</w:t>
      </w:r>
    </w:p>
    <w:p>
      <w:pPr>
        <w:spacing w:after="120" w:before="0" w:line="240" w:lineRule="auto"/>
        <w:jc w:val="center"/>
      </w:pPr>
      <w:r>
        <w:rPr>
          <w:b/>
          <w:i w:val="0"/>
          <w:sz w:val="24"/>
          <w:u w:val="none"/>
        </w:rPr>
        <w:t>PLAINTIFF ELENA VASQUEZ'S MEMORANDUM OF LAW IN OPPOSITION TO DEFENDANT RIDGELINE NATIONAL BANK'S MOTION FOR SUMMARY JUDGMENT</w:t>
      </w:r>
    </w:p>
    <w:p>
      <w:pPr>
        <w:spacing w:after="240" w:before="0" w:line="240" w:lineRule="auto"/>
      </w:pPr>
      <w:r>
        <w:rPr>
          <w:b w:val="0"/>
          <w:i w:val="0"/>
          <w:sz w:val="24"/>
          <w:u w:val="none"/>
        </w:rPr>
        <w:t>______________________________________________________________________________</w:t>
      </w:r>
    </w:p>
    <w:p>
      <w:pPr>
        <w:spacing w:after="240" w:before="0" w:line="480" w:lineRule="auto"/>
        <w:ind w:firstLine="720"/>
        <w:jc w:val="both"/>
      </w:pPr>
      <w:r>
        <w:rPr>
          <w:b w:val="0"/>
          <w:i w:val="0"/>
          <w:sz w:val="24"/>
          <w:u w:val="none"/>
        </w:rPr>
        <w:t>Plaintiff Elena Vasquez, through undersigned counsel, respectfully submits this Memorandum of Law in Opposition to Defendant Ridgeline National Bank's Motion for Summary Judgment. For the reasons below, the Motion should be denied in its entirety.</w:t>
      </w:r>
    </w:p>
    <w:p>
      <w:pPr>
        <w:pageBreakBefore/>
        <w:spacing w:after="240" w:before="0" w:line="240" w:lineRule="auto"/>
        <w:jc w:val="center"/>
      </w:pPr>
      <w:r>
        <w:rPr>
          <w:b/>
          <w:i w:val="0"/>
          <w:sz w:val="24"/>
          <w:u w:val="none"/>
        </w:rPr>
        <w:t>TABLE OF CONTENTS</w:t>
      </w:r>
    </w:p>
    <w:p>
      <w:pPr>
        <w:spacing w:after="0" w:before="0" w:line="240" w:lineRule="auto"/>
      </w:pPr>
      <w:r>
        <w:fldChar w:fldCharType="begin"/>
        <w:instrText xml:space="preserve">TOC \o "1-3" \h \z \u</w:instrText>
        <w:fldChar w:fldCharType="separate"/>
      </w:r>
      <w:r>
        <w:rPr>
          <w:i/>
        </w:rPr>
        <w:t>[Right-click and select "Update Field" to generate the Table of Contents.]</w:t>
      </w:r>
      <w:r>
        <w:fldChar w:fldCharType="end"/>
      </w:r>
    </w:p>
    <w:p>
      <w:pPr>
        <w:pageBreakBefore/>
        <w:spacing w:after="240" w:before="0" w:line="240" w:lineRule="auto"/>
        <w:jc w:val="center"/>
      </w:pPr>
      <w:r>
        <w:rPr>
          <w:b/>
          <w:i w:val="0"/>
          <w:sz w:val="24"/>
          <w:u w:val="none"/>
        </w:rPr>
        <w:t>INDEX OF PLAINTIFF'S EXHIBITS</w:t>
      </w:r>
    </w:p>
    <w:tbl>
      <w:tblPr>
        <w:tblW w:type="auto" w:w="0"/>
        <w:tblLook w:firstColumn="1" w:firstRow="1" w:lastColumn="0" w:lastRow="0" w:noHBand="0" w:noVBand="1" w:val="04A0"/>
      </w:tblPr>
      <w:tblGrid>
        <w:gridCol w:w="1296"/>
        <w:gridCol w:w="8064"/>
      </w:tblGrid>
      <w:tr>
        <w:tc>
          <w:tcPr>
            <w:tcW w:type="dxa" w:w="1296"/>
          </w:tcPr>
          <w:p>
            <w:pPr>
              <w:spacing w:after="80"/>
            </w:pPr>
            <w:r>
              <w:rPr>
                <w:rFonts w:ascii="Times New Roman" w:hAnsi="Times New Roman"/>
                <w:sz w:val="24"/>
              </w:rPr>
              <w:t>Ex. 1</w:t>
            </w:r>
          </w:p>
        </w:tc>
        <w:tc>
          <w:tcPr>
            <w:tcW w:type="dxa" w:w="8064"/>
          </w:tcPr>
          <w:p>
            <w:pPr>
              <w:spacing w:after="80"/>
            </w:pPr>
            <w:r>
              <w:rPr>
                <w:rFonts w:ascii="Times New Roman" w:hAnsi="Times New Roman"/>
                <w:sz w:val="24"/>
              </w:rPr>
              <w:t>Deposition of Marcus Caldwell (Mar. 8, 2024), excerpts ("Caldwell Dep.")</w:t>
            </w:r>
          </w:p>
        </w:tc>
      </w:tr>
      <w:tr>
        <w:tc>
          <w:tcPr>
            <w:tcW w:type="dxa" w:w="1296"/>
          </w:tcPr>
          <w:p>
            <w:pPr>
              <w:spacing w:after="80"/>
            </w:pPr>
            <w:r>
              <w:rPr>
                <w:rFonts w:ascii="Times New Roman" w:hAnsi="Times New Roman"/>
                <w:sz w:val="24"/>
              </w:rPr>
              <w:t>Ex. 2</w:t>
            </w:r>
          </w:p>
        </w:tc>
        <w:tc>
          <w:tcPr>
            <w:tcW w:type="dxa" w:w="8064"/>
          </w:tcPr>
          <w:p>
            <w:pPr>
              <w:spacing w:after="80"/>
            </w:pPr>
            <w:r>
              <w:rPr>
                <w:rFonts w:ascii="Times New Roman" w:hAnsi="Times New Roman"/>
                <w:sz w:val="24"/>
              </w:rPr>
              <w:t>Deposition of Diane Prescott (Mar. 8, 2024), excerpts ("Prescott Dep.")</w:t>
            </w:r>
          </w:p>
        </w:tc>
      </w:tr>
      <w:tr>
        <w:tc>
          <w:tcPr>
            <w:tcW w:type="dxa" w:w="1296"/>
          </w:tcPr>
          <w:p>
            <w:pPr>
              <w:spacing w:after="80"/>
            </w:pPr>
            <w:r>
              <w:rPr>
                <w:rFonts w:ascii="Times New Roman" w:hAnsi="Times New Roman"/>
                <w:sz w:val="24"/>
              </w:rPr>
              <w:t>Ex. 3</w:t>
            </w:r>
          </w:p>
        </w:tc>
        <w:tc>
          <w:tcPr>
            <w:tcW w:type="dxa" w:w="8064"/>
          </w:tcPr>
          <w:p>
            <w:pPr>
              <w:spacing w:after="80"/>
            </w:pPr>
            <w:r>
              <w:rPr>
                <w:rFonts w:ascii="Times New Roman" w:hAnsi="Times New Roman"/>
                <w:sz w:val="24"/>
              </w:rPr>
              <w:t>Email chain between T. Hargrove and M. Caldwell, Aug. 1, 2023 (RNB-004731)</w:t>
            </w:r>
          </w:p>
        </w:tc>
      </w:tr>
      <w:tr>
        <w:tc>
          <w:tcPr>
            <w:tcW w:type="dxa" w:w="1296"/>
          </w:tcPr>
          <w:p>
            <w:pPr>
              <w:spacing w:after="80"/>
            </w:pPr>
            <w:r>
              <w:rPr>
                <w:rFonts w:ascii="Times New Roman" w:hAnsi="Times New Roman"/>
                <w:sz w:val="24"/>
              </w:rPr>
              <w:t>Ex. 4</w:t>
            </w:r>
          </w:p>
        </w:tc>
        <w:tc>
          <w:tcPr>
            <w:tcW w:type="dxa" w:w="8064"/>
          </w:tcPr>
          <w:p>
            <w:pPr>
              <w:spacing w:after="80"/>
            </w:pPr>
            <w:r>
              <w:rPr>
                <w:rFonts w:ascii="Times New Roman" w:hAnsi="Times New Roman"/>
                <w:sz w:val="24"/>
              </w:rPr>
              <w:t>Email from D. Prescott to E. Vasquez, Apr. 18, 2023 (RNB-00412)</w:t>
            </w:r>
          </w:p>
        </w:tc>
      </w:tr>
      <w:tr>
        <w:tc>
          <w:tcPr>
            <w:tcW w:type="dxa" w:w="1296"/>
          </w:tcPr>
          <w:p>
            <w:pPr>
              <w:spacing w:after="80"/>
            </w:pPr>
            <w:r>
              <w:rPr>
                <w:rFonts w:ascii="Times New Roman" w:hAnsi="Times New Roman"/>
                <w:sz w:val="24"/>
              </w:rPr>
              <w:t>Ex. 5</w:t>
            </w:r>
          </w:p>
        </w:tc>
        <w:tc>
          <w:tcPr>
            <w:tcW w:type="dxa" w:w="8064"/>
          </w:tcPr>
          <w:p>
            <w:pPr>
              <w:spacing w:after="80"/>
            </w:pPr>
            <w:r>
              <w:rPr>
                <w:rFonts w:ascii="Times New Roman" w:hAnsi="Times New Roman"/>
                <w:sz w:val="24"/>
              </w:rPr>
              <w:t>Ridgeline National Bank Employee Handbook § 7.4 ("Handbook")</w:t>
            </w:r>
          </w:p>
        </w:tc>
      </w:tr>
      <w:tr>
        <w:tc>
          <w:tcPr>
            <w:tcW w:type="dxa" w:w="1296"/>
          </w:tcPr>
          <w:p>
            <w:pPr>
              <w:spacing w:after="80"/>
            </w:pPr>
            <w:r>
              <w:rPr>
                <w:rFonts w:ascii="Times New Roman" w:hAnsi="Times New Roman"/>
                <w:sz w:val="24"/>
              </w:rPr>
              <w:t>Ex. 6</w:t>
            </w:r>
          </w:p>
        </w:tc>
        <w:tc>
          <w:tcPr>
            <w:tcW w:type="dxa" w:w="8064"/>
          </w:tcPr>
          <w:p>
            <w:pPr>
              <w:spacing w:after="80"/>
            </w:pPr>
            <w:r>
              <w:rPr>
                <w:rFonts w:ascii="Times New Roman" w:hAnsi="Times New Roman"/>
                <w:sz w:val="24"/>
              </w:rPr>
              <w:t>Internal Audit Q1 2023 Quarterly Audit Report, No. IA-2023-Q1-CL-007 (May 15, 2023)</w:t>
            </w:r>
          </w:p>
        </w:tc>
      </w:tr>
      <w:tr>
        <w:tc>
          <w:tcPr>
            <w:tcW w:type="dxa" w:w="1296"/>
          </w:tcPr>
          <w:p>
            <w:pPr>
              <w:spacing w:after="80"/>
            </w:pPr>
            <w:r>
              <w:rPr>
                <w:rFonts w:ascii="Times New Roman" w:hAnsi="Times New Roman"/>
                <w:sz w:val="24"/>
              </w:rPr>
              <w:t>Ex. 7</w:t>
            </w:r>
          </w:p>
        </w:tc>
        <w:tc>
          <w:tcPr>
            <w:tcW w:type="dxa" w:w="8064"/>
          </w:tcPr>
          <w:p>
            <w:pPr>
              <w:spacing w:after="80"/>
            </w:pPr>
            <w:r>
              <w:rPr>
                <w:rFonts w:ascii="Times New Roman" w:hAnsi="Times New Roman"/>
                <w:sz w:val="24"/>
              </w:rPr>
              <w:t>E. Vasquez 2022 Annual Performance Review (Feb. 10, 2023)</w:t>
            </w:r>
          </w:p>
        </w:tc>
      </w:tr>
      <w:tr>
        <w:tc>
          <w:tcPr>
            <w:tcW w:type="dxa" w:w="1296"/>
          </w:tcPr>
          <w:p>
            <w:pPr>
              <w:spacing w:after="80"/>
            </w:pPr>
            <w:r>
              <w:rPr>
                <w:rFonts w:ascii="Times New Roman" w:hAnsi="Times New Roman"/>
                <w:sz w:val="24"/>
              </w:rPr>
              <w:t>Ex. 8</w:t>
            </w:r>
          </w:p>
        </w:tc>
        <w:tc>
          <w:tcPr>
            <w:tcW w:type="dxa" w:w="8064"/>
          </w:tcPr>
          <w:p>
            <w:pPr>
              <w:spacing w:after="80"/>
            </w:pPr>
            <w:r>
              <w:rPr>
                <w:rFonts w:ascii="Times New Roman" w:hAnsi="Times New Roman"/>
                <w:sz w:val="24"/>
              </w:rPr>
              <w:t>E. Vasquez 2023 Annual Business Plan (approved Jan. 20, 2023)</w:t>
            </w:r>
          </w:p>
        </w:tc>
      </w:tr>
      <w:tr>
        <w:tc>
          <w:tcPr>
            <w:tcW w:type="dxa" w:w="1296"/>
          </w:tcPr>
          <w:p>
            <w:pPr>
              <w:spacing w:after="80"/>
            </w:pPr>
            <w:r>
              <w:rPr>
                <w:rFonts w:ascii="Times New Roman" w:hAnsi="Times New Roman"/>
                <w:sz w:val="24"/>
              </w:rPr>
              <w:t>Ex. 9</w:t>
            </w:r>
          </w:p>
        </w:tc>
        <w:tc>
          <w:tcPr>
            <w:tcW w:type="dxa" w:w="8064"/>
          </w:tcPr>
          <w:p>
            <w:pPr>
              <w:spacing w:after="80"/>
            </w:pPr>
            <w:r>
              <w:rPr>
                <w:rFonts w:ascii="Times New Roman" w:hAnsi="Times New Roman"/>
                <w:sz w:val="24"/>
              </w:rPr>
              <w:t>Performance Improvement Plan (Aug. 14, 2023) ("PIP")</w:t>
            </w:r>
          </w:p>
        </w:tc>
      </w:tr>
      <w:tr>
        <w:tc>
          <w:tcPr>
            <w:tcW w:type="dxa" w:w="1296"/>
          </w:tcPr>
          <w:p>
            <w:pPr>
              <w:spacing w:after="80"/>
            </w:pPr>
            <w:r>
              <w:rPr>
                <w:rFonts w:ascii="Times New Roman" w:hAnsi="Times New Roman"/>
                <w:sz w:val="24"/>
              </w:rPr>
              <w:t>Ex. 10</w:t>
            </w:r>
          </w:p>
        </w:tc>
        <w:tc>
          <w:tcPr>
            <w:tcW w:type="dxa" w:w="8064"/>
          </w:tcPr>
          <w:p>
            <w:pPr>
              <w:spacing w:after="80"/>
            </w:pPr>
            <w:r>
              <w:rPr>
                <w:rFonts w:ascii="Times New Roman" w:hAnsi="Times New Roman"/>
                <w:sz w:val="24"/>
              </w:rPr>
              <w:t>Notice of Termination of Employment (Sept. 22, 2023)</w:t>
            </w:r>
          </w:p>
        </w:tc>
      </w:tr>
      <w:tr>
        <w:tc>
          <w:tcPr>
            <w:tcW w:type="dxa" w:w="1296"/>
          </w:tcPr>
          <w:p>
            <w:pPr>
              <w:spacing w:after="80"/>
            </w:pPr>
            <w:r>
              <w:rPr>
                <w:rFonts w:ascii="Times New Roman" w:hAnsi="Times New Roman"/>
                <w:sz w:val="24"/>
              </w:rPr>
              <w:t>Ex. 11</w:t>
            </w:r>
          </w:p>
        </w:tc>
        <w:tc>
          <w:tcPr>
            <w:tcW w:type="dxa" w:w="8064"/>
          </w:tcPr>
          <w:p>
            <w:pPr>
              <w:spacing w:after="80"/>
            </w:pPr>
            <w:r>
              <w:rPr>
                <w:rFonts w:ascii="Times New Roman" w:hAnsi="Times New Roman"/>
                <w:sz w:val="24"/>
              </w:rPr>
              <w:t>Declaration of Carlos Medina (Apr. 22, 2024) ("Medina Decl.")</w:t>
            </w:r>
          </w:p>
        </w:tc>
      </w:tr>
      <w:tr>
        <w:tc>
          <w:tcPr>
            <w:tcW w:type="dxa" w:w="1296"/>
          </w:tcPr>
          <w:p>
            <w:pPr>
              <w:spacing w:after="80"/>
            </w:pPr>
            <w:r>
              <w:rPr>
                <w:rFonts w:ascii="Times New Roman" w:hAnsi="Times New Roman"/>
                <w:sz w:val="24"/>
              </w:rPr>
              <w:t>Ex. 12</w:t>
            </w:r>
          </w:p>
        </w:tc>
        <w:tc>
          <w:tcPr>
            <w:tcW w:type="dxa" w:w="8064"/>
          </w:tcPr>
          <w:p>
            <w:pPr>
              <w:spacing w:after="80"/>
            </w:pPr>
            <w:r>
              <w:rPr>
                <w:rFonts w:ascii="Times New Roman" w:hAnsi="Times New Roman"/>
                <w:sz w:val="24"/>
              </w:rPr>
              <w:t>Declaration of Jeffrey Thornburg (Apr. 22, 2024) ("Thornburg Decl.")</w:t>
            </w:r>
          </w:p>
        </w:tc>
      </w:tr>
      <w:tr>
        <w:tc>
          <w:tcPr>
            <w:tcW w:type="dxa" w:w="1296"/>
          </w:tcPr>
          <w:p>
            <w:pPr>
              <w:spacing w:after="80"/>
            </w:pPr>
            <w:r>
              <w:rPr>
                <w:rFonts w:ascii="Times New Roman" w:hAnsi="Times New Roman"/>
                <w:sz w:val="24"/>
              </w:rPr>
              <w:t>Ex. 13</w:t>
            </w:r>
          </w:p>
        </w:tc>
        <w:tc>
          <w:tcPr>
            <w:tcW w:type="dxa" w:w="8064"/>
          </w:tcPr>
          <w:p>
            <w:pPr>
              <w:spacing w:after="80"/>
            </w:pPr>
            <w:r>
              <w:rPr>
                <w:rFonts w:ascii="Times New Roman" w:hAnsi="Times New Roman"/>
                <w:sz w:val="24"/>
              </w:rPr>
              <w:t>Expert Report of Dr. Anita Redmond, Ph.D. (Jan. 15, 2024) ("Redmond Rpt.")</w:t>
            </w:r>
          </w:p>
        </w:tc>
      </w:tr>
    </w:tbl>
    <w:p>
      <w:pPr>
        <w:spacing w:after="240" w:before="240" w:line="240" w:lineRule="auto"/>
        <w:jc w:val="both"/>
      </w:pPr>
      <w:r>
        <w:rPr>
          <w:b w:val="0"/>
          <w:i w:val="0"/>
          <w:sz w:val="24"/>
          <w:u w:val="none"/>
        </w:rPr>
        <w:t>Deposition citations refer to transcript page numbers. "Br." refers to Defendant's Memorandum of Law (Apr. 1, 2024). "SUMF" refers to Defendant's Statement of Undisputed Material Facts. "PSAF" refers to Plaintiff's Statement of Additional Disputed Facts (Part III below).</w:t>
      </w:r>
    </w:p>
    <w:p>
      <w:pPr>
        <w:pStyle w:val="Heading1"/>
        <w:pageBreakBefore/>
      </w:pPr>
      <w:r>
        <w:rPr>
          <w:color w:val="000000"/>
        </w:rPr>
        <w:t xml:space="preserve">I. INTRODUCTION</w:t>
      </w:r>
    </w:p>
    <w:p>
      <w:pPr>
        <w:pStyle w:val="FirstParagraph"/>
      </w:pPr>
      <w:r>
        <w:rPr>
          <w:color w:val="000000"/>
        </w:rPr>
        <w:t xml:space="preserve">Defendant Ridgeline National Bank (the</w:t>
      </w:r>
      <w:r>
        <w:rPr>
          <w:color w:val="000000"/>
        </w:rPr>
        <w:t xml:space="preserve"> </w:t>
      </w:r>
      <w:r>
        <w:rPr>
          <w:color w:val="000000"/>
        </w:rPr>
        <w:t xml:space="preserve">“</w:t>
      </w:r>
      <w:r>
        <w:rPr>
          <w:color w:val="000000"/>
        </w:rPr>
        <w:t xml:space="preserve">Bank</w:t>
      </w:r>
      <w:r>
        <w:rPr>
          <w:color w:val="000000"/>
        </w:rPr>
        <w:t xml:space="preserve">”</w:t>
      </w:r>
      <w:r>
        <w:rPr>
          <w:color w:val="000000"/>
        </w:rPr>
        <w:t xml:space="preserve">) asks the Court to hold, as a matter of law, that nothing about the termination of Elena Vasquez could be retaliatory. The record it asks the Court to ignore shows the following sequence:</w:t>
      </w:r>
    </w:p>
    <w:p>
      <w:pPr>
        <w:pStyle w:val="BlockText"/>
      </w:pPr>
      <w:r>
        <w:rPr>
          <w:b/>
          <w:bCs/>
          <w:color w:val="000000"/>
        </w:rPr>
        <w:t xml:space="preserve">February 10, 2023:</w:t>
      </w:r>
      <w:r>
        <w:rPr>
          <w:color w:val="000000"/>
        </w:rPr>
        <w:t xml:space="preserve"> </w:t>
      </w:r>
      <w:r>
        <w:rPr>
          <w:color w:val="000000"/>
        </w:rPr>
        <w:t xml:space="preserve">Regional President Marcus Caldwell rates Ms. Vasquez</w:t>
      </w:r>
      <w:r>
        <w:rPr>
          <w:color w:val="000000"/>
        </w:rPr>
        <w:t xml:space="preserve"> </w:t>
      </w:r>
      <w:r>
        <w:rPr>
          <w:color w:val="000000"/>
        </w:rPr>
        <w:t xml:space="preserve">“</w:t>
      </w:r>
      <w:r>
        <w:rPr>
          <w:color w:val="000000"/>
        </w:rPr>
        <w:t xml:space="preserve">Outstanding,</w:t>
      </w:r>
      <w:r>
        <w:rPr>
          <w:color w:val="000000"/>
        </w:rPr>
        <w:t xml:space="preserve">”</w:t>
      </w:r>
      <w:r>
        <w:rPr>
          <w:color w:val="000000"/>
        </w:rPr>
        <w:t xml:space="preserve"> </w:t>
      </w:r>
      <w:r>
        <w:rPr>
          <w:color w:val="000000"/>
        </w:rPr>
        <w:t xml:space="preserve">calls her portfolio management</w:t>
      </w:r>
      <w:r>
        <w:rPr>
          <w:color w:val="000000"/>
        </w:rPr>
        <w:t xml:space="preserve"> </w:t>
      </w:r>
      <w:r>
        <w:rPr>
          <w:color w:val="000000"/>
        </w:rPr>
        <w:t xml:space="preserve">“</w:t>
      </w:r>
      <w:r>
        <w:rPr>
          <w:color w:val="000000"/>
        </w:rPr>
        <w:t xml:space="preserve">exemplary,</w:t>
      </w:r>
      <w:r>
        <w:rPr>
          <w:color w:val="000000"/>
        </w:rPr>
        <w:t xml:space="preserve">”</w:t>
      </w:r>
      <w:r>
        <w:rPr>
          <w:color w:val="000000"/>
        </w:rPr>
        <w:t xml:space="preserve"> </w:t>
      </w:r>
      <w:r>
        <w:rPr>
          <w:color w:val="000000"/>
        </w:rPr>
        <w:t xml:space="preserve">and recommends her for the Bank’s executive-level emerging leaders program. This was her eleventh straight positive review.</w:t>
      </w:r>
    </w:p>
    <w:p>
      <w:pPr>
        <w:pStyle w:val="BlockText"/>
      </w:pPr>
      <w:r>
        <w:rPr>
          <w:b/>
          <w:bCs/>
          <w:color w:val="000000"/>
        </w:rPr>
        <w:t xml:space="preserve">April 3, 2023:</w:t>
      </w:r>
      <w:r>
        <w:rPr>
          <w:color w:val="000000"/>
        </w:rPr>
        <w:t xml:space="preserve"> </w:t>
      </w:r>
      <w:r>
        <w:rPr>
          <w:color w:val="000000"/>
        </w:rPr>
        <w:t xml:space="preserve">Ms. Vasquez gives the Chief Compliance Officer a seven-page memorandum documenting $18.7 million in wire activity through Orion Gateway Holdings LLC that bears the marks of money laundering. She recommends that the Bank file Suspicious Activity Reports (</w:t>
      </w:r>
      <w:r>
        <w:rPr>
          <w:color w:val="000000"/>
        </w:rPr>
        <w:t xml:space="preserve">“</w:t>
      </w:r>
      <w:r>
        <w:rPr>
          <w:color w:val="000000"/>
        </w:rPr>
        <w:t xml:space="preserve">SARs</w:t>
      </w:r>
      <w:r>
        <w:rPr>
          <w:color w:val="000000"/>
        </w:rPr>
        <w:t xml:space="preserve">”</w:t>
      </w:r>
      <w:r>
        <w:rPr>
          <w:color w:val="000000"/>
        </w:rPr>
        <w:t xml:space="preserve">).</w:t>
      </w:r>
    </w:p>
    <w:p>
      <w:pPr>
        <w:pStyle w:val="BlockText"/>
      </w:pPr>
      <w:r>
        <w:rPr>
          <w:b/>
          <w:bCs/>
          <w:color w:val="000000"/>
        </w:rPr>
        <w:t xml:space="preserve">May 2, 2023:</w:t>
      </w:r>
      <w:r>
        <w:rPr>
          <w:color w:val="000000"/>
        </w:rPr>
        <w:t xml:space="preserve"> </w:t>
      </w:r>
      <w:r>
        <w:rPr>
          <w:color w:val="000000"/>
        </w:rPr>
        <w:t xml:space="preserve">General Counsel Thomas Hargrove declares the matter</w:t>
      </w:r>
      <w:r>
        <w:rPr>
          <w:color w:val="000000"/>
        </w:rPr>
        <w:t xml:space="preserve"> </w:t>
      </w:r>
      <w:r>
        <w:rPr>
          <w:color w:val="000000"/>
        </w:rPr>
        <w:t xml:space="preserve">“</w:t>
      </w:r>
      <w:r>
        <w:rPr>
          <w:color w:val="000000"/>
        </w:rPr>
        <w:t xml:space="preserve">reviewed and resolved.</w:t>
      </w:r>
      <w:r>
        <w:rPr>
          <w:color w:val="000000"/>
        </w:rPr>
        <w:t xml:space="preserve">”</w:t>
      </w:r>
      <w:r>
        <w:rPr>
          <w:color w:val="000000"/>
        </w:rPr>
        <w:t xml:space="preserve"> </w:t>
      </w:r>
      <w:r>
        <w:rPr>
          <w:color w:val="000000"/>
        </w:rPr>
        <w:t xml:space="preserve">He produces no written analysis, and no SARs are filed. When the Bank’s own AML analyst later concludes that immediate SAR filing is required, he is told to</w:t>
      </w:r>
      <w:r>
        <w:rPr>
          <w:color w:val="000000"/>
        </w:rPr>
        <w:t xml:space="preserve"> </w:t>
      </w:r>
      <w:r>
        <w:rPr>
          <w:color w:val="000000"/>
        </w:rPr>
        <w:t xml:space="preserve">“</w:t>
      </w:r>
      <w:r>
        <w:rPr>
          <w:color w:val="000000"/>
        </w:rPr>
        <w:t xml:space="preserve">stand down.</w:t>
      </w:r>
      <w:r>
        <w:rPr>
          <w:color w:val="000000"/>
        </w:rPr>
        <w:t xml:space="preserve">”</w:t>
      </w:r>
    </w:p>
    <w:p>
      <w:pPr>
        <w:pStyle w:val="BlockText"/>
      </w:pPr>
      <w:r>
        <w:rPr>
          <w:b/>
          <w:bCs/>
          <w:color w:val="000000"/>
        </w:rPr>
        <w:t xml:space="preserve">June 15, 2023:</w:t>
      </w:r>
      <w:r>
        <w:rPr>
          <w:color w:val="000000"/>
        </w:rPr>
        <w:t xml:space="preserve"> </w:t>
      </w:r>
      <w:r>
        <w:rPr>
          <w:color w:val="000000"/>
        </w:rPr>
        <w:t xml:space="preserve">Ms. Vasquez reports the Orion Gateway activity to FinCEN.</w:t>
      </w:r>
    </w:p>
    <w:p>
      <w:pPr>
        <w:pStyle w:val="BlockText"/>
      </w:pPr>
      <w:r>
        <w:rPr>
          <w:b/>
          <w:bCs/>
          <w:color w:val="000000"/>
        </w:rPr>
        <w:t xml:space="preserve">July 28, 2023:</w:t>
      </w:r>
      <w:r>
        <w:rPr>
          <w:color w:val="000000"/>
        </w:rPr>
        <w:t xml:space="preserve"> </w:t>
      </w:r>
      <w:r>
        <w:rPr>
          <w:color w:val="000000"/>
        </w:rPr>
        <w:t xml:space="preserve">The OCC demands Orion Gateway documents based on</w:t>
      </w:r>
      <w:r>
        <w:rPr>
          <w:color w:val="000000"/>
        </w:rPr>
        <w:t xml:space="preserve"> </w:t>
      </w:r>
      <w:r>
        <w:rPr>
          <w:color w:val="000000"/>
        </w:rPr>
        <w:t xml:space="preserve">“</w:t>
      </w:r>
      <w:r>
        <w:rPr>
          <w:color w:val="000000"/>
        </w:rPr>
        <w:t xml:space="preserve">information received from a confidential source.</w:t>
      </w:r>
      <w:r>
        <w:rPr>
          <w:color w:val="000000"/>
        </w:rPr>
        <w:t xml:space="preserve">”</w:t>
      </w:r>
    </w:p>
    <w:p>
      <w:pPr>
        <w:pStyle w:val="BlockText"/>
      </w:pPr>
      <w:r>
        <w:rPr>
          <w:b/>
          <w:bCs/>
          <w:color w:val="000000"/>
        </w:rPr>
        <w:t xml:space="preserve">August 1, 2023:</w:t>
      </w:r>
      <w:r>
        <w:rPr>
          <w:color w:val="000000"/>
        </w:rPr>
        <w:t xml:space="preserve"> </w:t>
      </w:r>
      <w:r>
        <w:rPr>
          <w:color w:val="000000"/>
        </w:rPr>
        <w:t xml:space="preserve">Hargrove writes to Caldwell that the OCC inquiry</w:t>
      </w:r>
      <w:r>
        <w:rPr>
          <w:color w:val="000000"/>
        </w:rPr>
        <w:t xml:space="preserve"> </w:t>
      </w:r>
      <w:r>
        <w:rPr>
          <w:color w:val="000000"/>
        </w:rPr>
        <w:t xml:space="preserve">“</w:t>
      </w:r>
      <w:r>
        <w:rPr>
          <w:color w:val="000000"/>
        </w:rPr>
        <w:t xml:space="preserve">almost certainly stems from an internal leak,</w:t>
      </w:r>
      <w:r>
        <w:rPr>
          <w:color w:val="000000"/>
        </w:rPr>
        <w:t xml:space="preserve">”</w:t>
      </w:r>
      <w:r>
        <w:rPr>
          <w:color w:val="000000"/>
        </w:rPr>
        <w:t xml:space="preserve"> </w:t>
      </w:r>
      <w:r>
        <w:rPr>
          <w:color w:val="000000"/>
        </w:rPr>
        <w:t xml:space="preserve">that</w:t>
      </w:r>
      <w:r>
        <w:rPr>
          <w:color w:val="000000"/>
        </w:rPr>
        <w:t xml:space="preserve"> </w:t>
      </w:r>
      <w:r>
        <w:rPr>
          <w:color w:val="000000"/>
        </w:rPr>
        <w:t xml:space="preserve">“</w:t>
      </w:r>
      <w:r>
        <w:rPr>
          <w:color w:val="000000"/>
        </w:rPr>
        <w:t xml:space="preserve">Elena Vasquez is the obvious candidate,</w:t>
      </w:r>
      <w:r>
        <w:rPr>
          <w:color w:val="000000"/>
        </w:rPr>
        <w:t xml:space="preserve">”</w:t>
      </w:r>
      <w:r>
        <w:rPr>
          <w:color w:val="000000"/>
        </w:rPr>
        <w:t xml:space="preserve"> </w:t>
      </w:r>
      <w:r>
        <w:rPr>
          <w:color w:val="000000"/>
        </w:rPr>
        <w:t xml:space="preserve">and that</w:t>
      </w:r>
      <w:r>
        <w:rPr>
          <w:color w:val="000000"/>
        </w:rPr>
        <w:t xml:space="preserve"> </w:t>
      </w:r>
      <w:r>
        <w:rPr>
          <w:color w:val="000000"/>
        </w:rPr>
        <w:t xml:space="preserve">“</w:t>
      </w:r>
      <w:r>
        <w:rPr>
          <w:color w:val="000000"/>
        </w:rPr>
        <w:t xml:space="preserve">[w]e need to identify the source and contain this before it escalates further.</w:t>
      </w:r>
      <w:r>
        <w:rPr>
          <w:color w:val="000000"/>
        </w:rPr>
        <w:t xml:space="preserve">”</w:t>
      </w:r>
      <w:r>
        <w:rPr>
          <w:color w:val="000000"/>
        </w:rPr>
        <w:t xml:space="preserve"> </w:t>
      </w:r>
      <w:r>
        <w:rPr>
          <w:color w:val="000000"/>
        </w:rPr>
        <w:t xml:space="preserve">Caldwell replies:</w:t>
      </w:r>
      <w:r>
        <w:rPr>
          <w:color w:val="000000"/>
        </w:rPr>
        <w:t xml:space="preserve"> </w:t>
      </w:r>
      <w:r>
        <w:rPr>
          <w:color w:val="000000"/>
        </w:rPr>
        <w:t xml:space="preserve">“</w:t>
      </w:r>
      <w:r>
        <w:rPr>
          <w:color w:val="000000"/>
        </w:rPr>
        <w:t xml:space="preserve">Understood. Let me handle this.</w:t>
      </w:r>
      <w:r>
        <w:rPr>
          <w:color w:val="000000"/>
        </w:rPr>
        <w:t xml:space="preserve">”</w:t>
      </w:r>
    </w:p>
    <w:p>
      <w:pPr>
        <w:pStyle w:val="BlockText"/>
      </w:pPr>
      <w:r>
        <w:rPr>
          <w:b/>
          <w:bCs/>
          <w:color w:val="000000"/>
        </w:rPr>
        <w:t xml:space="preserve">August 14, 2023:</w:t>
      </w:r>
      <w:r>
        <w:rPr>
          <w:color w:val="000000"/>
        </w:rPr>
        <w:t xml:space="preserve"> </w:t>
      </w:r>
      <w:r>
        <w:rPr>
          <w:color w:val="000000"/>
        </w:rPr>
        <w:t xml:space="preserve">Thirteen days later, Caldwell issues Ms. Vasquez the first Performance Improvement Plan (</w:t>
      </w:r>
      <w:r>
        <w:rPr>
          <w:color w:val="000000"/>
        </w:rPr>
        <w:t xml:space="preserve">“</w:t>
      </w:r>
      <w:r>
        <w:rPr>
          <w:color w:val="000000"/>
        </w:rPr>
        <w:t xml:space="preserve">PIP</w:t>
      </w:r>
      <w:r>
        <w:rPr>
          <w:color w:val="000000"/>
        </w:rPr>
        <w:t xml:space="preserve">”</w:t>
      </w:r>
      <w:r>
        <w:rPr>
          <w:color w:val="000000"/>
        </w:rPr>
        <w:t xml:space="preserve">) of her 11½-year career. It lasts 32 days, although Bank policy sets a 60-day minimum.</w:t>
      </w:r>
    </w:p>
    <w:p>
      <w:pPr>
        <w:pStyle w:val="BlockText"/>
      </w:pPr>
      <w:r>
        <w:rPr>
          <w:b/>
          <w:bCs/>
          <w:color w:val="000000"/>
        </w:rPr>
        <w:t xml:space="preserve">September 22, 2023:</w:t>
      </w:r>
      <w:r>
        <w:rPr>
          <w:color w:val="000000"/>
        </w:rPr>
        <w:t xml:space="preserve"> </w:t>
      </w:r>
      <w:r>
        <w:rPr>
          <w:color w:val="000000"/>
        </w:rPr>
        <w:t xml:space="preserve">Ms. Vasquez is fired</w:t>
      </w:r>
      <w:r>
        <w:rPr>
          <w:color w:val="000000"/>
        </w:rPr>
        <w:t xml:space="preserve"> </w:t>
      </w:r>
      <w:r>
        <w:rPr>
          <w:color w:val="000000"/>
        </w:rPr>
        <w:t xml:space="preserve">“</w:t>
      </w:r>
      <w:r>
        <w:rPr>
          <w:color w:val="000000"/>
        </w:rPr>
        <w:t xml:space="preserve">for cause,</w:t>
      </w:r>
      <w:r>
        <w:rPr>
          <w:color w:val="000000"/>
        </w:rPr>
        <w:t xml:space="preserve">”</w:t>
      </w:r>
      <w:r>
        <w:rPr>
          <w:color w:val="000000"/>
        </w:rPr>
        <w:t xml:space="preserve"> </w:t>
      </w:r>
      <w:r>
        <w:rPr>
          <w:color w:val="000000"/>
        </w:rPr>
        <w:t xml:space="preserve">and Hargrove is copied on the letter. Twenty-two days later, the Bank fires the AML analyst who had recommended SAR filing on Orion Gateway. It calls that a</w:t>
      </w:r>
      <w:r>
        <w:rPr>
          <w:color w:val="000000"/>
        </w:rPr>
        <w:t xml:space="preserve"> </w:t>
      </w:r>
      <w:r>
        <w:rPr>
          <w:color w:val="000000"/>
        </w:rPr>
        <w:t xml:space="preserve">“</w:t>
      </w:r>
      <w:r>
        <w:rPr>
          <w:color w:val="000000"/>
        </w:rPr>
        <w:t xml:space="preserve">restructuring</w:t>
      </w:r>
      <w:r>
        <w:rPr>
          <w:color w:val="000000"/>
        </w:rPr>
        <w:t xml:space="preserve">”</w:t>
      </w:r>
      <w:r>
        <w:rPr>
          <w:color w:val="000000"/>
        </w:rPr>
        <w:t xml:space="preserve"> </w:t>
      </w:r>
      <w:r>
        <w:rPr>
          <w:color w:val="000000"/>
        </w:rPr>
        <w:t xml:space="preserve">and fills his job three weeks later.</w:t>
      </w:r>
    </w:p>
    <w:p>
      <w:pPr>
        <w:pStyle w:val="FirstParagraph"/>
      </w:pPr>
      <w:r>
        <w:rPr>
          <w:color w:val="000000"/>
        </w:rPr>
        <w:t xml:space="preserve">The PIP’s stated grounds do not hold up against the Bank’s own documents. The PIP says Ms. Vasquez missed a</w:t>
      </w:r>
      <w:r>
        <w:rPr>
          <w:color w:val="000000"/>
        </w:rPr>
        <w:t xml:space="preserve"> </w:t>
      </w:r>
      <w:r>
        <w:rPr>
          <w:color w:val="000000"/>
        </w:rPr>
        <w:t xml:space="preserve">“</w:t>
      </w:r>
      <w:r>
        <w:rPr>
          <w:color w:val="000000"/>
        </w:rPr>
        <w:t xml:space="preserve">$15 million</w:t>
      </w:r>
      <w:r>
        <w:rPr>
          <w:color w:val="000000"/>
        </w:rPr>
        <w:t xml:space="preserve">”</w:t>
      </w:r>
      <w:r>
        <w:rPr>
          <w:color w:val="000000"/>
        </w:rPr>
        <w:t xml:space="preserve"> </w:t>
      </w:r>
      <w:r>
        <w:rPr>
          <w:color w:val="000000"/>
        </w:rPr>
        <w:t xml:space="preserve">Q2 origination target. The 2023 Business Plan that Caldwell signed sets that target at $10 million, and Ms. Vasquez originated $11.3 million. The PIP calls three loan files deficient. The Bank’s Internal Audit Department rated all three</w:t>
      </w:r>
      <w:r>
        <w:rPr>
          <w:color w:val="000000"/>
        </w:rPr>
        <w:t xml:space="preserve"> </w:t>
      </w:r>
      <w:r>
        <w:rPr>
          <w:color w:val="000000"/>
        </w:rPr>
        <w:t xml:space="preserve">“</w:t>
      </w:r>
      <w:r>
        <w:rPr>
          <w:color w:val="000000"/>
        </w:rPr>
        <w:t xml:space="preserve">Satisfactory</w:t>
      </w:r>
      <w:r>
        <w:rPr>
          <w:color w:val="000000"/>
        </w:rPr>
        <w:t xml:space="preserve">”</w:t>
      </w:r>
      <w:r>
        <w:rPr>
          <w:color w:val="000000"/>
        </w:rPr>
        <w:t xml:space="preserve"> </w:t>
      </w:r>
      <w:r>
        <w:rPr>
          <w:color w:val="000000"/>
        </w:rPr>
        <w:t xml:space="preserve">three months earlier, and Caldwell cannot name a single missing document. The PIP cites two client complaints. One client swears under penalty of perjury that he never complained. The other</w:t>
      </w:r>
      <w:r>
        <w:rPr>
          <w:color w:val="000000"/>
        </w:rPr>
        <w:t xml:space="preserve"> </w:t>
      </w:r>
      <w:r>
        <w:rPr>
          <w:color w:val="000000"/>
        </w:rPr>
        <w:t xml:space="preserve">“</w:t>
      </w:r>
      <w:r>
        <w:rPr>
          <w:color w:val="000000"/>
        </w:rPr>
        <w:t xml:space="preserve">complainant</w:t>
      </w:r>
      <w:r>
        <w:rPr>
          <w:color w:val="000000"/>
        </w:rPr>
        <w:t xml:space="preserve">”</w:t>
      </w:r>
      <w:r>
        <w:rPr>
          <w:color w:val="000000"/>
        </w:rPr>
        <w:t xml:space="preserve"> </w:t>
      </w:r>
      <w:r>
        <w:rPr>
          <w:color w:val="000000"/>
        </w:rPr>
        <w:t xml:space="preserve">is the principal of Orion Gateway, the entity Ms. Vasquez reported for suspected money laundering, which was not even her client.</w:t>
      </w:r>
    </w:p>
    <w:p>
      <w:pPr>
        <w:pStyle w:val="BodyText"/>
      </w:pPr>
      <w:r>
        <w:rPr>
          <w:color w:val="000000"/>
        </w:rPr>
        <w:t xml:space="preserve">This is not a close case for summary judgment. The Bank’s three arguments each fail. First, the Bank’s General Counsel identified Ms. Vasquez in writing as the</w:t>
      </w:r>
      <w:r>
        <w:rPr>
          <w:color w:val="000000"/>
        </w:rPr>
        <w:t xml:space="preserve"> </w:t>
      </w:r>
      <w:r>
        <w:rPr>
          <w:color w:val="000000"/>
        </w:rPr>
        <w:t xml:space="preserve">“</w:t>
      </w:r>
      <w:r>
        <w:rPr>
          <w:color w:val="000000"/>
        </w:rPr>
        <w:t xml:space="preserve">obvious candidate</w:t>
      </w:r>
      <w:r>
        <w:rPr>
          <w:color w:val="000000"/>
        </w:rPr>
        <w:t xml:space="preserve">”</w:t>
      </w:r>
      <w:r>
        <w:rPr>
          <w:color w:val="000000"/>
        </w:rPr>
        <w:t xml:space="preserve"> </w:t>
      </w:r>
      <w:r>
        <w:rPr>
          <w:color w:val="000000"/>
        </w:rPr>
        <w:t xml:space="preserve">behind the regulatory inquiry, and he gave that message to the decision-maker, who promised to</w:t>
      </w:r>
      <w:r>
        <w:rPr>
          <w:color w:val="000000"/>
        </w:rPr>
        <w:t xml:space="preserve"> </w:t>
      </w:r>
      <w:r>
        <w:rPr>
          <w:color w:val="000000"/>
        </w:rPr>
        <w:t xml:space="preserve">“</w:t>
      </w:r>
      <w:r>
        <w:rPr>
          <w:color w:val="000000"/>
        </w:rPr>
        <w:t xml:space="preserve">handle this.</w:t>
      </w:r>
      <w:r>
        <w:rPr>
          <w:color w:val="000000"/>
        </w:rPr>
        <w:t xml:space="preserve">”</w:t>
      </w:r>
      <w:r>
        <w:rPr>
          <w:color w:val="000000"/>
        </w:rPr>
        <w:t xml:space="preserve"> </w:t>
      </w:r>
      <w:r>
        <w:rPr>
          <w:color w:val="000000"/>
        </w:rPr>
        <w:t xml:space="preserve">A reasonable jury could find that the Bank knew, or at a minimum believed, that she was the whistleblower. Second, the evidence of pretext is overwhelming. Third, the Bank’s SOX argument rests on a quotation of 18 U.S.C. § 1514A(a) that uses an ellipsis to remove the very words that cover it: the statute reaches</w:t>
      </w:r>
      <w:r>
        <w:rPr>
          <w:color w:val="000000"/>
        </w:rPr>
        <w:t xml:space="preserve"> </w:t>
      </w:r>
      <w:r>
        <w:rPr>
          <w:color w:val="000000"/>
        </w:rPr>
        <w:t xml:space="preserve">“</w:t>
      </w:r>
      <w:r>
        <w:rPr>
          <w:color w:val="000000"/>
        </w:rPr>
        <w:t xml:space="preserve">any subsidiary or affiliate whose financial information is included in the consolidated financial statements</w:t>
      </w:r>
      <w:r>
        <w:rPr>
          <w:color w:val="000000"/>
        </w:rPr>
        <w:t xml:space="preserve">”</w:t>
      </w:r>
      <w:r>
        <w:rPr>
          <w:color w:val="000000"/>
        </w:rPr>
        <w:t xml:space="preserve"> </w:t>
      </w:r>
      <w:r>
        <w:rPr>
          <w:color w:val="000000"/>
        </w:rPr>
        <w:t xml:space="preserve">of a public company. Fourth, the preemption argument ignores SOX’s express savings clause and Supreme Court precedent holding that federal whistleblower remedies do not displace state-law claims. The Motion should be denied in its entirety.</w:t>
      </w:r>
    </w:p>
    <w:bookmarkEnd w:id="20"/>
    <w:bookmarkStart w:id="21" w:name="X29c025bb8703df0035d81181594cf7ac489e3b0"/>
    <w:p>
      <w:pPr>
        <w:pStyle w:val="Heading1"/>
      </w:pPr>
      <w:r>
        <w:rPr>
          <w:color w:val="000000"/>
        </w:rPr>
        <w:t xml:space="preserve">II. PLAINTIFF’S RESPONSE TO DEFENDANT’S STATEMENT OF UNDISPUTED MATERIAL FACTS</w:t>
      </w:r>
    </w:p>
    <w:p>
      <w:pPr>
        <w:pStyle w:val="FirstParagraph"/>
      </w:pPr>
      <w:r>
        <w:rPr>
          <w:color w:val="000000"/>
        </w:rPr>
        <w:t xml:space="preserve">Under Fed. R. Civ. P. 56(c) and D.C.COLO.LCivR 56.1, Plaintiff responds below to each numbered paragraph of Defendant’s Statement of Undisputed Material Facts (</w:t>
      </w:r>
      <w:r>
        <w:rPr>
          <w:color w:val="000000"/>
        </w:rPr>
        <w:t xml:space="preserve">“</w:t>
      </w:r>
      <w:r>
        <w:rPr>
          <w:color w:val="000000"/>
        </w:rPr>
        <w:t xml:space="preserve">SUMF</w:t>
      </w:r>
      <w:r>
        <w:rPr>
          <w:color w:val="000000"/>
        </w:rPr>
        <w:t xml:space="preserve">”</w:t>
      </w:r>
      <w:r>
        <w:rPr>
          <w:color w:val="000000"/>
        </w:rPr>
        <w:t xml:space="preserve">).</w:t>
      </w:r>
      <w:r>
        <w:rPr>
          <w:color w:val="000000"/>
        </w:rPr>
        <w:t xml:space="preserve"> </w:t>
      </w:r>
      <w:r>
        <w:rPr>
          <w:color w:val="000000"/>
        </w:rPr>
        <w:t xml:space="preserve">“</w:t>
      </w:r>
      <w:r>
        <w:rPr>
          <w:color w:val="000000"/>
        </w:rPr>
        <w:t xml:space="preserve">Admitted</w:t>
      </w:r>
      <w:r>
        <w:rPr>
          <w:color w:val="000000"/>
        </w:rPr>
        <w:t xml:space="preserve">”</w:t>
      </w:r>
      <w:r>
        <w:rPr>
          <w:color w:val="000000"/>
        </w:rPr>
        <w:t xml:space="preserve"> </w:t>
      </w:r>
      <w:r>
        <w:rPr>
          <w:color w:val="000000"/>
        </w:rPr>
        <w:t xml:space="preserve">means that Plaintiff does not dispute the fact for purposes of this Motion only. Citations to</w:t>
      </w:r>
      <w:r>
        <w:rPr>
          <w:color w:val="000000"/>
        </w:rPr>
        <w:t xml:space="preserve"> </w:t>
      </w:r>
      <w:r>
        <w:rPr>
          <w:color w:val="000000"/>
        </w:rPr>
        <w:t xml:space="preserve">“</w:t>
      </w:r>
      <w:r>
        <w:rPr>
          <w:color w:val="000000"/>
        </w:rPr>
        <w:t xml:space="preserve">PSAF</w:t>
      </w:r>
      <w:r>
        <w:rPr>
          <w:color w:val="000000"/>
        </w:rPr>
        <w:t xml:space="preserve">”</w:t>
      </w:r>
      <w:r>
        <w:rPr>
          <w:color w:val="000000"/>
        </w:rPr>
        <w:t xml:space="preserve"> </w:t>
      </w:r>
      <w:r>
        <w:rPr>
          <w:color w:val="000000"/>
        </w:rPr>
        <w:t xml:space="preserve">refer to Plaintiff’s Statement of Additional Disputed Facts in Part III.</w:t>
      </w:r>
    </w:p>
    <w:p>
      <w:pPr>
        <w:pStyle w:val="BodyText"/>
      </w:pPr>
      <w:r>
        <w:rPr>
          <w:b/>
          <w:bCs/>
          <w:color w:val="000000"/>
        </w:rPr>
        <w:t xml:space="preserve">1.</w:t>
      </w:r>
      <w:r>
        <w:rPr>
          <w:color w:val="000000"/>
        </w:rPr>
        <w:t xml:space="preserve"> </w:t>
      </w:r>
      <w:r>
        <w:rPr>
          <w:color w:val="000000"/>
        </w:rPr>
        <w:t xml:space="preserve">Admitted.</w:t>
      </w:r>
    </w:p>
    <w:p>
      <w:pPr>
        <w:pStyle w:val="BodyText"/>
      </w:pPr>
      <w:r>
        <w:rPr>
          <w:b/>
          <w:bCs/>
          <w:color w:val="000000"/>
        </w:rPr>
        <w:t xml:space="preserve">2.</w:t>
      </w:r>
      <w:r>
        <w:rPr>
          <w:color w:val="000000"/>
        </w:rPr>
        <w:t xml:space="preserve"> </w:t>
      </w:r>
      <w:r>
        <w:rPr>
          <w:color w:val="000000"/>
        </w:rPr>
        <w:t xml:space="preserve">Admitted. Plaintiff adds that, as a wholly-owned subsidiary, the Bank’s financial information is included in the consolidated financial statements of Ridgeline Financial Group, Inc. (</w:t>
      </w:r>
      <w:r>
        <w:rPr>
          <w:color w:val="000000"/>
        </w:rPr>
        <w:t xml:space="preserve">“</w:t>
      </w:r>
      <w:r>
        <w:rPr>
          <w:color w:val="000000"/>
        </w:rPr>
        <w:t xml:space="preserve">RDFG</w:t>
      </w:r>
      <w:r>
        <w:rPr>
          <w:color w:val="000000"/>
        </w:rPr>
        <w:t xml:space="preserve">”</w:t>
      </w:r>
      <w:r>
        <w:rPr>
          <w:color w:val="000000"/>
        </w:rPr>
        <w:t xml:space="preserve">).</w:t>
      </w:r>
      <w:r>
        <w:rPr>
          <w:color w:val="000000"/>
        </w:rPr>
        <w:t xml:space="preserve"> </w:t>
      </w:r>
      <w:r>
        <w:rPr>
          <w:i/>
          <w:iCs/>
          <w:color w:val="000000"/>
        </w:rPr>
        <w:t xml:space="preserve">See</w:t>
      </w:r>
      <w:r>
        <w:rPr>
          <w:color w:val="000000"/>
        </w:rPr>
        <w:t xml:space="preserve"> </w:t>
      </w:r>
      <w:r>
        <w:rPr>
          <w:color w:val="000000"/>
        </w:rPr>
        <w:t xml:space="preserve">PSAF ¶ 50.</w:t>
      </w:r>
    </w:p>
    <w:p>
      <w:pPr>
        <w:pStyle w:val="BodyText"/>
      </w:pPr>
      <w:r>
        <w:rPr>
          <w:b/>
          <w:bCs/>
          <w:color w:val="000000"/>
        </w:rPr>
        <w:t xml:space="preserve">3.–7.</w:t>
      </w:r>
      <w:r>
        <w:rPr>
          <w:color w:val="000000"/>
        </w:rPr>
        <w:t xml:space="preserve"> </w:t>
      </w:r>
      <w:r>
        <w:rPr>
          <w:color w:val="000000"/>
        </w:rPr>
        <w:t xml:space="preserve">Admitted.</w:t>
      </w:r>
    </w:p>
    <w:p>
      <w:pPr>
        <w:pStyle w:val="BodyText"/>
      </w:pPr>
      <w:r>
        <w:rPr>
          <w:b/>
          <w:bCs/>
          <w:color w:val="000000"/>
        </w:rPr>
        <w:t xml:space="preserve">8.</w:t>
      </w:r>
      <w:r>
        <w:rPr>
          <w:color w:val="000000"/>
        </w:rPr>
        <w:t xml:space="preserve"> </w:t>
      </w:r>
      <w:r>
        <w:rPr>
          <w:color w:val="000000"/>
        </w:rPr>
        <w:t xml:space="preserve">Disputed in part. Admitted that Prescott was Chief Compliance Officer and Hargrove was General Counsel. Denied that Prescott reported to the CEO. Prescott testified that she reports to Hargrove, with only a dotted-line relationship to the CEO. Ex. 2 (Prescott Dep.) at 8–14. This is material because Hargrove closed the Orion Gateway review over his subordinate’s concerns. PSAF ¶¶ 13–19.</w:t>
      </w:r>
    </w:p>
    <w:p>
      <w:pPr>
        <w:pStyle w:val="BodyText"/>
      </w:pPr>
      <w:r>
        <w:rPr>
          <w:b/>
          <w:bCs/>
          <w:color w:val="000000"/>
        </w:rPr>
        <w:t xml:space="preserve">9.–10.</w:t>
      </w:r>
      <w:r>
        <w:rPr>
          <w:color w:val="000000"/>
        </w:rPr>
        <w:t xml:space="preserve"> </w:t>
      </w:r>
      <w:r>
        <w:rPr>
          <w:color w:val="000000"/>
        </w:rPr>
        <w:t xml:space="preserve">Admitted. Plaintiff notes that because Orion Gateway was not in Ms. Vasquez’s portfolio (SUMF ¶ 10), its principal had no client relationship with her that could have produced a</w:t>
      </w:r>
      <w:r>
        <w:rPr>
          <w:color w:val="000000"/>
        </w:rPr>
        <w:t xml:space="preserve"> </w:t>
      </w:r>
      <w:r>
        <w:rPr>
          <w:color w:val="000000"/>
        </w:rPr>
        <w:t xml:space="preserve">“</w:t>
      </w:r>
      <w:r>
        <w:rPr>
          <w:color w:val="000000"/>
        </w:rPr>
        <w:t xml:space="preserve">responsiveness</w:t>
      </w:r>
      <w:r>
        <w:rPr>
          <w:color w:val="000000"/>
        </w:rPr>
        <w:t xml:space="preserve">”</w:t>
      </w:r>
      <w:r>
        <w:rPr>
          <w:color w:val="000000"/>
        </w:rPr>
        <w:t xml:space="preserve"> </w:t>
      </w:r>
      <w:r>
        <w:rPr>
          <w:color w:val="000000"/>
        </w:rPr>
        <w:t xml:space="preserve">complaint.</w:t>
      </w:r>
      <w:r>
        <w:rPr>
          <w:color w:val="000000"/>
        </w:rPr>
        <w:t xml:space="preserve"> </w:t>
      </w:r>
      <w:r>
        <w:rPr>
          <w:i/>
          <w:iCs/>
          <w:color w:val="000000"/>
        </w:rPr>
        <w:t xml:space="preserve">See</w:t>
      </w:r>
      <w:r>
        <w:rPr>
          <w:color w:val="000000"/>
        </w:rPr>
        <w:t xml:space="preserve"> </w:t>
      </w:r>
      <w:r>
        <w:rPr>
          <w:color w:val="000000"/>
        </w:rPr>
        <w:t xml:space="preserve">PSAF ¶ 36.</w:t>
      </w:r>
    </w:p>
    <w:p>
      <w:pPr>
        <w:pStyle w:val="BodyText"/>
      </w:pPr>
      <w:r>
        <w:rPr>
          <w:b/>
          <w:bCs/>
          <w:color w:val="000000"/>
        </w:rPr>
        <w:t xml:space="preserve">11.</w:t>
      </w:r>
      <w:r>
        <w:rPr>
          <w:color w:val="000000"/>
        </w:rPr>
        <w:t xml:space="preserve"> </w:t>
      </w:r>
      <w:r>
        <w:rPr>
          <w:color w:val="000000"/>
        </w:rPr>
        <w:t xml:space="preserve">Admitted that Ms. Vasquez submitted the memorandum on April 3, 2023. Disputed as to the method of delivery. Prescott testified that she received it by email and by hand delivery. Ex. 2 at 27–38. The dispute is not material.</w:t>
      </w:r>
    </w:p>
    <w:p>
      <w:pPr>
        <w:pStyle w:val="BodyText"/>
      </w:pPr>
      <w:r>
        <w:rPr>
          <w:b/>
          <w:bCs/>
          <w:color w:val="000000"/>
        </w:rPr>
        <w:t xml:space="preserve">12.</w:t>
      </w:r>
      <w:r>
        <w:rPr>
          <w:color w:val="000000"/>
        </w:rPr>
        <w:t xml:space="preserve"> </w:t>
      </w:r>
      <w:r>
        <w:rPr>
          <w:color w:val="000000"/>
        </w:rPr>
        <w:t xml:space="preserve">Admitted that Prescott sent the April 18, 2023 email, which is quoted accurately. Ex. 4.</w:t>
      </w:r>
    </w:p>
    <w:p>
      <w:pPr>
        <w:pStyle w:val="BodyText"/>
      </w:pPr>
      <w:r>
        <w:rPr>
          <w:b/>
          <w:bCs/>
          <w:color w:val="000000"/>
        </w:rPr>
        <w:t xml:space="preserve">13.</w:t>
      </w:r>
      <w:r>
        <w:rPr>
          <w:color w:val="000000"/>
        </w:rPr>
        <w:t xml:space="preserve"> </w:t>
      </w:r>
      <w:r>
        <w:rPr>
          <w:color w:val="000000"/>
        </w:rPr>
        <w:t xml:space="preserve">Admitted.</w:t>
      </w:r>
    </w:p>
    <w:p>
      <w:pPr>
        <w:pStyle w:val="BodyText"/>
      </w:pPr>
      <w:r>
        <w:rPr>
          <w:b/>
          <w:bCs/>
          <w:color w:val="000000"/>
        </w:rPr>
        <w:t xml:space="preserve">14.</w:t>
      </w:r>
      <w:r>
        <w:rPr>
          <w:color w:val="000000"/>
        </w:rPr>
        <w:t xml:space="preserve"> </w:t>
      </w:r>
      <w:r>
        <w:rPr>
          <w:color w:val="000000"/>
        </w:rPr>
        <w:t xml:space="preserve">Disputed. Admitted only that on May 2, 2023, Hargrove orally told Prescott the matter was</w:t>
      </w:r>
      <w:r>
        <w:rPr>
          <w:color w:val="000000"/>
        </w:rPr>
        <w:t xml:space="preserve"> </w:t>
      </w:r>
      <w:r>
        <w:rPr>
          <w:color w:val="000000"/>
        </w:rPr>
        <w:t xml:space="preserve">“</w:t>
      </w:r>
      <w:r>
        <w:rPr>
          <w:color w:val="000000"/>
        </w:rPr>
        <w:t xml:space="preserve">reviewed and resolved</w:t>
      </w:r>
      <w:r>
        <w:rPr>
          <w:color w:val="000000"/>
        </w:rPr>
        <w:t xml:space="preserve">”</w:t>
      </w:r>
      <w:r>
        <w:rPr>
          <w:color w:val="000000"/>
        </w:rPr>
        <w:t xml:space="preserve"> </w:t>
      </w:r>
      <w:r>
        <w:rPr>
          <w:color w:val="000000"/>
        </w:rPr>
        <w:t xml:space="preserve">and that no SARs would be filed. Denied that any genuine review occurred or that the transactions were consistent with Orion Gateway’s business model. Hargrove gave no written analysis and never said who performed the review. The review lasted thirteen days, which was</w:t>
      </w:r>
      <w:r>
        <w:rPr>
          <w:color w:val="000000"/>
        </w:rPr>
        <w:t xml:space="preserve"> </w:t>
      </w:r>
      <w:r>
        <w:rPr>
          <w:color w:val="000000"/>
        </w:rPr>
        <w:t xml:space="preserve">“</w:t>
      </w:r>
      <w:r>
        <w:rPr>
          <w:color w:val="000000"/>
        </w:rPr>
        <w:t xml:space="preserve">shorter than [Prescott] would have expected.</w:t>
      </w:r>
      <w:r>
        <w:rPr>
          <w:color w:val="000000"/>
        </w:rPr>
        <w:t xml:space="preserve">”</w:t>
      </w:r>
      <w:r>
        <w:rPr>
          <w:color w:val="000000"/>
        </w:rPr>
        <w:t xml:space="preserve"> </w:t>
      </w:r>
      <w:r>
        <w:rPr>
          <w:color w:val="000000"/>
        </w:rPr>
        <w:t xml:space="preserve">The Bank’s procedures require a written memorandum for any decision not to file a SAR, and none was prepared. Ex. 2 at 59–78. The Bank’s AML analyst independently concluded that the activity was</w:t>
      </w:r>
      <w:r>
        <w:rPr>
          <w:color w:val="000000"/>
        </w:rPr>
        <w:t xml:space="preserve"> </w:t>
      </w:r>
      <w:r>
        <w:rPr>
          <w:color w:val="000000"/>
        </w:rPr>
        <w:t xml:space="preserve">“</w:t>
      </w:r>
      <w:r>
        <w:rPr>
          <w:color w:val="000000"/>
        </w:rPr>
        <w:t xml:space="preserve">highly indicative of layering</w:t>
      </w:r>
      <w:r>
        <w:rPr>
          <w:color w:val="000000"/>
        </w:rPr>
        <w:t xml:space="preserve">”</w:t>
      </w:r>
      <w:r>
        <w:rPr>
          <w:color w:val="000000"/>
        </w:rPr>
        <w:t xml:space="preserve"> </w:t>
      </w:r>
      <w:r>
        <w:rPr>
          <w:color w:val="000000"/>
        </w:rPr>
        <w:t xml:space="preserve">and</w:t>
      </w:r>
      <w:r>
        <w:rPr>
          <w:color w:val="000000"/>
        </w:rPr>
        <w:t xml:space="preserve"> </w:t>
      </w:r>
      <w:r>
        <w:rPr>
          <w:color w:val="000000"/>
        </w:rPr>
        <w:t xml:space="preserve">“</w:t>
      </w:r>
      <w:r>
        <w:rPr>
          <w:color w:val="000000"/>
        </w:rPr>
        <w:t xml:space="preserve">warranted immediate SAR filing,</w:t>
      </w:r>
      <w:r>
        <w:rPr>
          <w:color w:val="000000"/>
        </w:rPr>
        <w:t xml:space="preserve">”</w:t>
      </w:r>
      <w:r>
        <w:rPr>
          <w:color w:val="000000"/>
        </w:rPr>
        <w:t xml:space="preserve"> </w:t>
      </w:r>
      <w:r>
        <w:rPr>
          <w:color w:val="000000"/>
        </w:rPr>
        <w:t xml:space="preserve">and he was then told to</w:t>
      </w:r>
      <w:r>
        <w:rPr>
          <w:color w:val="000000"/>
        </w:rPr>
        <w:t xml:space="preserve"> </w:t>
      </w:r>
      <w:r>
        <w:rPr>
          <w:color w:val="000000"/>
        </w:rPr>
        <w:t xml:space="preserve">“</w:t>
      </w:r>
      <w:r>
        <w:rPr>
          <w:color w:val="000000"/>
        </w:rPr>
        <w:t xml:space="preserve">stand down.</w:t>
      </w:r>
      <w:r>
        <w:rPr>
          <w:color w:val="000000"/>
        </w:rPr>
        <w:t xml:space="preserve">”</w:t>
      </w:r>
      <w:r>
        <w:rPr>
          <w:color w:val="000000"/>
        </w:rPr>
        <w:t xml:space="preserve"> </w:t>
      </w:r>
      <w:r>
        <w:rPr>
          <w:color w:val="000000"/>
        </w:rPr>
        <w:t xml:space="preserve">Ex. 11 (Medina Decl.) ¶¶ 15–21; Ex. 2 at 79–92. Plaintiff’s expert, a former Deputy Director of FinCEN, found seven of nine FinCEN red flags present. Ex. 13 (Redmond Rpt.) §§ VI, VIII.</w:t>
      </w:r>
    </w:p>
    <w:p>
      <w:pPr>
        <w:pStyle w:val="BodyText"/>
      </w:pPr>
      <w:r>
        <w:rPr>
          <w:b/>
          <w:bCs/>
          <w:color w:val="000000"/>
        </w:rPr>
        <w:t xml:space="preserve">15.</w:t>
      </w:r>
      <w:r>
        <w:rPr>
          <w:color w:val="000000"/>
        </w:rPr>
        <w:t xml:space="preserve"> </w:t>
      </w:r>
      <w:r>
        <w:rPr>
          <w:color w:val="000000"/>
        </w:rPr>
        <w:t xml:space="preserve">Disputed for the reasons stated in response to ¶ 14. The only cited basis is a privilege-log entry. The Bank cannot use a privileged, undisclosed</w:t>
      </w:r>
      <w:r>
        <w:rPr>
          <w:color w:val="000000"/>
        </w:rPr>
        <w:t xml:space="preserve"> </w:t>
      </w:r>
      <w:r>
        <w:rPr>
          <w:color w:val="000000"/>
        </w:rPr>
        <w:t xml:space="preserve">“</w:t>
      </w:r>
      <w:r>
        <w:rPr>
          <w:color w:val="000000"/>
        </w:rPr>
        <w:t xml:space="preserve">assessment</w:t>
      </w:r>
      <w:r>
        <w:rPr>
          <w:color w:val="000000"/>
        </w:rPr>
        <w:t xml:space="preserve">”</w:t>
      </w:r>
      <w:r>
        <w:rPr>
          <w:color w:val="000000"/>
        </w:rPr>
        <w:t xml:space="preserve"> </w:t>
      </w:r>
      <w:r>
        <w:rPr>
          <w:color w:val="000000"/>
        </w:rPr>
        <w:t xml:space="preserve">as affirmative evidence while shielding it from scrutiny.</w:t>
      </w:r>
    </w:p>
    <w:p>
      <w:pPr>
        <w:pStyle w:val="BodyText"/>
      </w:pPr>
      <w:r>
        <w:rPr>
          <w:b/>
          <w:bCs/>
          <w:color w:val="000000"/>
        </w:rPr>
        <w:t xml:space="preserve">16.</w:t>
      </w:r>
      <w:r>
        <w:rPr>
          <w:color w:val="000000"/>
        </w:rPr>
        <w:t xml:space="preserve"> </w:t>
      </w:r>
      <w:r>
        <w:rPr>
          <w:color w:val="000000"/>
        </w:rPr>
        <w:t xml:space="preserve">Admitted that Prescott told Ms. Vasquez of the Bank’s conclusion. Denied that the transactions were legitimate.</w:t>
      </w:r>
      <w:r>
        <w:rPr>
          <w:color w:val="000000"/>
        </w:rPr>
        <w:t xml:space="preserve"> </w:t>
      </w:r>
      <w:r>
        <w:rPr>
          <w:i/>
          <w:iCs/>
          <w:color w:val="000000"/>
        </w:rPr>
        <w:t xml:space="preserve">See</w:t>
      </w:r>
      <w:r>
        <w:rPr>
          <w:color w:val="000000"/>
        </w:rPr>
        <w:t xml:space="preserve"> </w:t>
      </w:r>
      <w:r>
        <w:rPr>
          <w:color w:val="000000"/>
        </w:rPr>
        <w:t xml:space="preserve">response to ¶ 14.</w:t>
      </w:r>
    </w:p>
    <w:p>
      <w:pPr>
        <w:pStyle w:val="BodyText"/>
      </w:pPr>
      <w:r>
        <w:rPr>
          <w:b/>
          <w:bCs/>
          <w:color w:val="000000"/>
        </w:rPr>
        <w:t xml:space="preserve">17.–19.</w:t>
      </w:r>
      <w:r>
        <w:rPr>
          <w:color w:val="000000"/>
        </w:rPr>
        <w:t xml:space="preserve"> </w:t>
      </w:r>
      <w:r>
        <w:rPr>
          <w:color w:val="000000"/>
        </w:rPr>
        <w:t xml:space="preserve">Admitted.</w:t>
      </w:r>
    </w:p>
    <w:p>
      <w:pPr>
        <w:pStyle w:val="BodyText"/>
      </w:pPr>
      <w:r>
        <w:rPr>
          <w:b/>
          <w:bCs/>
          <w:color w:val="000000"/>
        </w:rPr>
        <w:t xml:space="preserve">20.</w:t>
      </w:r>
      <w:r>
        <w:rPr>
          <w:color w:val="000000"/>
        </w:rPr>
        <w:t xml:space="preserve"> </w:t>
      </w:r>
      <w:r>
        <w:rPr>
          <w:color w:val="000000"/>
        </w:rPr>
        <w:t xml:space="preserve">Admitted that Caldwell so testified. Plaintiff adds that Caldwell learned of the OCC inquiry from Hargrove together with Hargrove’s written identification of Ms. Vasquez as the</w:t>
      </w:r>
      <w:r>
        <w:rPr>
          <w:color w:val="000000"/>
        </w:rPr>
        <w:t xml:space="preserve"> </w:t>
      </w:r>
      <w:r>
        <w:rPr>
          <w:color w:val="000000"/>
        </w:rPr>
        <w:t xml:space="preserve">“</w:t>
      </w:r>
      <w:r>
        <w:rPr>
          <w:color w:val="000000"/>
        </w:rPr>
        <w:t xml:space="preserve">obvious candidate.</w:t>
      </w:r>
      <w:r>
        <w:rPr>
          <w:color w:val="000000"/>
        </w:rPr>
        <w:t xml:space="preserve">”</w:t>
      </w:r>
      <w:r>
        <w:rPr>
          <w:color w:val="000000"/>
        </w:rPr>
        <w:t xml:space="preserve"> </w:t>
      </w:r>
      <w:r>
        <w:rPr>
          <w:color w:val="000000"/>
        </w:rPr>
        <w:t xml:space="preserve">Ex. 3; Ex. 1 (Caldwell Dep.) at 79–80.</w:t>
      </w:r>
    </w:p>
    <w:p>
      <w:pPr>
        <w:pStyle w:val="BodyText"/>
      </w:pPr>
      <w:r>
        <w:rPr>
          <w:b/>
          <w:bCs/>
          <w:color w:val="000000"/>
        </w:rPr>
        <w:t xml:space="preserve">21.</w:t>
      </w:r>
      <w:r>
        <w:rPr>
          <w:color w:val="000000"/>
        </w:rPr>
        <w:t xml:space="preserve"> </w:t>
      </w:r>
      <w:r>
        <w:rPr>
          <w:color w:val="000000"/>
        </w:rPr>
        <w:t xml:space="preserve">Admitted, but incomplete. The email also states that</w:t>
      </w:r>
      <w:r>
        <w:rPr>
          <w:color w:val="000000"/>
        </w:rPr>
        <w:t xml:space="preserve"> </w:t>
      </w:r>
      <w:r>
        <w:rPr>
          <w:color w:val="000000"/>
        </w:rPr>
        <w:t xml:space="preserve">“</w:t>
      </w:r>
      <w:r>
        <w:rPr>
          <w:color w:val="000000"/>
        </w:rPr>
        <w:t xml:space="preserve">the timing and substance are too close to be coincidental</w:t>
      </w:r>
      <w:r>
        <w:rPr>
          <w:color w:val="000000"/>
        </w:rPr>
        <w:t xml:space="preserve">”</w:t>
      </w:r>
      <w:r>
        <w:rPr>
          <w:color w:val="000000"/>
        </w:rPr>
        <w:t xml:space="preserve"> </w:t>
      </w:r>
      <w:r>
        <w:rPr>
          <w:color w:val="000000"/>
        </w:rPr>
        <w:t xml:space="preserve">and that</w:t>
      </w:r>
      <w:r>
        <w:rPr>
          <w:color w:val="000000"/>
        </w:rPr>
        <w:t xml:space="preserve"> </w:t>
      </w:r>
      <w:r>
        <w:rPr>
          <w:color w:val="000000"/>
        </w:rPr>
        <w:t xml:space="preserve">“</w:t>
      </w:r>
      <w:r>
        <w:rPr>
          <w:color w:val="000000"/>
        </w:rPr>
        <w:t xml:space="preserve">[w]e need to identify the source and contain this before it escalates further.</w:t>
      </w:r>
      <w:r>
        <w:rPr>
          <w:color w:val="000000"/>
        </w:rPr>
        <w:t xml:space="preserve">”</w:t>
      </w:r>
      <w:r>
        <w:rPr>
          <w:color w:val="000000"/>
        </w:rPr>
        <w:t xml:space="preserve"> </w:t>
      </w:r>
      <w:r>
        <w:rPr>
          <w:color w:val="000000"/>
        </w:rPr>
        <w:t xml:space="preserve">Caldwell replied the same day:</w:t>
      </w:r>
      <w:r>
        <w:rPr>
          <w:color w:val="000000"/>
        </w:rPr>
        <w:t xml:space="preserve"> </w:t>
      </w:r>
      <w:r>
        <w:rPr>
          <w:color w:val="000000"/>
        </w:rPr>
        <w:t xml:space="preserve">“</w:t>
      </w:r>
      <w:r>
        <w:rPr>
          <w:color w:val="000000"/>
        </w:rPr>
        <w:t xml:space="preserve">Understood. Let me handle this.</w:t>
      </w:r>
      <w:r>
        <w:rPr>
          <w:color w:val="000000"/>
        </w:rPr>
        <w:t xml:space="preserve">”</w:t>
      </w:r>
      <w:r>
        <w:rPr>
          <w:color w:val="000000"/>
        </w:rPr>
        <w:t xml:space="preserve"> </w:t>
      </w:r>
      <w:r>
        <w:rPr>
          <w:color w:val="000000"/>
        </w:rPr>
        <w:t xml:space="preserve">Ex. 3.</w:t>
      </w:r>
    </w:p>
    <w:p>
      <w:pPr>
        <w:pStyle w:val="BodyText"/>
      </w:pPr>
      <w:r>
        <w:rPr>
          <w:b/>
          <w:bCs/>
          <w:color w:val="000000"/>
        </w:rPr>
        <w:t xml:space="preserve">22.</w:t>
      </w:r>
      <w:r>
        <w:rPr>
          <w:color w:val="000000"/>
        </w:rPr>
        <w:t xml:space="preserve"> </w:t>
      </w:r>
      <w:r>
        <w:rPr>
          <w:color w:val="000000"/>
        </w:rPr>
        <w:t xml:space="preserve">Admitted that no government agency named Ms. Vasquez. Denied to the extent the paragraph implies that the Bank did not know or believe she was the source. PSAF ¶¶ 20–27.</w:t>
      </w:r>
    </w:p>
    <w:p>
      <w:pPr>
        <w:pStyle w:val="BodyText"/>
      </w:pPr>
      <w:r>
        <w:rPr>
          <w:b/>
          <w:bCs/>
          <w:color w:val="000000"/>
        </w:rPr>
        <w:t xml:space="preserve">23.</w:t>
      </w:r>
      <w:r>
        <w:rPr>
          <w:color w:val="000000"/>
        </w:rPr>
        <w:t xml:space="preserve"> </w:t>
      </w:r>
      <w:r>
        <w:rPr>
          <w:color w:val="000000"/>
        </w:rPr>
        <w:t xml:space="preserve">Admitted.</w:t>
      </w:r>
    </w:p>
    <w:p>
      <w:pPr>
        <w:pStyle w:val="BodyText"/>
      </w:pPr>
      <w:r>
        <w:rPr>
          <w:b/>
          <w:bCs/>
          <w:color w:val="000000"/>
        </w:rPr>
        <w:t xml:space="preserve">24.</w:t>
      </w:r>
      <w:r>
        <w:rPr>
          <w:color w:val="000000"/>
        </w:rPr>
        <w:t xml:space="preserve"> </w:t>
      </w:r>
      <w:r>
        <w:rPr>
          <w:color w:val="000000"/>
        </w:rPr>
        <w:t xml:space="preserve">Admitted that the PIP lists those three deficiencies. Denied that any of them was real. PSAF ¶¶ 28–40.</w:t>
      </w:r>
    </w:p>
    <w:p>
      <w:pPr>
        <w:pStyle w:val="BodyText"/>
      </w:pPr>
      <w:r>
        <w:rPr>
          <w:b/>
          <w:bCs/>
          <w:color w:val="000000"/>
        </w:rPr>
        <w:t xml:space="preserve">25.</w:t>
      </w:r>
      <w:r>
        <w:rPr>
          <w:color w:val="000000"/>
        </w:rPr>
        <w:t xml:space="preserve"> </w:t>
      </w:r>
      <w:r>
        <w:rPr>
          <w:color w:val="000000"/>
        </w:rPr>
        <w:t xml:space="preserve">Disputed. Internal Audit rated the Thornburg, Westlake, and Meridian files</w:t>
      </w:r>
      <w:r>
        <w:rPr>
          <w:color w:val="000000"/>
        </w:rPr>
        <w:t xml:space="preserve"> </w:t>
      </w:r>
      <w:r>
        <w:rPr>
          <w:color w:val="000000"/>
        </w:rPr>
        <w:t xml:space="preserve">“</w:t>
      </w:r>
      <w:r>
        <w:rPr>
          <w:color w:val="000000"/>
        </w:rPr>
        <w:t xml:space="preserve">Satisfactory,</w:t>
      </w:r>
      <w:r>
        <w:rPr>
          <w:color w:val="000000"/>
        </w:rPr>
        <w:t xml:space="preserve">”</w:t>
      </w:r>
      <w:r>
        <w:rPr>
          <w:color w:val="000000"/>
        </w:rPr>
        <w:t xml:space="preserve"> </w:t>
      </w:r>
      <w:r>
        <w:rPr>
          <w:color w:val="000000"/>
        </w:rPr>
        <w:t xml:space="preserve">with</w:t>
      </w:r>
      <w:r>
        <w:rPr>
          <w:color w:val="000000"/>
        </w:rPr>
        <w:t xml:space="preserve"> </w:t>
      </w:r>
      <w:r>
        <w:rPr>
          <w:color w:val="000000"/>
        </w:rPr>
        <w:t xml:space="preserve">“</w:t>
      </w:r>
      <w:r>
        <w:rPr>
          <w:color w:val="000000"/>
        </w:rPr>
        <w:t xml:space="preserve">[n]o corrective action recommended,</w:t>
      </w:r>
      <w:r>
        <w:rPr>
          <w:color w:val="000000"/>
        </w:rPr>
        <w:t xml:space="preserve">”</w:t>
      </w:r>
      <w:r>
        <w:rPr>
          <w:color w:val="000000"/>
        </w:rPr>
        <w:t xml:space="preserve"> </w:t>
      </w:r>
      <w:r>
        <w:rPr>
          <w:color w:val="000000"/>
        </w:rPr>
        <w:t xml:space="preserve">in a report issued May 15, 2023 and sent to Caldwell. Ex. 6 (Internal Audit Rpt.) §§ 3–4 &amp; App. A. Caldwell prepared no memorandum of his own supposed review, has no notes, never raised the issues with Ms. Vasquez, never consulted Internal Audit, and could not identify one specific missing document. Ex. 1 at 51–54. The Bank has described the alleged deficiencies inconsistently. PSAF ¶¶ 32–33.</w:t>
      </w:r>
    </w:p>
    <w:p>
      <w:pPr>
        <w:pStyle w:val="BodyText"/>
      </w:pPr>
      <w:r>
        <w:rPr>
          <w:b/>
          <w:bCs/>
          <w:color w:val="000000"/>
        </w:rPr>
        <w:t xml:space="preserve">26.</w:t>
      </w:r>
      <w:r>
        <w:rPr>
          <w:color w:val="000000"/>
        </w:rPr>
        <w:t xml:space="preserve"> </w:t>
      </w:r>
      <w:r>
        <w:rPr>
          <w:color w:val="000000"/>
        </w:rPr>
        <w:t xml:space="preserve">Disputed. Jeffrey Thornburg swears that he never complained about Ms. Vasquez. Ex. 12 (Thornburg Decl.) ¶¶ 4–6. Caldwell could not say who told him of the supposed complaint and could not identify any written record of it. Ex. 1 at 64–65. The other complaint came from Raymond Sellars, principal of Orion Gateway.</w:t>
      </w:r>
      <w:r>
        <w:rPr>
          <w:color w:val="000000"/>
        </w:rPr>
        <w:t xml:space="preserve"> </w:t>
      </w:r>
      <w:r>
        <w:rPr>
          <w:i/>
          <w:iCs/>
          <w:color w:val="000000"/>
        </w:rPr>
        <w:t xml:space="preserve">Id.</w:t>
      </w:r>
      <w:r>
        <w:rPr>
          <w:color w:val="000000"/>
        </w:rPr>
        <w:t xml:space="preserve"> </w:t>
      </w:r>
      <w:r>
        <w:rPr>
          <w:color w:val="000000"/>
        </w:rPr>
        <w:t xml:space="preserve">at 62–63. To the extent Defendant’s Exhibit H purports to record these complaints, it directly contradicts sworn testimony and creates a triable dispute.</w:t>
      </w:r>
    </w:p>
    <w:p>
      <w:pPr>
        <w:pStyle w:val="BodyText"/>
      </w:pPr>
      <w:r>
        <w:rPr>
          <w:b/>
          <w:bCs/>
          <w:color w:val="000000"/>
        </w:rPr>
        <w:t xml:space="preserve">27.</w:t>
      </w:r>
      <w:r>
        <w:rPr>
          <w:color w:val="000000"/>
        </w:rPr>
        <w:t xml:space="preserve"> </w:t>
      </w:r>
      <w:r>
        <w:rPr>
          <w:color w:val="000000"/>
        </w:rPr>
        <w:t xml:space="preserve">Disputed. The only written Q2 2023 target is $10,000,000, set in the 2023 Annual Business Plan that Caldwell signed on January 20, 2023. Ex. 8 (Business Plan) § 3; Ex. 1 at 34–35. Ms. Vasquez originated $11.3 million, exceeding the target by $1.3 million. Ex. 1 at 37. The</w:t>
      </w:r>
      <w:r>
        <w:rPr>
          <w:color w:val="000000"/>
        </w:rPr>
        <w:t xml:space="preserve"> </w:t>
      </w:r>
      <w:r>
        <w:rPr>
          <w:color w:val="000000"/>
        </w:rPr>
        <w:t xml:space="preserve">“</w:t>
      </w:r>
      <w:r>
        <w:rPr>
          <w:color w:val="000000"/>
        </w:rPr>
        <w:t xml:space="preserve">$15 million</w:t>
      </w:r>
      <w:r>
        <w:rPr>
          <w:color w:val="000000"/>
        </w:rPr>
        <w:t xml:space="preserve">”</w:t>
      </w:r>
      <w:r>
        <w:rPr>
          <w:color w:val="000000"/>
        </w:rPr>
        <w:t xml:space="preserve"> </w:t>
      </w:r>
      <w:r>
        <w:rPr>
          <w:color w:val="000000"/>
        </w:rPr>
        <w:t xml:space="preserve">figure appears in no document other than the PIP.</w:t>
      </w:r>
      <w:r>
        <w:rPr>
          <w:color w:val="000000"/>
        </w:rPr>
        <w:t xml:space="preserve"> </w:t>
      </w:r>
      <w:r>
        <w:rPr>
          <w:i/>
          <w:iCs/>
          <w:color w:val="000000"/>
        </w:rPr>
        <w:t xml:space="preserve">Id.</w:t>
      </w:r>
      <w:r>
        <w:rPr>
          <w:color w:val="000000"/>
        </w:rPr>
        <w:t xml:space="preserve"> </w:t>
      </w:r>
      <w:r>
        <w:rPr>
          <w:color w:val="000000"/>
        </w:rPr>
        <w:t xml:space="preserve">at 36–38.</w:t>
      </w:r>
    </w:p>
    <w:p>
      <w:pPr>
        <w:pStyle w:val="BodyText"/>
      </w:pPr>
      <w:r>
        <w:rPr>
          <w:b/>
          <w:bCs/>
          <w:color w:val="000000"/>
        </w:rPr>
        <w:t xml:space="preserve">28.</w:t>
      </w:r>
      <w:r>
        <w:rPr>
          <w:color w:val="000000"/>
        </w:rPr>
        <w:t xml:space="preserve"> </w:t>
      </w:r>
      <w:r>
        <w:rPr>
          <w:color w:val="000000"/>
        </w:rPr>
        <w:t xml:space="preserve">Admitted that Caldwell so testified. Denied that any adjustment was made to Ms. Vasquez’s Q2 target. Caldwell could not say when, with whom, or whether any conversation took place, and no writing reflects one. Ex. 1 at 36–38. Bank policy prohibits a PIP from relying on</w:t>
      </w:r>
      <w:r>
        <w:rPr>
          <w:color w:val="000000"/>
        </w:rPr>
        <w:t xml:space="preserve"> </w:t>
      </w:r>
      <w:r>
        <w:rPr>
          <w:color w:val="000000"/>
        </w:rPr>
        <w:t xml:space="preserve">“</w:t>
      </w:r>
      <w:r>
        <w:rPr>
          <w:color w:val="000000"/>
        </w:rPr>
        <w:t xml:space="preserve">targets that were not previously communicated to the employee in writing.</w:t>
      </w:r>
      <w:r>
        <w:rPr>
          <w:color w:val="000000"/>
        </w:rPr>
        <w:t xml:space="preserve">”</w:t>
      </w:r>
      <w:r>
        <w:rPr>
          <w:color w:val="000000"/>
        </w:rPr>
        <w:t xml:space="preserve"> </w:t>
      </w:r>
      <w:r>
        <w:rPr>
          <w:color w:val="000000"/>
        </w:rPr>
        <w:t xml:space="preserve">Ex. 5 (Handbook) § 7.4.2.</w:t>
      </w:r>
    </w:p>
    <w:p>
      <w:pPr>
        <w:pStyle w:val="BodyText"/>
      </w:pPr>
      <w:r>
        <w:rPr>
          <w:b/>
          <w:bCs/>
          <w:color w:val="000000"/>
        </w:rPr>
        <w:t xml:space="preserve">29.</w:t>
      </w:r>
      <w:r>
        <w:rPr>
          <w:color w:val="000000"/>
        </w:rPr>
        <w:t xml:space="preserve"> </w:t>
      </w:r>
      <w:r>
        <w:rPr>
          <w:color w:val="000000"/>
        </w:rPr>
        <w:t xml:space="preserve">Disputed. Caldwell could not identify when the supposed deficiencies arose. He has no documents or calendar entries reflecting any step toward a PIP before Hargrove’s August 1 email. Ex. 1 at 24–25, 77–78. Richter’s asserted concurrence does not cure a PIP whose factual premises are false. PSAF ¶¶ 28–40.</w:t>
      </w:r>
    </w:p>
    <w:p>
      <w:pPr>
        <w:pStyle w:val="BodyText"/>
      </w:pPr>
      <w:r>
        <w:rPr>
          <w:b/>
          <w:bCs/>
          <w:color w:val="000000"/>
        </w:rPr>
        <w:t xml:space="preserve">30.</w:t>
      </w:r>
      <w:r>
        <w:rPr>
          <w:color w:val="000000"/>
        </w:rPr>
        <w:t xml:space="preserve"> </w:t>
      </w:r>
      <w:r>
        <w:rPr>
          <w:color w:val="000000"/>
        </w:rPr>
        <w:t xml:space="preserve">Admitted.</w:t>
      </w:r>
    </w:p>
    <w:p>
      <w:pPr>
        <w:pStyle w:val="BodyText"/>
      </w:pPr>
      <w:r>
        <w:rPr>
          <w:b/>
          <w:bCs/>
          <w:color w:val="000000"/>
        </w:rPr>
        <w:t xml:space="preserve">31.</w:t>
      </w:r>
      <w:r>
        <w:rPr>
          <w:color w:val="000000"/>
        </w:rPr>
        <w:t xml:space="preserve"> </w:t>
      </w:r>
      <w:r>
        <w:rPr>
          <w:color w:val="000000"/>
        </w:rPr>
        <w:t xml:space="preserve">Disputed. Bank policy states that</w:t>
      </w:r>
      <w:r>
        <w:rPr>
          <w:color w:val="000000"/>
        </w:rPr>
        <w:t xml:space="preserve"> </w:t>
      </w:r>
      <w:r>
        <w:rPr>
          <w:color w:val="000000"/>
        </w:rPr>
        <w:t xml:space="preserve">“</w:t>
      </w:r>
      <w:r>
        <w:rPr>
          <w:color w:val="000000"/>
        </w:rPr>
        <w:t xml:space="preserve">in no event should a PIP period be less than 60 calendar days unless extraordinary circumstances exist and are documented in writing with the approval of the HR Director.</w:t>
      </w:r>
      <w:r>
        <w:rPr>
          <w:color w:val="000000"/>
        </w:rPr>
        <w:t xml:space="preserve">”</w:t>
      </w:r>
      <w:r>
        <w:rPr>
          <w:color w:val="000000"/>
        </w:rPr>
        <w:t xml:space="preserve"> </w:t>
      </w:r>
      <w:r>
        <w:rPr>
          <w:color w:val="000000"/>
        </w:rPr>
        <w:t xml:space="preserve">Ex. 5 § 7.4.3. No such documentation has been identified. Caldwell had never issued a PIP shorter than 60 days. Ex. 1 at 93–94.</w:t>
      </w:r>
    </w:p>
    <w:p>
      <w:pPr>
        <w:pStyle w:val="BodyText"/>
      </w:pPr>
      <w:r>
        <w:rPr>
          <w:b/>
          <w:bCs/>
          <w:color w:val="000000"/>
        </w:rPr>
        <w:t xml:space="preserve">32.–33.</w:t>
      </w:r>
      <w:r>
        <w:rPr>
          <w:color w:val="000000"/>
        </w:rPr>
        <w:t xml:space="preserve"> </w:t>
      </w:r>
      <w:r>
        <w:rPr>
          <w:color w:val="000000"/>
        </w:rPr>
        <w:t xml:space="preserve">Admitted. Plaintiff adds that every review from 2012 through 2022 rated her</w:t>
      </w:r>
      <w:r>
        <w:rPr>
          <w:color w:val="000000"/>
        </w:rPr>
        <w:t xml:space="preserve"> </w:t>
      </w:r>
      <w:r>
        <w:rPr>
          <w:color w:val="000000"/>
        </w:rPr>
        <w:t xml:space="preserve">“</w:t>
      </w:r>
      <w:r>
        <w:rPr>
          <w:color w:val="000000"/>
        </w:rPr>
        <w:t xml:space="preserve">Exceeds Expectations</w:t>
      </w:r>
      <w:r>
        <w:rPr>
          <w:color w:val="000000"/>
        </w:rPr>
        <w:t xml:space="preserve">”</w:t>
      </w:r>
      <w:r>
        <w:rPr>
          <w:color w:val="000000"/>
        </w:rPr>
        <w:t xml:space="preserve"> </w:t>
      </w:r>
      <w:r>
        <w:rPr>
          <w:color w:val="000000"/>
        </w:rPr>
        <w:t xml:space="preserve">or</w:t>
      </w:r>
      <w:r>
        <w:rPr>
          <w:color w:val="000000"/>
        </w:rPr>
        <w:t xml:space="preserve"> </w:t>
      </w:r>
      <w:r>
        <w:rPr>
          <w:color w:val="000000"/>
        </w:rPr>
        <w:t xml:space="preserve">“</w:t>
      </w:r>
      <w:r>
        <w:rPr>
          <w:color w:val="000000"/>
        </w:rPr>
        <w:t xml:space="preserve">Outstanding.</w:t>
      </w:r>
      <w:r>
        <w:rPr>
          <w:color w:val="000000"/>
        </w:rPr>
        <w:t xml:space="preserve">”</w:t>
      </w:r>
      <w:r>
        <w:rPr>
          <w:color w:val="000000"/>
        </w:rPr>
        <w:t xml:space="preserve"> </w:t>
      </w:r>
      <w:r>
        <w:rPr>
          <w:color w:val="000000"/>
        </w:rPr>
        <w:t xml:space="preserve">Ex. 7 (2022 Review) § 4; Ex. 1 at 22.</w:t>
      </w:r>
    </w:p>
    <w:p>
      <w:pPr>
        <w:pStyle w:val="BodyText"/>
      </w:pPr>
      <w:r>
        <w:rPr>
          <w:b/>
          <w:bCs/>
          <w:color w:val="000000"/>
        </w:rPr>
        <w:t xml:space="preserve">34.–35.</w:t>
      </w:r>
      <w:r>
        <w:rPr>
          <w:color w:val="000000"/>
        </w:rPr>
        <w:t xml:space="preserve"> </w:t>
      </w:r>
      <w:r>
        <w:rPr>
          <w:color w:val="000000"/>
        </w:rPr>
        <w:t xml:space="preserve">Admitted. Plaintiff adds that the termination letter treats the termination as</w:t>
      </w:r>
      <w:r>
        <w:rPr>
          <w:color w:val="000000"/>
        </w:rPr>
        <w:t xml:space="preserve"> </w:t>
      </w:r>
      <w:r>
        <w:rPr>
          <w:color w:val="000000"/>
        </w:rPr>
        <w:t xml:space="preserve">“</w:t>
      </w:r>
      <w:r>
        <w:rPr>
          <w:color w:val="000000"/>
        </w:rPr>
        <w:t xml:space="preserve">for cause,</w:t>
      </w:r>
      <w:r>
        <w:rPr>
          <w:color w:val="000000"/>
        </w:rPr>
        <w:t xml:space="preserve">”</w:t>
      </w:r>
      <w:r>
        <w:rPr>
          <w:color w:val="000000"/>
        </w:rPr>
        <w:t xml:space="preserve"> </w:t>
      </w:r>
      <w:r>
        <w:rPr>
          <w:color w:val="000000"/>
        </w:rPr>
        <w:t xml:space="preserve">denies her bonus on that basis, and copies General Counsel Hargrove. Ex. 10.</w:t>
      </w:r>
    </w:p>
    <w:p>
      <w:pPr>
        <w:pStyle w:val="BodyText"/>
      </w:pPr>
      <w:r>
        <w:rPr>
          <w:b/>
          <w:bCs/>
          <w:color w:val="000000"/>
        </w:rPr>
        <w:t xml:space="preserve">36.</w:t>
      </w:r>
      <w:r>
        <w:rPr>
          <w:color w:val="000000"/>
        </w:rPr>
        <w:t xml:space="preserve"> </w:t>
      </w:r>
      <w:r>
        <w:rPr>
          <w:color w:val="000000"/>
        </w:rPr>
        <w:t xml:space="preserve">Admitted that Caldwell so testified. Denied that the testimony is true. A jury may disbelieve it. Caldwell first testified that he</w:t>
      </w:r>
      <w:r>
        <w:rPr>
          <w:color w:val="000000"/>
        </w:rPr>
        <w:t xml:space="preserve"> </w:t>
      </w:r>
      <w:r>
        <w:rPr>
          <w:color w:val="000000"/>
        </w:rPr>
        <w:t xml:space="preserve">“</w:t>
      </w:r>
      <w:r>
        <w:rPr>
          <w:color w:val="000000"/>
        </w:rPr>
        <w:t xml:space="preserve">wasn’t aware of Ms. Vasquez’s compliance report at the time I drafted the PIP,</w:t>
      </w:r>
      <w:r>
        <w:rPr>
          <w:color w:val="000000"/>
        </w:rPr>
        <w:t xml:space="preserve">”</w:t>
      </w:r>
      <w:r>
        <w:rPr>
          <w:color w:val="000000"/>
        </w:rPr>
        <w:t xml:space="preserve"> </w:t>
      </w:r>
      <w:r>
        <w:rPr>
          <w:color w:val="000000"/>
        </w:rPr>
        <w:t xml:space="preserve">and later admitted he learned of it from Hargrove’s August 1 email. Ex. 1 at 63, 121–23. PSAF ¶¶ 24–27.</w:t>
      </w:r>
    </w:p>
    <w:p>
      <w:pPr>
        <w:pStyle w:val="BodyText"/>
      </w:pPr>
      <w:r>
        <w:rPr>
          <w:b/>
          <w:bCs/>
          <w:color w:val="000000"/>
        </w:rPr>
        <w:t xml:space="preserve">37.</w:t>
      </w:r>
      <w:r>
        <w:rPr>
          <w:color w:val="000000"/>
        </w:rPr>
        <w:t xml:space="preserve"> </w:t>
      </w:r>
      <w:r>
        <w:rPr>
          <w:color w:val="000000"/>
        </w:rPr>
        <w:t xml:space="preserve">Admitted that Richter so testified. Denied that the termination complied with Bank policy. PSAF ¶¶ 41–44.</w:t>
      </w:r>
    </w:p>
    <w:p>
      <w:pPr>
        <w:pStyle w:val="BodyText"/>
      </w:pPr>
      <w:r>
        <w:rPr>
          <w:b/>
          <w:bCs/>
          <w:color w:val="000000"/>
        </w:rPr>
        <w:t xml:space="preserve">38.</w:t>
      </w:r>
      <w:r>
        <w:rPr>
          <w:color w:val="000000"/>
        </w:rPr>
        <w:t xml:space="preserve"> </w:t>
      </w:r>
      <w:r>
        <w:rPr>
          <w:color w:val="000000"/>
        </w:rPr>
        <w:t xml:space="preserve">Admitted.</w:t>
      </w:r>
    </w:p>
    <w:p>
      <w:pPr>
        <w:pStyle w:val="BodyText"/>
      </w:pPr>
      <w:r>
        <w:rPr>
          <w:b/>
          <w:bCs/>
          <w:color w:val="000000"/>
        </w:rPr>
        <w:t xml:space="preserve">39.</w:t>
      </w:r>
      <w:r>
        <w:rPr>
          <w:color w:val="000000"/>
        </w:rPr>
        <w:t xml:space="preserve"> </w:t>
      </w:r>
      <w:r>
        <w:rPr>
          <w:color w:val="000000"/>
        </w:rPr>
        <w:t xml:space="preserve">Disputed.</w:t>
      </w:r>
      <w:r>
        <w:rPr>
          <w:color w:val="000000"/>
        </w:rPr>
        <w:t xml:space="preserve"> </w:t>
      </w:r>
      <w:r>
        <w:rPr>
          <w:color w:val="000000"/>
        </w:rPr>
        <w:t xml:space="preserve">“</w:t>
      </w:r>
      <w:r>
        <w:rPr>
          <w:color w:val="000000"/>
        </w:rPr>
        <w:t xml:space="preserve">Confirmed knowledge</w:t>
      </w:r>
      <w:r>
        <w:rPr>
          <w:color w:val="000000"/>
        </w:rPr>
        <w:t xml:space="preserve">”</w:t>
      </w:r>
      <w:r>
        <w:rPr>
          <w:color w:val="000000"/>
        </w:rPr>
        <w:t xml:space="preserve"> </w:t>
      </w:r>
      <w:r>
        <w:rPr>
          <w:color w:val="000000"/>
        </w:rPr>
        <w:t xml:space="preserve">is not the legal standard. The Bank’s General Counsel concluded in writing that Ms. Vasquez was the source of the regulatory report, and he gave that conclusion to the decision-maker. PSAF ¶¶ 20–27.</w:t>
      </w:r>
    </w:p>
    <w:p>
      <w:pPr>
        <w:pStyle w:val="BodyText"/>
      </w:pPr>
      <w:r>
        <w:rPr>
          <w:b/>
          <w:bCs/>
          <w:color w:val="000000"/>
        </w:rPr>
        <w:t xml:space="preserve">40.</w:t>
      </w:r>
      <w:r>
        <w:rPr>
          <w:color w:val="000000"/>
        </w:rPr>
        <w:t xml:space="preserve"> </w:t>
      </w:r>
      <w:r>
        <w:rPr>
          <w:color w:val="000000"/>
        </w:rPr>
        <w:t xml:space="preserve">Admitted that no one told Caldwell the specific words</w:t>
      </w:r>
      <w:r>
        <w:rPr>
          <w:color w:val="000000"/>
        </w:rPr>
        <w:t xml:space="preserve"> </w:t>
      </w:r>
      <w:r>
        <w:rPr>
          <w:color w:val="000000"/>
        </w:rPr>
        <w:t xml:space="preserve">“</w:t>
      </w:r>
      <w:r>
        <w:rPr>
          <w:color w:val="000000"/>
        </w:rPr>
        <w:t xml:space="preserve">report with FinCEN.</w:t>
      </w:r>
      <w:r>
        <w:rPr>
          <w:color w:val="000000"/>
        </w:rPr>
        <w:t xml:space="preserve">”</w:t>
      </w:r>
      <w:r>
        <w:rPr>
          <w:color w:val="000000"/>
        </w:rPr>
        <w:t xml:space="preserve"> </w:t>
      </w:r>
      <w:r>
        <w:rPr>
          <w:color w:val="000000"/>
        </w:rPr>
        <w:t xml:space="preserve">Denied to the extent the paragraph implies he lacked knowledge that the Bank believed Ms. Vasquez had reported to regulators. Ex. 3; Ex. 1 at 79–80.</w:t>
      </w:r>
    </w:p>
    <w:p>
      <w:pPr>
        <w:pStyle w:val="BodyText"/>
      </w:pPr>
      <w:r>
        <w:rPr>
          <w:b/>
          <w:bCs/>
          <w:color w:val="000000"/>
        </w:rPr>
        <w:t xml:space="preserve">41.</w:t>
      </w:r>
      <w:r>
        <w:rPr>
          <w:color w:val="000000"/>
        </w:rPr>
        <w:t xml:space="preserve"> </w:t>
      </w:r>
      <w:r>
        <w:rPr>
          <w:color w:val="000000"/>
        </w:rPr>
        <w:t xml:space="preserve">Disputed as to characterization. The email concerns an external report to a federal regulator (the OCC inquiry). It identifies Ms. Vasquez as the source of that</w:t>
      </w:r>
      <w:r>
        <w:rPr>
          <w:color w:val="000000"/>
        </w:rPr>
        <w:t xml:space="preserve"> </w:t>
      </w:r>
      <w:r>
        <w:rPr>
          <w:color w:val="000000"/>
        </w:rPr>
        <w:t xml:space="preserve">“</w:t>
      </w:r>
      <w:r>
        <w:rPr>
          <w:color w:val="000000"/>
        </w:rPr>
        <w:t xml:space="preserve">leak</w:t>
      </w:r>
      <w:r>
        <w:rPr>
          <w:color w:val="000000"/>
        </w:rPr>
        <w:t xml:space="preserve">”</w:t>
      </w:r>
      <w:r>
        <w:rPr>
          <w:color w:val="000000"/>
        </w:rPr>
        <w:t xml:space="preserve"> </w:t>
      </w:r>
      <w:r>
        <w:rPr>
          <w:color w:val="000000"/>
        </w:rPr>
        <w:t xml:space="preserve">and calls for the source to be identified and</w:t>
      </w:r>
      <w:r>
        <w:rPr>
          <w:color w:val="000000"/>
        </w:rPr>
        <w:t xml:space="preserve"> </w:t>
      </w:r>
      <w:r>
        <w:rPr>
          <w:color w:val="000000"/>
        </w:rPr>
        <w:t xml:space="preserve">“</w:t>
      </w:r>
      <w:r>
        <w:rPr>
          <w:color w:val="000000"/>
        </w:rPr>
        <w:t xml:space="preserve">contain[ed].</w:t>
      </w:r>
      <w:r>
        <w:rPr>
          <w:color w:val="000000"/>
        </w:rPr>
        <w:t xml:space="preserve">”</w:t>
      </w:r>
      <w:r>
        <w:rPr>
          <w:color w:val="000000"/>
        </w:rPr>
        <w:t xml:space="preserve"> </w:t>
      </w:r>
      <w:r>
        <w:rPr>
          <w:color w:val="000000"/>
        </w:rPr>
        <w:t xml:space="preserve">Ex. 3.</w:t>
      </w:r>
    </w:p>
    <w:p>
      <w:pPr>
        <w:pStyle w:val="BodyText"/>
      </w:pPr>
      <w:r>
        <w:rPr>
          <w:b/>
          <w:bCs/>
          <w:color w:val="000000"/>
        </w:rPr>
        <w:t xml:space="preserve">42.</w:t>
      </w:r>
      <w:r>
        <w:rPr>
          <w:color w:val="000000"/>
        </w:rPr>
        <w:t xml:space="preserve"> </w:t>
      </w:r>
      <w:r>
        <w:rPr>
          <w:color w:val="000000"/>
        </w:rPr>
        <w:t xml:space="preserve">Admitted that the Bank does not itself have registered securities. The fact is immaterial because § 1514A(a) expressly covers subsidiaries whose financial information is consolidated with a public parent’s. PSAF ¶ 50.</w:t>
      </w:r>
    </w:p>
    <w:p>
      <w:pPr>
        <w:pStyle w:val="BodyText"/>
      </w:pPr>
      <w:r>
        <w:rPr>
          <w:b/>
          <w:bCs/>
          <w:color w:val="000000"/>
        </w:rPr>
        <w:t xml:space="preserve">43.</w:t>
      </w:r>
      <w:r>
        <w:rPr>
          <w:color w:val="000000"/>
        </w:rPr>
        <w:t xml:space="preserve"> </w:t>
      </w:r>
      <w:r>
        <w:rPr>
          <w:color w:val="000000"/>
        </w:rPr>
        <w:t xml:space="preserve">Admitted, and immaterial for the same reason.</w:t>
      </w:r>
    </w:p>
    <w:p>
      <w:pPr>
        <w:pStyle w:val="BodyText"/>
      </w:pPr>
      <w:r>
        <w:rPr>
          <w:b/>
          <w:bCs/>
          <w:color w:val="000000"/>
        </w:rPr>
        <w:t xml:space="preserve">44.–45.</w:t>
      </w:r>
      <w:r>
        <w:rPr>
          <w:color w:val="000000"/>
        </w:rPr>
        <w:t xml:space="preserve"> </w:t>
      </w:r>
      <w:r>
        <w:rPr>
          <w:color w:val="000000"/>
        </w:rPr>
        <w:t xml:space="preserve">Admitted.</w:t>
      </w:r>
    </w:p>
    <w:bookmarkEnd w:id="21"/>
    <w:bookmarkStart w:id="30" w:name="X6ed150a3e534d96983238c17687314f491dac47"/>
    <w:p>
      <w:pPr>
        <w:pStyle w:val="Heading1"/>
      </w:pPr>
      <w:r>
        <w:rPr>
          <w:color w:val="000000"/>
        </w:rPr>
        <w:t xml:space="preserve">III. PLAINTIFF’S STATEMENT OF ADDITIONAL DISPUTED FACTS</w:t>
      </w:r>
    </w:p>
    <w:bookmarkStart w:id="22" w:name="a.-ms.-vasquezs-unblemished-record"/>
    <w:p>
      <w:pPr>
        <w:pStyle w:val="Heading2"/>
      </w:pPr>
      <w:r>
        <w:rPr>
          <w:color w:val="000000"/>
        </w:rPr>
        <w:t xml:space="preserve">A. Ms. Vasquez’s Unblemished Record</w:t>
      </w:r>
    </w:p>
    <w:p>
      <w:pPr>
        <w:pStyle w:val="FirstParagraph"/>
      </w:pPr>
      <w:r>
        <w:rPr>
          <w:b/>
          <w:bCs/>
          <w:color w:val="000000"/>
        </w:rPr>
        <w:t xml:space="preserve">1.</w:t>
      </w:r>
      <w:r>
        <w:rPr>
          <w:color w:val="000000"/>
        </w:rPr>
        <w:t xml:space="preserve"> </w:t>
      </w:r>
      <w:r>
        <w:rPr>
          <w:color w:val="000000"/>
        </w:rPr>
        <w:t xml:space="preserve">Ms. Vasquez worked for the Bank from March 5, 2012 to September 22, 2023. From 2012 through 2022, she received a rating of</w:t>
      </w:r>
      <w:r>
        <w:rPr>
          <w:color w:val="000000"/>
        </w:rPr>
        <w:t xml:space="preserve"> </w:t>
      </w:r>
      <w:r>
        <w:rPr>
          <w:color w:val="000000"/>
        </w:rPr>
        <w:t xml:space="preserve">“</w:t>
      </w:r>
      <w:r>
        <w:rPr>
          <w:color w:val="000000"/>
        </w:rPr>
        <w:t xml:space="preserve">Exceeds Expectations</w:t>
      </w:r>
      <w:r>
        <w:rPr>
          <w:color w:val="000000"/>
        </w:rPr>
        <w:t xml:space="preserve">”</w:t>
      </w:r>
      <w:r>
        <w:rPr>
          <w:color w:val="000000"/>
        </w:rPr>
        <w:t xml:space="preserve"> </w:t>
      </w:r>
      <w:r>
        <w:rPr>
          <w:color w:val="000000"/>
        </w:rPr>
        <w:t xml:space="preserve">or</w:t>
      </w:r>
      <w:r>
        <w:rPr>
          <w:color w:val="000000"/>
        </w:rPr>
        <w:t xml:space="preserve"> </w:t>
      </w:r>
      <w:r>
        <w:rPr>
          <w:color w:val="000000"/>
        </w:rPr>
        <w:t xml:space="preserve">“</w:t>
      </w:r>
      <w:r>
        <w:rPr>
          <w:color w:val="000000"/>
        </w:rPr>
        <w:t xml:space="preserve">Outstanding</w:t>
      </w:r>
      <w:r>
        <w:rPr>
          <w:color w:val="000000"/>
        </w:rPr>
        <w:t xml:space="preserve">”</w:t>
      </w:r>
      <w:r>
        <w:rPr>
          <w:color w:val="000000"/>
        </w:rPr>
        <w:t xml:space="preserve"> </w:t>
      </w:r>
      <w:r>
        <w:rPr>
          <w:color w:val="000000"/>
        </w:rPr>
        <w:t xml:space="preserve">every year. Ex. 1 at 15, 22; Ex. 7 § 4.</w:t>
      </w:r>
    </w:p>
    <w:p>
      <w:pPr>
        <w:pStyle w:val="BodyText"/>
      </w:pPr>
      <w:r>
        <w:rPr>
          <w:b/>
          <w:bCs/>
          <w:color w:val="000000"/>
        </w:rPr>
        <w:t xml:space="preserve">2.</w:t>
      </w:r>
      <w:r>
        <w:rPr>
          <w:color w:val="000000"/>
        </w:rPr>
        <w:t xml:space="preserve"> </w:t>
      </w:r>
      <w:r>
        <w:rPr>
          <w:color w:val="000000"/>
        </w:rPr>
        <w:t xml:space="preserve">On February 10, 2023, Caldwell rated her</w:t>
      </w:r>
      <w:r>
        <w:rPr>
          <w:color w:val="000000"/>
        </w:rPr>
        <w:t xml:space="preserve"> </w:t>
      </w:r>
      <w:r>
        <w:rPr>
          <w:color w:val="000000"/>
        </w:rPr>
        <w:t xml:space="preserve">“</w:t>
      </w:r>
      <w:r>
        <w:rPr>
          <w:color w:val="000000"/>
        </w:rPr>
        <w:t xml:space="preserve">Outstanding,</w:t>
      </w:r>
      <w:r>
        <w:rPr>
          <w:color w:val="000000"/>
        </w:rPr>
        <w:t xml:space="preserve">”</w:t>
      </w:r>
      <w:r>
        <w:rPr>
          <w:color w:val="000000"/>
        </w:rPr>
        <w:t xml:space="preserve"> </w:t>
      </w:r>
      <w:r>
        <w:rPr>
          <w:color w:val="000000"/>
        </w:rPr>
        <w:t xml:space="preserve">the highest rating. He wrote:</w:t>
      </w:r>
      <w:r>
        <w:rPr>
          <w:color w:val="000000"/>
        </w:rPr>
        <w:t xml:space="preserve"> </w:t>
      </w:r>
      <w:r>
        <w:rPr>
          <w:color w:val="000000"/>
        </w:rPr>
        <w:t xml:space="preserve">“</w:t>
      </w:r>
      <w:r>
        <w:rPr>
          <w:color w:val="000000"/>
        </w:rPr>
        <w:t xml:space="preserve">Elena continues to be one of our highest-performing SVPs. Her portfolio management is exemplary, and her leadership on the Denver commercial team is invaluable.</w:t>
      </w:r>
      <w:r>
        <w:rPr>
          <w:color w:val="000000"/>
        </w:rPr>
        <w:t xml:space="preserve">”</w:t>
      </w:r>
      <w:r>
        <w:rPr>
          <w:color w:val="000000"/>
        </w:rPr>
        <w:t xml:space="preserve"> </w:t>
      </w:r>
      <w:r>
        <w:rPr>
          <w:color w:val="000000"/>
        </w:rPr>
        <w:t xml:space="preserve">Ex. 7 §§ 2, 4; Ex. 1 at 23–24.</w:t>
      </w:r>
    </w:p>
    <w:p>
      <w:pPr>
        <w:pStyle w:val="BodyText"/>
      </w:pPr>
      <w:r>
        <w:rPr>
          <w:b/>
          <w:bCs/>
          <w:color w:val="000000"/>
        </w:rPr>
        <w:t xml:space="preserve">3.</w:t>
      </w:r>
      <w:r>
        <w:rPr>
          <w:color w:val="000000"/>
        </w:rPr>
        <w:t xml:space="preserve"> </w:t>
      </w:r>
      <w:r>
        <w:rPr>
          <w:color w:val="000000"/>
        </w:rPr>
        <w:t xml:space="preserve">The same review states that her</w:t>
      </w:r>
      <w:r>
        <w:rPr>
          <w:color w:val="000000"/>
        </w:rPr>
        <w:t xml:space="preserve"> </w:t>
      </w:r>
      <w:r>
        <w:rPr>
          <w:color w:val="000000"/>
        </w:rPr>
        <w:t xml:space="preserve">“</w:t>
      </w:r>
      <w:r>
        <w:rPr>
          <w:color w:val="000000"/>
        </w:rPr>
        <w:t xml:space="preserve">attention to documentation and credit file maintenance is exemplary</w:t>
      </w:r>
      <w:r>
        <w:rPr>
          <w:color w:val="000000"/>
        </w:rPr>
        <w:t xml:space="preserve">”</w:t>
      </w:r>
      <w:r>
        <w:rPr>
          <w:color w:val="000000"/>
        </w:rPr>
        <w:t xml:space="preserve">; that</w:t>
      </w:r>
      <w:r>
        <w:rPr>
          <w:color w:val="000000"/>
        </w:rPr>
        <w:t xml:space="preserve"> </w:t>
      </w:r>
      <w:r>
        <w:rPr>
          <w:color w:val="000000"/>
        </w:rPr>
        <w:t xml:space="preserve">“</w:t>
      </w:r>
      <w:r>
        <w:rPr>
          <w:color w:val="000000"/>
        </w:rPr>
        <w:t xml:space="preserve">[n]o client complaints were received</w:t>
      </w:r>
      <w:r>
        <w:rPr>
          <w:color w:val="000000"/>
        </w:rPr>
        <w:t xml:space="preserve">”</w:t>
      </w:r>
      <w:r>
        <w:rPr>
          <w:color w:val="000000"/>
        </w:rPr>
        <w:t xml:space="preserve">; that she is</w:t>
      </w:r>
      <w:r>
        <w:rPr>
          <w:color w:val="000000"/>
        </w:rPr>
        <w:t xml:space="preserve"> </w:t>
      </w:r>
      <w:r>
        <w:rPr>
          <w:color w:val="000000"/>
        </w:rPr>
        <w:t xml:space="preserve">“</w:t>
      </w:r>
      <w:r>
        <w:rPr>
          <w:color w:val="000000"/>
        </w:rPr>
        <w:t xml:space="preserve">highly responsive,</w:t>
      </w:r>
      <w:r>
        <w:rPr>
          <w:color w:val="000000"/>
        </w:rPr>
        <w:t xml:space="preserve">”</w:t>
      </w:r>
      <w:r>
        <w:rPr>
          <w:color w:val="000000"/>
        </w:rPr>
        <w:t xml:space="preserve"> </w:t>
      </w:r>
      <w:r>
        <w:rPr>
          <w:color w:val="000000"/>
        </w:rPr>
        <w:t xml:space="preserve">“</w:t>
      </w:r>
      <w:r>
        <w:rPr>
          <w:color w:val="000000"/>
        </w:rPr>
        <w:t xml:space="preserve">consistently returning client inquiries within the same business day</w:t>
      </w:r>
      <w:r>
        <w:rPr>
          <w:color w:val="000000"/>
        </w:rPr>
        <w:t xml:space="preserve">”</w:t>
      </w:r>
      <w:r>
        <w:rPr>
          <w:color w:val="000000"/>
        </w:rPr>
        <w:t xml:space="preserve">; and that she has</w:t>
      </w:r>
      <w:r>
        <w:rPr>
          <w:color w:val="000000"/>
        </w:rPr>
        <w:t xml:space="preserve"> </w:t>
      </w:r>
      <w:r>
        <w:rPr>
          <w:color w:val="000000"/>
        </w:rPr>
        <w:t xml:space="preserve">“</w:t>
      </w:r>
      <w:r>
        <w:rPr>
          <w:color w:val="000000"/>
        </w:rPr>
        <w:t xml:space="preserve">particularly strong and productive relationships</w:t>
      </w:r>
      <w:r>
        <w:rPr>
          <w:color w:val="000000"/>
        </w:rPr>
        <w:t xml:space="preserve">”</w:t>
      </w:r>
      <w:r>
        <w:rPr>
          <w:color w:val="000000"/>
        </w:rPr>
        <w:t xml:space="preserve"> </w:t>
      </w:r>
      <w:r>
        <w:rPr>
          <w:color w:val="000000"/>
        </w:rPr>
        <w:t xml:space="preserve">with Thornburg Development Group, Westlake, and Meridian. Ex. 7 §§ 3.1–3.2.</w:t>
      </w:r>
    </w:p>
    <w:p>
      <w:pPr>
        <w:pStyle w:val="BodyText"/>
      </w:pPr>
      <w:r>
        <w:rPr>
          <w:b/>
          <w:bCs/>
          <w:color w:val="000000"/>
        </w:rPr>
        <w:t xml:space="preserve">4.</w:t>
      </w:r>
      <w:r>
        <w:rPr>
          <w:color w:val="000000"/>
        </w:rPr>
        <w:t xml:space="preserve"> </w:t>
      </w:r>
      <w:r>
        <w:rPr>
          <w:color w:val="000000"/>
        </w:rPr>
        <w:t xml:space="preserve">Caldwell</w:t>
      </w:r>
      <w:r>
        <w:rPr>
          <w:color w:val="000000"/>
        </w:rPr>
        <w:t xml:space="preserve"> </w:t>
      </w:r>
      <w:r>
        <w:rPr>
          <w:color w:val="000000"/>
        </w:rPr>
        <w:t xml:space="preserve">“</w:t>
      </w:r>
      <w:r>
        <w:rPr>
          <w:color w:val="000000"/>
        </w:rPr>
        <w:t xml:space="preserve">strongly recommend[ed] Elena for continued advancement and for consideration in the bank’s emerging leaders program at the executive level.</w:t>
      </w:r>
      <w:r>
        <w:rPr>
          <w:color w:val="000000"/>
        </w:rPr>
        <w:t xml:space="preserve">”</w:t>
      </w:r>
      <w:r>
        <w:rPr>
          <w:color w:val="000000"/>
        </w:rPr>
        <w:t xml:space="preserve"> </w:t>
      </w:r>
      <w:r>
        <w:rPr>
          <w:color w:val="000000"/>
        </w:rPr>
        <w:t xml:space="preserve">Ex. 7 § 4.</w:t>
      </w:r>
    </w:p>
    <w:p>
      <w:pPr>
        <w:pStyle w:val="BodyText"/>
      </w:pPr>
      <w:r>
        <w:rPr>
          <w:b/>
          <w:bCs/>
          <w:color w:val="000000"/>
        </w:rPr>
        <w:t xml:space="preserve">5.</w:t>
      </w:r>
      <w:r>
        <w:rPr>
          <w:color w:val="000000"/>
        </w:rPr>
        <w:t xml:space="preserve"> </w:t>
      </w:r>
      <w:r>
        <w:rPr>
          <w:color w:val="000000"/>
        </w:rPr>
        <w:t xml:space="preserve">As of February 10, 2023, Caldwell had no performance concerns about Ms. Vasquez. Ex. 1 at 24.</w:t>
      </w:r>
    </w:p>
    <w:p>
      <w:pPr>
        <w:pStyle w:val="BodyText"/>
      </w:pPr>
      <w:r>
        <w:rPr>
          <w:b/>
          <w:bCs/>
          <w:color w:val="000000"/>
        </w:rPr>
        <w:t xml:space="preserve">6.</w:t>
      </w:r>
      <w:r>
        <w:rPr>
          <w:color w:val="000000"/>
        </w:rPr>
        <w:t xml:space="preserve"> </w:t>
      </w:r>
      <w:r>
        <w:rPr>
          <w:color w:val="000000"/>
        </w:rPr>
        <w:t xml:space="preserve">Before August 14, 2023, Ms. Vasquez had never received any formal discipline, written warning, or PIP. SUMF ¶ 32.</w:t>
      </w:r>
    </w:p>
    <w:bookmarkEnd w:id="22"/>
    <w:bookmarkStart w:id="23" w:name="Xaa7c059bbd13e7ce79123f216e6999351c0b306"/>
    <w:p>
      <w:pPr>
        <w:pStyle w:val="Heading2"/>
      </w:pPr>
      <w:r>
        <w:rPr>
          <w:color w:val="000000"/>
        </w:rPr>
        <w:t xml:space="preserve">B. The Orion Gateway Report and the Bank’s Response</w:t>
      </w:r>
    </w:p>
    <w:p>
      <w:pPr>
        <w:pStyle w:val="FirstParagraph"/>
      </w:pPr>
      <w:r>
        <w:rPr>
          <w:b/>
          <w:bCs/>
          <w:color w:val="000000"/>
        </w:rPr>
        <w:t xml:space="preserve">7.</w:t>
      </w:r>
      <w:r>
        <w:rPr>
          <w:color w:val="000000"/>
        </w:rPr>
        <w:t xml:space="preserve"> </w:t>
      </w:r>
      <w:r>
        <w:rPr>
          <w:color w:val="000000"/>
        </w:rPr>
        <w:t xml:space="preserve">On April 3, 2023, Ms. Vasquez gave Chief Compliance Officer Diane Prescott a seven-page memorandum. It identified about $18.7 million in wire transfers through Orion Gateway’s $24 million revolving facility between January and March 2023, spread over 63 wires. The funds came from six foreign entities, stayed in the account two to five business days, and went out to four domestic entities. She recommended SAR filing and enhanced due diligence. Ex. 2 at 27–38.</w:t>
      </w:r>
    </w:p>
    <w:p>
      <w:pPr>
        <w:pStyle w:val="BodyText"/>
      </w:pPr>
      <w:r>
        <w:rPr>
          <w:b/>
          <w:bCs/>
          <w:color w:val="000000"/>
        </w:rPr>
        <w:t xml:space="preserve">8.</w:t>
      </w:r>
      <w:r>
        <w:rPr>
          <w:color w:val="000000"/>
        </w:rPr>
        <w:t xml:space="preserve"> </w:t>
      </w:r>
      <w:r>
        <w:rPr>
          <w:color w:val="000000"/>
        </w:rPr>
        <w:t xml:space="preserve">Prescott described the memorandum as</w:t>
      </w:r>
      <w:r>
        <w:rPr>
          <w:color w:val="000000"/>
        </w:rPr>
        <w:t xml:space="preserve"> </w:t>
      </w:r>
      <w:r>
        <w:rPr>
          <w:color w:val="000000"/>
        </w:rPr>
        <w:t xml:space="preserve">“</w:t>
      </w:r>
      <w:r>
        <w:rPr>
          <w:color w:val="000000"/>
        </w:rPr>
        <w:t xml:space="preserve">thorough and well-documented</w:t>
      </w:r>
      <w:r>
        <w:rPr>
          <w:color w:val="000000"/>
        </w:rPr>
        <w:t xml:space="preserve">”</w:t>
      </w:r>
      <w:r>
        <w:rPr>
          <w:color w:val="000000"/>
        </w:rPr>
        <w:t xml:space="preserve"> </w:t>
      </w:r>
      <w:r>
        <w:rPr>
          <w:color w:val="000000"/>
        </w:rPr>
        <w:t xml:space="preserve">and</w:t>
      </w:r>
      <w:r>
        <w:rPr>
          <w:color w:val="000000"/>
        </w:rPr>
        <w:t xml:space="preserve"> </w:t>
      </w:r>
      <w:r>
        <w:rPr>
          <w:color w:val="000000"/>
        </w:rPr>
        <w:t xml:space="preserve">“</w:t>
      </w:r>
      <w:r>
        <w:rPr>
          <w:color w:val="000000"/>
        </w:rPr>
        <w:t xml:space="preserve">exactly the type of information that warrants careful compliance review.</w:t>
      </w:r>
      <w:r>
        <w:rPr>
          <w:color w:val="000000"/>
        </w:rPr>
        <w:t xml:space="preserve">”</w:t>
      </w:r>
      <w:r>
        <w:rPr>
          <w:color w:val="000000"/>
        </w:rPr>
        <w:t xml:space="preserve"> </w:t>
      </w:r>
      <w:r>
        <w:rPr>
          <w:i/>
          <w:iCs/>
          <w:color w:val="000000"/>
        </w:rPr>
        <w:t xml:space="preserve">Id.</w:t>
      </w:r>
    </w:p>
    <w:p>
      <w:pPr>
        <w:pStyle w:val="BodyText"/>
      </w:pPr>
      <w:r>
        <w:rPr>
          <w:b/>
          <w:bCs/>
          <w:color w:val="000000"/>
        </w:rPr>
        <w:t xml:space="preserve">9.</w:t>
      </w:r>
      <w:r>
        <w:rPr>
          <w:color w:val="000000"/>
        </w:rPr>
        <w:t xml:space="preserve"> </w:t>
      </w:r>
      <w:r>
        <w:rPr>
          <w:color w:val="000000"/>
        </w:rPr>
        <w:t xml:space="preserve">Orion Gateway was onboarded in September 2022 by SVP Bradley Whitfield, and it was not in Ms. Vasquez’s portfolio.</w:t>
      </w:r>
      <w:r>
        <w:rPr>
          <w:color w:val="000000"/>
        </w:rPr>
        <w:t xml:space="preserve"> </w:t>
      </w:r>
      <w:r>
        <w:rPr>
          <w:i/>
          <w:iCs/>
          <w:color w:val="000000"/>
        </w:rPr>
        <w:t xml:space="preserve">Id.</w:t>
      </w:r>
      <w:r>
        <w:rPr>
          <w:color w:val="000000"/>
        </w:rPr>
        <w:t xml:space="preserve">; SUMF ¶ 10.</w:t>
      </w:r>
    </w:p>
    <w:p>
      <w:pPr>
        <w:pStyle w:val="BodyText"/>
      </w:pPr>
      <w:r>
        <w:rPr>
          <w:b/>
          <w:bCs/>
          <w:color w:val="000000"/>
        </w:rPr>
        <w:t xml:space="preserve">10.</w:t>
      </w:r>
      <w:r>
        <w:rPr>
          <w:color w:val="000000"/>
        </w:rPr>
        <w:t xml:space="preserve"> </w:t>
      </w:r>
      <w:r>
        <w:rPr>
          <w:color w:val="000000"/>
        </w:rPr>
        <w:t xml:space="preserve">Prescott’s preliminary review found the patterns</w:t>
      </w:r>
      <w:r>
        <w:rPr>
          <w:color w:val="000000"/>
        </w:rPr>
        <w:t xml:space="preserve"> </w:t>
      </w:r>
      <w:r>
        <w:rPr>
          <w:color w:val="000000"/>
        </w:rPr>
        <w:t xml:space="preserve">“</w:t>
      </w:r>
      <w:r>
        <w:rPr>
          <w:color w:val="000000"/>
        </w:rPr>
        <w:t xml:space="preserve">concerning.</w:t>
      </w:r>
      <w:r>
        <w:rPr>
          <w:color w:val="000000"/>
        </w:rPr>
        <w:t xml:space="preserve">”</w:t>
      </w:r>
      <w:r>
        <w:rPr>
          <w:color w:val="000000"/>
        </w:rPr>
        <w:t xml:space="preserve"> </w:t>
      </w:r>
      <w:r>
        <w:rPr>
          <w:color w:val="000000"/>
        </w:rPr>
        <w:t xml:space="preserve">On April 19, 2023, she escalated the matter to Hargrove, noting that the transactions appeared</w:t>
      </w:r>
      <w:r>
        <w:rPr>
          <w:color w:val="000000"/>
        </w:rPr>
        <w:t xml:space="preserve"> </w:t>
      </w:r>
      <w:r>
        <w:rPr>
          <w:color w:val="000000"/>
        </w:rPr>
        <w:t xml:space="preserve">“</w:t>
      </w:r>
      <w:r>
        <w:rPr>
          <w:color w:val="000000"/>
        </w:rPr>
        <w:t xml:space="preserve">consistent with layering.</w:t>
      </w:r>
      <w:r>
        <w:rPr>
          <w:color w:val="000000"/>
        </w:rPr>
        <w:t xml:space="preserve">”</w:t>
      </w:r>
      <w:r>
        <w:rPr>
          <w:color w:val="000000"/>
        </w:rPr>
        <w:t xml:space="preserve"> </w:t>
      </w:r>
      <w:r>
        <w:rPr>
          <w:color w:val="000000"/>
        </w:rPr>
        <w:t xml:space="preserve">Ex. 2 at 39–58.</w:t>
      </w:r>
    </w:p>
    <w:p>
      <w:pPr>
        <w:pStyle w:val="BodyText"/>
      </w:pPr>
      <w:r>
        <w:rPr>
          <w:b/>
          <w:bCs/>
          <w:color w:val="000000"/>
        </w:rPr>
        <w:t xml:space="preserve">11.</w:t>
      </w:r>
      <w:r>
        <w:rPr>
          <w:color w:val="000000"/>
        </w:rPr>
        <w:t xml:space="preserve"> </w:t>
      </w:r>
      <w:r>
        <w:rPr>
          <w:color w:val="000000"/>
        </w:rPr>
        <w:t xml:space="preserve">On May 2, 2023, thirteen days later, Hargrove orally told Prescott that the matter was</w:t>
      </w:r>
      <w:r>
        <w:rPr>
          <w:color w:val="000000"/>
        </w:rPr>
        <w:t xml:space="preserve"> </w:t>
      </w:r>
      <w:r>
        <w:rPr>
          <w:color w:val="000000"/>
        </w:rPr>
        <w:t xml:space="preserve">“</w:t>
      </w:r>
      <w:r>
        <w:rPr>
          <w:color w:val="000000"/>
        </w:rPr>
        <w:t xml:space="preserve">reviewed and resolved</w:t>
      </w:r>
      <w:r>
        <w:rPr>
          <w:color w:val="000000"/>
        </w:rPr>
        <w:t xml:space="preserve">”</w:t>
      </w:r>
      <w:r>
        <w:rPr>
          <w:color w:val="000000"/>
        </w:rPr>
        <w:t xml:space="preserve"> </w:t>
      </w:r>
      <w:r>
        <w:rPr>
          <w:color w:val="000000"/>
        </w:rPr>
        <w:t xml:space="preserve">and that no SARs would be filed. He provided no written analysis and did not say who conducted the review.</w:t>
      </w:r>
      <w:r>
        <w:rPr>
          <w:color w:val="000000"/>
        </w:rPr>
        <w:t xml:space="preserve"> </w:t>
      </w:r>
      <w:r>
        <w:rPr>
          <w:i/>
          <w:iCs/>
          <w:color w:val="000000"/>
        </w:rPr>
        <w:t xml:space="preserve">Id.</w:t>
      </w:r>
      <w:r>
        <w:rPr>
          <w:color w:val="000000"/>
        </w:rPr>
        <w:t xml:space="preserve"> </w:t>
      </w:r>
      <w:r>
        <w:rPr>
          <w:color w:val="000000"/>
        </w:rPr>
        <w:t xml:space="preserve">at 59–78.</w:t>
      </w:r>
    </w:p>
    <w:p>
      <w:pPr>
        <w:pStyle w:val="BodyText"/>
      </w:pPr>
      <w:r>
        <w:rPr>
          <w:b/>
          <w:bCs/>
          <w:color w:val="000000"/>
        </w:rPr>
        <w:t xml:space="preserve">12.</w:t>
      </w:r>
      <w:r>
        <w:rPr>
          <w:color w:val="000000"/>
        </w:rPr>
        <w:t xml:space="preserve"> </w:t>
      </w:r>
      <w:r>
        <w:rPr>
          <w:color w:val="000000"/>
        </w:rPr>
        <w:t xml:space="preserve">Bank procedures require a written memorandum documenting any decision not to file a SAR. None was prepared. Prescott testified that the review was</w:t>
      </w:r>
      <w:r>
        <w:rPr>
          <w:color w:val="000000"/>
        </w:rPr>
        <w:t xml:space="preserve"> </w:t>
      </w:r>
      <w:r>
        <w:rPr>
          <w:color w:val="000000"/>
        </w:rPr>
        <w:t xml:space="preserve">“</w:t>
      </w:r>
      <w:r>
        <w:rPr>
          <w:color w:val="000000"/>
        </w:rPr>
        <w:t xml:space="preserve">shorter than I would have expected</w:t>
      </w:r>
      <w:r>
        <w:rPr>
          <w:color w:val="000000"/>
        </w:rPr>
        <w:t xml:space="preserve">”</w:t>
      </w:r>
      <w:r>
        <w:rPr>
          <w:color w:val="000000"/>
        </w:rPr>
        <w:t xml:space="preserve"> </w:t>
      </w:r>
      <w:r>
        <w:rPr>
          <w:color w:val="000000"/>
        </w:rPr>
        <w:t xml:space="preserve">and that a review of this complexity</w:t>
      </w:r>
      <w:r>
        <w:rPr>
          <w:color w:val="000000"/>
        </w:rPr>
        <w:t xml:space="preserve"> </w:t>
      </w:r>
      <w:r>
        <w:rPr>
          <w:color w:val="000000"/>
        </w:rPr>
        <w:t xml:space="preserve">“</w:t>
      </w:r>
      <w:r>
        <w:rPr>
          <w:color w:val="000000"/>
        </w:rPr>
        <w:t xml:space="preserve">would ordinarily take several weeks, if not longer.</w:t>
      </w:r>
      <w:r>
        <w:rPr>
          <w:color w:val="000000"/>
        </w:rPr>
        <w:t xml:space="preserve">”</w:t>
      </w:r>
      <w:r>
        <w:rPr>
          <w:color w:val="000000"/>
        </w:rPr>
        <w:t xml:space="preserve"> </w:t>
      </w:r>
      <w:r>
        <w:rPr>
          <w:i/>
          <w:iCs/>
          <w:color w:val="000000"/>
        </w:rPr>
        <w:t xml:space="preserve">Id.</w:t>
      </w:r>
    </w:p>
    <w:p>
      <w:pPr>
        <w:pStyle w:val="BodyText"/>
      </w:pPr>
      <w:r>
        <w:rPr>
          <w:b/>
          <w:bCs/>
          <w:color w:val="000000"/>
        </w:rPr>
        <w:t xml:space="preserve">13.</w:t>
      </w:r>
      <w:r>
        <w:rPr>
          <w:color w:val="000000"/>
        </w:rPr>
        <w:t xml:space="preserve"> </w:t>
      </w:r>
      <w:r>
        <w:rPr>
          <w:color w:val="000000"/>
        </w:rPr>
        <w:t xml:space="preserve">AML Analyst Carlos Medina, who holds the CAMS certification, completed his analysis on May 22, 2023. He concluded that the transactions were</w:t>
      </w:r>
      <w:r>
        <w:rPr>
          <w:color w:val="000000"/>
        </w:rPr>
        <w:t xml:space="preserve"> </w:t>
      </w:r>
      <w:r>
        <w:rPr>
          <w:color w:val="000000"/>
        </w:rPr>
        <w:t xml:space="preserve">“</w:t>
      </w:r>
      <w:r>
        <w:rPr>
          <w:color w:val="000000"/>
        </w:rPr>
        <w:t xml:space="preserve">highly indicative of layering</w:t>
      </w:r>
      <w:r>
        <w:rPr>
          <w:color w:val="000000"/>
        </w:rPr>
        <w:t xml:space="preserve">”</w:t>
      </w:r>
      <w:r>
        <w:rPr>
          <w:color w:val="000000"/>
        </w:rPr>
        <w:t xml:space="preserve"> </w:t>
      </w:r>
      <w:r>
        <w:rPr>
          <w:color w:val="000000"/>
        </w:rPr>
        <w:t xml:space="preserve">and</w:t>
      </w:r>
      <w:r>
        <w:rPr>
          <w:color w:val="000000"/>
        </w:rPr>
        <w:t xml:space="preserve"> </w:t>
      </w:r>
      <w:r>
        <w:rPr>
          <w:color w:val="000000"/>
        </w:rPr>
        <w:t xml:space="preserve">“</w:t>
      </w:r>
      <w:r>
        <w:rPr>
          <w:color w:val="000000"/>
        </w:rPr>
        <w:t xml:space="preserve">warranted immediate SAR filing.</w:t>
      </w:r>
      <w:r>
        <w:rPr>
          <w:color w:val="000000"/>
        </w:rPr>
        <w:t xml:space="preserve">”</w:t>
      </w:r>
      <w:r>
        <w:rPr>
          <w:color w:val="000000"/>
        </w:rPr>
        <w:t xml:space="preserve"> </w:t>
      </w:r>
      <w:r>
        <w:rPr>
          <w:color w:val="000000"/>
        </w:rPr>
        <w:t xml:space="preserve">Ex. 11 ¶¶ 3, 12–18; Ex. 2 at 79–92.</w:t>
      </w:r>
    </w:p>
    <w:p>
      <w:pPr>
        <w:pStyle w:val="BodyText"/>
      </w:pPr>
      <w:r>
        <w:rPr>
          <w:b/>
          <w:bCs/>
          <w:color w:val="000000"/>
        </w:rPr>
        <w:t xml:space="preserve">14.</w:t>
      </w:r>
      <w:r>
        <w:rPr>
          <w:color w:val="000000"/>
        </w:rPr>
        <w:t xml:space="preserve"> </w:t>
      </w:r>
      <w:r>
        <w:rPr>
          <w:color w:val="000000"/>
        </w:rPr>
        <w:t xml:space="preserve">Prescott found Medina’s analysis</w:t>
      </w:r>
      <w:r>
        <w:rPr>
          <w:color w:val="000000"/>
        </w:rPr>
        <w:t xml:space="preserve"> </w:t>
      </w:r>
      <w:r>
        <w:rPr>
          <w:color w:val="000000"/>
        </w:rPr>
        <w:t xml:space="preserve">“</w:t>
      </w:r>
      <w:r>
        <w:rPr>
          <w:color w:val="000000"/>
        </w:rPr>
        <w:t xml:space="preserve">thorough,</w:t>
      </w:r>
      <w:r>
        <w:rPr>
          <w:color w:val="000000"/>
        </w:rPr>
        <w:t xml:space="preserve">”</w:t>
      </w:r>
      <w:r>
        <w:rPr>
          <w:color w:val="000000"/>
        </w:rPr>
        <w:t xml:space="preserve"> </w:t>
      </w:r>
      <w:r>
        <w:rPr>
          <w:color w:val="000000"/>
        </w:rPr>
        <w:t xml:space="preserve">with conclusions</w:t>
      </w:r>
      <w:r>
        <w:rPr>
          <w:color w:val="000000"/>
        </w:rPr>
        <w:t xml:space="preserve"> </w:t>
      </w:r>
      <w:r>
        <w:rPr>
          <w:color w:val="000000"/>
        </w:rPr>
        <w:t xml:space="preserve">“</w:t>
      </w:r>
      <w:r>
        <w:rPr>
          <w:color w:val="000000"/>
        </w:rPr>
        <w:t xml:space="preserve">supported by the data.</w:t>
      </w:r>
      <w:r>
        <w:rPr>
          <w:color w:val="000000"/>
        </w:rPr>
        <w:t xml:space="preserve">”</w:t>
      </w:r>
      <w:r>
        <w:rPr>
          <w:color w:val="000000"/>
        </w:rPr>
        <w:t xml:space="preserve"> </w:t>
      </w:r>
      <w:r>
        <w:rPr>
          <w:color w:val="000000"/>
        </w:rPr>
        <w:t xml:space="preserve">Ex. 2 at 79–92.</w:t>
      </w:r>
    </w:p>
    <w:p>
      <w:pPr>
        <w:pStyle w:val="BodyText"/>
      </w:pPr>
      <w:r>
        <w:rPr>
          <w:b/>
          <w:bCs/>
          <w:color w:val="000000"/>
        </w:rPr>
        <w:t xml:space="preserve">15.</w:t>
      </w:r>
      <w:r>
        <w:rPr>
          <w:color w:val="000000"/>
        </w:rPr>
        <w:t xml:space="preserve"> </w:t>
      </w:r>
      <w:r>
        <w:rPr>
          <w:color w:val="000000"/>
        </w:rPr>
        <w:t xml:space="preserve">On or about May 30, 2023, Prescott told Medina that the matter was</w:t>
      </w:r>
      <w:r>
        <w:rPr>
          <w:color w:val="000000"/>
        </w:rPr>
        <w:t xml:space="preserve"> </w:t>
      </w:r>
      <w:r>
        <w:rPr>
          <w:color w:val="000000"/>
        </w:rPr>
        <w:t xml:space="preserve">“</w:t>
      </w:r>
      <w:r>
        <w:rPr>
          <w:color w:val="000000"/>
        </w:rPr>
        <w:t xml:space="preserve">being handled at the executive level</w:t>
      </w:r>
      <w:r>
        <w:rPr>
          <w:color w:val="000000"/>
        </w:rPr>
        <w:t xml:space="preserve">”</w:t>
      </w:r>
      <w:r>
        <w:rPr>
          <w:color w:val="000000"/>
        </w:rPr>
        <w:t xml:space="preserve"> </w:t>
      </w:r>
      <w:r>
        <w:rPr>
          <w:color w:val="000000"/>
        </w:rPr>
        <w:t xml:space="preserve">and to</w:t>
      </w:r>
      <w:r>
        <w:rPr>
          <w:color w:val="000000"/>
        </w:rPr>
        <w:t xml:space="preserve"> </w:t>
      </w:r>
      <w:r>
        <w:rPr>
          <w:color w:val="000000"/>
        </w:rPr>
        <w:t xml:space="preserve">“</w:t>
      </w:r>
      <w:r>
        <w:rPr>
          <w:color w:val="000000"/>
        </w:rPr>
        <w:t xml:space="preserve">stand down.</w:t>
      </w:r>
      <w:r>
        <w:rPr>
          <w:color w:val="000000"/>
        </w:rPr>
        <w:t xml:space="preserve">”</w:t>
      </w:r>
      <w:r>
        <w:rPr>
          <w:color w:val="000000"/>
        </w:rPr>
        <w:t xml:space="preserve"> </w:t>
      </w:r>
      <w:r>
        <w:rPr>
          <w:color w:val="000000"/>
        </w:rPr>
        <w:t xml:space="preserve">Ex. 11 ¶ 20; Ex. 2 at 79–92.</w:t>
      </w:r>
    </w:p>
    <w:p>
      <w:pPr>
        <w:pStyle w:val="BodyText"/>
      </w:pPr>
      <w:r>
        <w:rPr>
          <w:b/>
          <w:bCs/>
          <w:color w:val="000000"/>
        </w:rPr>
        <w:t xml:space="preserve">16.</w:t>
      </w:r>
      <w:r>
        <w:rPr>
          <w:color w:val="000000"/>
        </w:rPr>
        <w:t xml:space="preserve"> </w:t>
      </w:r>
      <w:r>
        <w:rPr>
          <w:color w:val="000000"/>
        </w:rPr>
        <w:t xml:space="preserve">No SARs were ever filed on the Orion Gateway activity. Ex. 11 ¶ 22.</w:t>
      </w:r>
    </w:p>
    <w:p>
      <w:pPr>
        <w:pStyle w:val="BodyText"/>
      </w:pPr>
      <w:r>
        <w:rPr>
          <w:b/>
          <w:bCs/>
          <w:color w:val="000000"/>
        </w:rPr>
        <w:t xml:space="preserve">17.</w:t>
      </w:r>
      <w:r>
        <w:rPr>
          <w:color w:val="000000"/>
        </w:rPr>
        <w:t xml:space="preserve"> </w:t>
      </w:r>
      <w:r>
        <w:rPr>
          <w:color w:val="000000"/>
        </w:rPr>
        <w:t xml:space="preserve">Prescott testified that the two compliance professionals who actually reviewed the transactions, herself and Medina, both had concerns. Neither was permitted to complete the work. Ex. 2 at 169–178.</w:t>
      </w:r>
    </w:p>
    <w:p>
      <w:pPr>
        <w:pStyle w:val="BodyText"/>
      </w:pPr>
      <w:r>
        <w:rPr>
          <w:b/>
          <w:bCs/>
          <w:color w:val="000000"/>
        </w:rPr>
        <w:t xml:space="preserve">18.</w:t>
      </w:r>
      <w:r>
        <w:rPr>
          <w:color w:val="000000"/>
        </w:rPr>
        <w:t xml:space="preserve"> </w:t>
      </w:r>
      <w:r>
        <w:rPr>
          <w:color w:val="000000"/>
        </w:rPr>
        <w:t xml:space="preserve">Hargrove is not a BSA/AML specialist and holds no AML certification.</w:t>
      </w:r>
      <w:r>
        <w:rPr>
          <w:color w:val="000000"/>
        </w:rPr>
        <w:t xml:space="preserve"> </w:t>
      </w:r>
      <w:r>
        <w:rPr>
          <w:i/>
          <w:iCs/>
          <w:color w:val="000000"/>
        </w:rPr>
        <w:t xml:space="preserve">Id.</w:t>
      </w:r>
    </w:p>
    <w:p>
      <w:pPr>
        <w:pStyle w:val="BodyText"/>
      </w:pPr>
      <w:r>
        <w:rPr>
          <w:b/>
          <w:bCs/>
          <w:color w:val="000000"/>
        </w:rPr>
        <w:t xml:space="preserve">19.</w:t>
      </w:r>
      <w:r>
        <w:rPr>
          <w:color w:val="000000"/>
        </w:rPr>
        <w:t xml:space="preserve"> </w:t>
      </w:r>
      <w:r>
        <w:rPr>
          <w:color w:val="000000"/>
        </w:rPr>
        <w:t xml:space="preserve">Dr. Anita Redmond, former Deputy Director of FinCEN, found that the Orion Gateway activity exhibited seven of the nine red flags in FinCEN Advisory FIN-2023-A001. She concluded that the Bank’s review was</w:t>
      </w:r>
      <w:r>
        <w:rPr>
          <w:color w:val="000000"/>
        </w:rPr>
        <w:t xml:space="preserve"> </w:t>
      </w:r>
      <w:r>
        <w:rPr>
          <w:color w:val="000000"/>
        </w:rPr>
        <w:t xml:space="preserve">“</w:t>
      </w:r>
      <w:r>
        <w:rPr>
          <w:color w:val="000000"/>
        </w:rPr>
        <w:t xml:space="preserve">facially inadequate</w:t>
      </w:r>
      <w:r>
        <w:rPr>
          <w:color w:val="000000"/>
        </w:rPr>
        <w:t xml:space="preserve">”</w:t>
      </w:r>
      <w:r>
        <w:rPr>
          <w:color w:val="000000"/>
        </w:rPr>
        <w:t xml:space="preserve"> </w:t>
      </w:r>
      <w:r>
        <w:rPr>
          <w:color w:val="000000"/>
        </w:rPr>
        <w:t xml:space="preserve">and that the Bank’s response was</w:t>
      </w:r>
      <w:r>
        <w:rPr>
          <w:color w:val="000000"/>
        </w:rPr>
        <w:t xml:space="preserve"> </w:t>
      </w:r>
      <w:r>
        <w:rPr>
          <w:color w:val="000000"/>
        </w:rPr>
        <w:t xml:space="preserve">“</w:t>
      </w:r>
      <w:r>
        <w:rPr>
          <w:color w:val="000000"/>
        </w:rPr>
        <w:t xml:space="preserve">designed to dismiss Ms. Vasquez’s concerns rather than to address them.</w:t>
      </w:r>
      <w:r>
        <w:rPr>
          <w:color w:val="000000"/>
        </w:rPr>
        <w:t xml:space="preserve">”</w:t>
      </w:r>
      <w:r>
        <w:rPr>
          <w:color w:val="000000"/>
        </w:rPr>
        <w:t xml:space="preserve"> </w:t>
      </w:r>
      <w:r>
        <w:rPr>
          <w:color w:val="000000"/>
        </w:rPr>
        <w:t xml:space="preserve">Ex. 13 §§ IV, VI, VIII.</w:t>
      </w:r>
    </w:p>
    <w:bookmarkEnd w:id="23"/>
    <w:bookmarkStart w:id="24" w:name="X18f9b9fb2bb34d34d657f2c1cf8aca3f0e3bcdc"/>
    <w:p>
      <w:pPr>
        <w:pStyle w:val="Heading2"/>
      </w:pPr>
      <w:r>
        <w:rPr>
          <w:color w:val="000000"/>
        </w:rPr>
        <w:t xml:space="preserve">C. The FinCEN Report, the OCC Inquiry, and the Bank’s Hunt for the</w:t>
      </w:r>
      <w:r>
        <w:rPr>
          <w:color w:val="000000"/>
        </w:rPr>
        <w:t xml:space="preserve"> </w:t>
      </w:r>
      <w:r>
        <w:rPr>
          <w:color w:val="000000"/>
        </w:rPr>
        <w:t xml:space="preserve">“</w:t>
      </w:r>
      <w:r>
        <w:rPr>
          <w:color w:val="000000"/>
        </w:rPr>
        <w:t xml:space="preserve">Source</w:t>
      </w:r>
      <w:r>
        <w:rPr>
          <w:color w:val="000000"/>
        </w:rPr>
        <w:t xml:space="preserve">”</w:t>
      </w:r>
    </w:p>
    <w:p>
      <w:pPr>
        <w:pStyle w:val="FirstParagraph"/>
      </w:pPr>
      <w:r>
        <w:rPr>
          <w:b/>
          <w:bCs/>
          <w:color w:val="000000"/>
        </w:rPr>
        <w:t xml:space="preserve">20.</w:t>
      </w:r>
      <w:r>
        <w:rPr>
          <w:color w:val="000000"/>
        </w:rPr>
        <w:t xml:space="preserve"> </w:t>
      </w:r>
      <w:r>
        <w:rPr>
          <w:color w:val="000000"/>
        </w:rPr>
        <w:t xml:space="preserve">On June 15, 2023, Ms. Vasquez reported the Orion Gateway activity to FinCEN. SUMF ¶ 17.</w:t>
      </w:r>
    </w:p>
    <w:p>
      <w:pPr>
        <w:pStyle w:val="BodyText"/>
      </w:pPr>
      <w:r>
        <w:rPr>
          <w:b/>
          <w:bCs/>
          <w:color w:val="000000"/>
        </w:rPr>
        <w:t xml:space="preserve">21.</w:t>
      </w:r>
      <w:r>
        <w:rPr>
          <w:color w:val="000000"/>
        </w:rPr>
        <w:t xml:space="preserve"> </w:t>
      </w:r>
      <w:r>
        <w:rPr>
          <w:color w:val="000000"/>
        </w:rPr>
        <w:t xml:space="preserve">On July 28, 2023, the OCC’s Denver field office requested Orion Gateway documents based on</w:t>
      </w:r>
      <w:r>
        <w:rPr>
          <w:color w:val="000000"/>
        </w:rPr>
        <w:t xml:space="preserve"> </w:t>
      </w:r>
      <w:r>
        <w:rPr>
          <w:color w:val="000000"/>
        </w:rPr>
        <w:t xml:space="preserve">“</w:t>
      </w:r>
      <w:r>
        <w:rPr>
          <w:color w:val="000000"/>
        </w:rPr>
        <w:t xml:space="preserve">information received from a confidential source.</w:t>
      </w:r>
      <w:r>
        <w:rPr>
          <w:color w:val="000000"/>
        </w:rPr>
        <w:t xml:space="preserve">”</w:t>
      </w:r>
      <w:r>
        <w:rPr>
          <w:color w:val="000000"/>
        </w:rPr>
        <w:t xml:space="preserve"> </w:t>
      </w:r>
      <w:r>
        <w:rPr>
          <w:color w:val="000000"/>
        </w:rPr>
        <w:t xml:space="preserve">SUMF ¶ 19.</w:t>
      </w:r>
    </w:p>
    <w:p>
      <w:pPr>
        <w:pStyle w:val="BodyText"/>
      </w:pPr>
      <w:r>
        <w:rPr>
          <w:b/>
          <w:bCs/>
          <w:color w:val="000000"/>
        </w:rPr>
        <w:t xml:space="preserve">22.</w:t>
      </w:r>
      <w:r>
        <w:rPr>
          <w:color w:val="000000"/>
        </w:rPr>
        <w:t xml:space="preserve"> </w:t>
      </w:r>
      <w:r>
        <w:rPr>
          <w:color w:val="000000"/>
        </w:rPr>
        <w:t xml:space="preserve">On August 1, 2023, Hargrove emailed Caldwell:</w:t>
      </w:r>
      <w:r>
        <w:rPr>
          <w:color w:val="000000"/>
        </w:rPr>
        <w:t xml:space="preserve"> </w:t>
      </w:r>
      <w:r>
        <w:rPr>
          <w:color w:val="000000"/>
        </w:rPr>
        <w:t xml:space="preserve">“</w:t>
      </w:r>
      <w:r>
        <w:rPr>
          <w:color w:val="000000"/>
        </w:rPr>
        <w:t xml:space="preserve">I have no doubt that the OCC inquiry on Orion Gateway almost certainly stems from an internal leak. Elena Vasquez is the obvious candidate given her April memo. She sent that memorandum directly to Prescott raising the same issues that the OCC is now asking about — the timing and substance are too close to be coincidental. We need to identify the source and contain this before it escalates further. Let’s discuss.</w:t>
      </w:r>
      <w:r>
        <w:rPr>
          <w:color w:val="000000"/>
        </w:rPr>
        <w:t xml:space="preserve">”</w:t>
      </w:r>
      <w:r>
        <w:rPr>
          <w:color w:val="000000"/>
        </w:rPr>
        <w:t xml:space="preserve"> </w:t>
      </w:r>
      <w:r>
        <w:rPr>
          <w:color w:val="000000"/>
        </w:rPr>
        <w:t xml:space="preserve">Ex. 3 (RNB-004731).</w:t>
      </w:r>
    </w:p>
    <w:p>
      <w:pPr>
        <w:pStyle w:val="BodyText"/>
      </w:pPr>
      <w:r>
        <w:rPr>
          <w:b/>
          <w:bCs/>
          <w:color w:val="000000"/>
        </w:rPr>
        <w:t xml:space="preserve">23.</w:t>
      </w:r>
      <w:r>
        <w:rPr>
          <w:color w:val="000000"/>
        </w:rPr>
        <w:t xml:space="preserve"> </w:t>
      </w:r>
      <w:r>
        <w:rPr>
          <w:color w:val="000000"/>
        </w:rPr>
        <w:t xml:space="preserve">Caldwell replied the same afternoon:</w:t>
      </w:r>
      <w:r>
        <w:rPr>
          <w:color w:val="000000"/>
        </w:rPr>
        <w:t xml:space="preserve"> </w:t>
      </w:r>
      <w:r>
        <w:rPr>
          <w:color w:val="000000"/>
        </w:rPr>
        <w:t xml:space="preserve">“</w:t>
      </w:r>
      <w:r>
        <w:rPr>
          <w:color w:val="000000"/>
        </w:rPr>
        <w:t xml:space="preserve">Understood. Let me handle this.</w:t>
      </w:r>
      <w:r>
        <w:rPr>
          <w:color w:val="000000"/>
        </w:rPr>
        <w:t xml:space="preserve">”</w:t>
      </w:r>
      <w:r>
        <w:rPr>
          <w:color w:val="000000"/>
        </w:rPr>
        <w:t xml:space="preserve"> </w:t>
      </w:r>
      <w:r>
        <w:rPr>
          <w:i/>
          <w:iCs/>
          <w:color w:val="000000"/>
        </w:rPr>
        <w:t xml:space="preserve">Id.</w:t>
      </w:r>
    </w:p>
    <w:p>
      <w:pPr>
        <w:pStyle w:val="BodyText"/>
      </w:pPr>
      <w:r>
        <w:rPr>
          <w:b/>
          <w:bCs/>
          <w:color w:val="000000"/>
        </w:rPr>
        <w:t xml:space="preserve">24.</w:t>
      </w:r>
      <w:r>
        <w:rPr>
          <w:color w:val="000000"/>
        </w:rPr>
        <w:t xml:space="preserve"> </w:t>
      </w:r>
      <w:r>
        <w:rPr>
          <w:color w:val="000000"/>
        </w:rPr>
        <w:t xml:space="preserve">Hargrove separately told Prescott that Ms. Vasquez</w:t>
      </w:r>
      <w:r>
        <w:rPr>
          <w:color w:val="000000"/>
        </w:rPr>
        <w:t xml:space="preserve"> </w:t>
      </w:r>
      <w:r>
        <w:rPr>
          <w:color w:val="000000"/>
        </w:rPr>
        <w:t xml:space="preserve">“</w:t>
      </w:r>
      <w:r>
        <w:rPr>
          <w:color w:val="000000"/>
        </w:rPr>
        <w:t xml:space="preserve">was the likely source of whatever report had been made to the regulators</w:t>
      </w:r>
      <w:r>
        <w:rPr>
          <w:color w:val="000000"/>
        </w:rPr>
        <w:t xml:space="preserve">”</w:t>
      </w:r>
      <w:r>
        <w:rPr>
          <w:color w:val="000000"/>
        </w:rPr>
        <w:t xml:space="preserve"> </w:t>
      </w:r>
      <w:r>
        <w:rPr>
          <w:color w:val="000000"/>
        </w:rPr>
        <w:t xml:space="preserve">and that he</w:t>
      </w:r>
      <w:r>
        <w:rPr>
          <w:color w:val="000000"/>
        </w:rPr>
        <w:t xml:space="preserve"> </w:t>
      </w:r>
      <w:r>
        <w:rPr>
          <w:color w:val="000000"/>
        </w:rPr>
        <w:t xml:space="preserve">“</w:t>
      </w:r>
      <w:r>
        <w:rPr>
          <w:color w:val="000000"/>
        </w:rPr>
        <w:t xml:space="preserve">was going to discuss it with Mr. Caldwell.</w:t>
      </w:r>
      <w:r>
        <w:rPr>
          <w:color w:val="000000"/>
        </w:rPr>
        <w:t xml:space="preserve">”</w:t>
      </w:r>
      <w:r>
        <w:rPr>
          <w:color w:val="000000"/>
        </w:rPr>
        <w:t xml:space="preserve"> </w:t>
      </w:r>
      <w:r>
        <w:rPr>
          <w:color w:val="000000"/>
        </w:rPr>
        <w:t xml:space="preserve">No other name was ever mentioned. Ex. 2 at 93–108.</w:t>
      </w:r>
    </w:p>
    <w:p>
      <w:pPr>
        <w:pStyle w:val="BodyText"/>
      </w:pPr>
      <w:r>
        <w:rPr>
          <w:b/>
          <w:bCs/>
          <w:color w:val="000000"/>
        </w:rPr>
        <w:t xml:space="preserve">25.</w:t>
      </w:r>
      <w:r>
        <w:rPr>
          <w:color w:val="000000"/>
        </w:rPr>
        <w:t xml:space="preserve"> </w:t>
      </w:r>
      <w:r>
        <w:rPr>
          <w:color w:val="000000"/>
        </w:rPr>
        <w:t xml:space="preserve">Caldwell admitted that, as of August 1, he knew the Bank’s General Counsel believed Ms. Vasquez was the source of the information given to the OCC. He did not push back. Ex. 1 at 79–80.</w:t>
      </w:r>
    </w:p>
    <w:p>
      <w:pPr>
        <w:pStyle w:val="BodyText"/>
      </w:pPr>
      <w:r>
        <w:rPr>
          <w:b/>
          <w:bCs/>
          <w:color w:val="000000"/>
        </w:rPr>
        <w:t xml:space="preserve">26.</w:t>
      </w:r>
      <w:r>
        <w:rPr>
          <w:color w:val="000000"/>
        </w:rPr>
        <w:t xml:space="preserve"> </w:t>
      </w:r>
      <w:r>
        <w:rPr>
          <w:color w:val="000000"/>
        </w:rPr>
        <w:t xml:space="preserve">Caldwell first testified that he</w:t>
      </w:r>
      <w:r>
        <w:rPr>
          <w:color w:val="000000"/>
        </w:rPr>
        <w:t xml:space="preserve"> </w:t>
      </w:r>
      <w:r>
        <w:rPr>
          <w:color w:val="000000"/>
        </w:rPr>
        <w:t xml:space="preserve">“</w:t>
      </w:r>
      <w:r>
        <w:rPr>
          <w:color w:val="000000"/>
        </w:rPr>
        <w:t xml:space="preserve">wasn’t aware of Ms. Vasquez’s compliance report at the time I drafted the PIP.</w:t>
      </w:r>
      <w:r>
        <w:rPr>
          <w:color w:val="000000"/>
        </w:rPr>
        <w:t xml:space="preserve">”</w:t>
      </w:r>
      <w:r>
        <w:rPr>
          <w:color w:val="000000"/>
        </w:rPr>
        <w:t xml:space="preserve"> </w:t>
      </w:r>
      <w:r>
        <w:rPr>
          <w:color w:val="000000"/>
        </w:rPr>
        <w:t xml:space="preserve">Confronted with the email, he conceded that he learned of her report from Hargrove’s August 1 email, thirteen days before the PIP. Ex. 1 at 63, 121–23.</w:t>
      </w:r>
    </w:p>
    <w:p>
      <w:pPr>
        <w:pStyle w:val="BodyText"/>
      </w:pPr>
      <w:r>
        <w:rPr>
          <w:b/>
          <w:bCs/>
          <w:color w:val="000000"/>
        </w:rPr>
        <w:t xml:space="preserve">27.</w:t>
      </w:r>
      <w:r>
        <w:rPr>
          <w:color w:val="000000"/>
        </w:rPr>
        <w:t xml:space="preserve"> </w:t>
      </w:r>
      <w:r>
        <w:rPr>
          <w:color w:val="000000"/>
        </w:rPr>
        <w:t xml:space="preserve">Caldwell has no email, calendar entry, note, or other document showing any step toward a PIP before August 1, 2023. He testified that he</w:t>
      </w:r>
      <w:r>
        <w:rPr>
          <w:color w:val="000000"/>
        </w:rPr>
        <w:t xml:space="preserve"> </w:t>
      </w:r>
      <w:r>
        <w:rPr>
          <w:color w:val="000000"/>
        </w:rPr>
        <w:t xml:space="preserve">“</w:t>
      </w:r>
      <w:r>
        <w:rPr>
          <w:color w:val="000000"/>
        </w:rPr>
        <w:t xml:space="preserve">believe[s]</w:t>
      </w:r>
      <w:r>
        <w:rPr>
          <w:color w:val="000000"/>
        </w:rPr>
        <w:t xml:space="preserve">”</w:t>
      </w:r>
      <w:r>
        <w:rPr>
          <w:color w:val="000000"/>
        </w:rPr>
        <w:t xml:space="preserve"> </w:t>
      </w:r>
      <w:r>
        <w:rPr>
          <w:color w:val="000000"/>
        </w:rPr>
        <w:t xml:space="preserve">he began considering one in July and</w:t>
      </w:r>
      <w:r>
        <w:rPr>
          <w:color w:val="000000"/>
        </w:rPr>
        <w:t xml:space="preserve"> </w:t>
      </w:r>
      <w:r>
        <w:rPr>
          <w:color w:val="000000"/>
        </w:rPr>
        <w:t xml:space="preserve">“</w:t>
      </w:r>
      <w:r>
        <w:rPr>
          <w:color w:val="000000"/>
        </w:rPr>
        <w:t xml:space="preserve">may have mentioned it</w:t>
      </w:r>
      <w:r>
        <w:rPr>
          <w:color w:val="000000"/>
        </w:rPr>
        <w:t xml:space="preserve">”</w:t>
      </w:r>
      <w:r>
        <w:rPr>
          <w:color w:val="000000"/>
        </w:rPr>
        <w:t xml:space="preserve"> </w:t>
      </w:r>
      <w:r>
        <w:rPr>
          <w:color w:val="000000"/>
        </w:rPr>
        <w:t xml:space="preserve">to HR on a date he cannot recall. Ex. 1 at 77–78.</w:t>
      </w:r>
    </w:p>
    <w:bookmarkEnd w:id="24"/>
    <w:bookmarkStart w:id="25" w:name="d.-the-pips-stated-grounds"/>
    <w:p>
      <w:pPr>
        <w:pStyle w:val="Heading2"/>
      </w:pPr>
      <w:r>
        <w:rPr>
          <w:color w:val="000000"/>
        </w:rPr>
        <w:t xml:space="preserve">D. The PIP’s Stated Grounds</w:t>
      </w:r>
    </w:p>
    <w:p>
      <w:pPr>
        <w:pStyle w:val="FirstParagraph"/>
      </w:pPr>
      <w:r>
        <w:rPr>
          <w:i/>
          <w:iCs/>
          <w:color w:val="000000"/>
        </w:rPr>
        <w:t xml:space="preserve">Origination</w:t>
      </w:r>
    </w:p>
    <w:p>
      <w:pPr>
        <w:pStyle w:val="BodyText"/>
      </w:pPr>
      <w:r>
        <w:rPr>
          <w:b/>
          <w:bCs/>
          <w:color w:val="000000"/>
        </w:rPr>
        <w:t xml:space="preserve">28.</w:t>
      </w:r>
      <w:r>
        <w:rPr>
          <w:color w:val="000000"/>
        </w:rPr>
        <w:t xml:space="preserve"> </w:t>
      </w:r>
      <w:r>
        <w:rPr>
          <w:color w:val="000000"/>
        </w:rPr>
        <w:t xml:space="preserve">The 2023 Annual Business Plan, signed by Caldwell on January 20, 2023, sets Ms. Vasquez’s Q2 2023 origination target at $10,000,000. Ex. 8 § 3; Ex. 1 at 34–35.</w:t>
      </w:r>
    </w:p>
    <w:p>
      <w:pPr>
        <w:pStyle w:val="BodyText"/>
      </w:pPr>
      <w:r>
        <w:rPr>
          <w:b/>
          <w:bCs/>
          <w:color w:val="000000"/>
        </w:rPr>
        <w:t xml:space="preserve">29.</w:t>
      </w:r>
      <w:r>
        <w:rPr>
          <w:color w:val="000000"/>
        </w:rPr>
        <w:t xml:space="preserve"> </w:t>
      </w:r>
      <w:r>
        <w:rPr>
          <w:color w:val="000000"/>
        </w:rPr>
        <w:t xml:space="preserve">The PIP states that the Q2 target</w:t>
      </w:r>
      <w:r>
        <w:rPr>
          <w:color w:val="000000"/>
        </w:rPr>
        <w:t xml:space="preserve"> </w:t>
      </w:r>
      <w:r>
        <w:rPr>
          <w:color w:val="000000"/>
        </w:rPr>
        <w:t xml:space="preserve">“</w:t>
      </w:r>
      <w:r>
        <w:rPr>
          <w:color w:val="000000"/>
        </w:rPr>
        <w:t xml:space="preserve">was $15 million</w:t>
      </w:r>
      <w:r>
        <w:rPr>
          <w:color w:val="000000"/>
        </w:rPr>
        <w:t xml:space="preserve">”</w:t>
      </w:r>
      <w:r>
        <w:rPr>
          <w:color w:val="000000"/>
        </w:rPr>
        <w:t xml:space="preserve"> </w:t>
      </w:r>
      <w:r>
        <w:rPr>
          <w:color w:val="000000"/>
        </w:rPr>
        <w:t xml:space="preserve">and that her $11.3 million represented a $3.7 million shortfall. Ex. 9 (PIP) § 3.3.</w:t>
      </w:r>
    </w:p>
    <w:p>
      <w:pPr>
        <w:pStyle w:val="BodyText"/>
      </w:pPr>
      <w:r>
        <w:rPr>
          <w:b/>
          <w:bCs/>
          <w:color w:val="000000"/>
        </w:rPr>
        <w:t xml:space="preserve">30.</w:t>
      </w:r>
      <w:r>
        <w:rPr>
          <w:color w:val="000000"/>
        </w:rPr>
        <w:t xml:space="preserve"> </w:t>
      </w:r>
      <w:r>
        <w:rPr>
          <w:color w:val="000000"/>
        </w:rPr>
        <w:t xml:space="preserve">No email, memorandum, or amendment reflects any change to the target. Caldwell cannot say when, or with whom, it was supposedly discussed. The $15 million figure may appear nowhere except the PIP. Ex. 1 at 36–38.</w:t>
      </w:r>
    </w:p>
    <w:p>
      <w:pPr>
        <w:pStyle w:val="BodyText"/>
      </w:pPr>
      <w:r>
        <w:rPr>
          <w:b/>
          <w:bCs/>
          <w:color w:val="000000"/>
        </w:rPr>
        <w:t xml:space="preserve">31.</w:t>
      </w:r>
      <w:r>
        <w:rPr>
          <w:color w:val="000000"/>
        </w:rPr>
        <w:t xml:space="preserve"> </w:t>
      </w:r>
      <w:r>
        <w:rPr>
          <w:color w:val="000000"/>
        </w:rPr>
        <w:t xml:space="preserve">Measured against the signed target, Ms. Vasquez exceeded Q2 by $1.3 million, or 13%.</w:t>
      </w:r>
      <w:r>
        <w:rPr>
          <w:color w:val="000000"/>
        </w:rPr>
        <w:t xml:space="preserve"> </w:t>
      </w:r>
      <w:r>
        <w:rPr>
          <w:i/>
          <w:iCs/>
          <w:color w:val="000000"/>
        </w:rPr>
        <w:t xml:space="preserve">Id.</w:t>
      </w:r>
      <w:r>
        <w:rPr>
          <w:color w:val="000000"/>
        </w:rPr>
        <w:t xml:space="preserve"> </w:t>
      </w:r>
      <w:r>
        <w:rPr>
          <w:color w:val="000000"/>
        </w:rPr>
        <w:t xml:space="preserve">at 37.</w:t>
      </w:r>
    </w:p>
    <w:p>
      <w:pPr>
        <w:pStyle w:val="BodyText"/>
      </w:pPr>
      <w:r>
        <w:rPr>
          <w:i/>
          <w:iCs/>
          <w:color w:val="000000"/>
        </w:rPr>
        <w:t xml:space="preserve">Loan documentation</w:t>
      </w:r>
    </w:p>
    <w:p>
      <w:pPr>
        <w:pStyle w:val="BodyText"/>
      </w:pPr>
      <w:r>
        <w:rPr>
          <w:b/>
          <w:bCs/>
          <w:color w:val="000000"/>
        </w:rPr>
        <w:t xml:space="preserve">32.</w:t>
      </w:r>
      <w:r>
        <w:rPr>
          <w:color w:val="000000"/>
        </w:rPr>
        <w:t xml:space="preserve"> </w:t>
      </w:r>
      <w:r>
        <w:rPr>
          <w:color w:val="000000"/>
        </w:rPr>
        <w:t xml:space="preserve">In its Q1 2023 audit report dated May 15, 2023, which was distributed to Caldwell, Internal Audit rated the Thornburg, Westlake, and Meridian files</w:t>
      </w:r>
      <w:r>
        <w:rPr>
          <w:color w:val="000000"/>
        </w:rPr>
        <w:t xml:space="preserve"> </w:t>
      </w:r>
      <w:r>
        <w:rPr>
          <w:color w:val="000000"/>
        </w:rPr>
        <w:t xml:space="preserve">“</w:t>
      </w:r>
      <w:r>
        <w:rPr>
          <w:color w:val="000000"/>
        </w:rPr>
        <w:t xml:space="preserve">Satisfactory,</w:t>
      </w:r>
      <w:r>
        <w:rPr>
          <w:color w:val="000000"/>
        </w:rPr>
        <w:t xml:space="preserve">”</w:t>
      </w:r>
      <w:r>
        <w:rPr>
          <w:color w:val="000000"/>
        </w:rPr>
        <w:t xml:space="preserve"> </w:t>
      </w:r>
      <w:r>
        <w:rPr>
          <w:color w:val="000000"/>
        </w:rPr>
        <w:t xml:space="preserve">with</w:t>
      </w:r>
      <w:r>
        <w:rPr>
          <w:color w:val="000000"/>
        </w:rPr>
        <w:t xml:space="preserve"> </w:t>
      </w:r>
      <w:r>
        <w:rPr>
          <w:color w:val="000000"/>
        </w:rPr>
        <w:t xml:space="preserve">“</w:t>
      </w:r>
      <w:r>
        <w:rPr>
          <w:color w:val="000000"/>
        </w:rPr>
        <w:t xml:space="preserve">[n]o corrective action recommended.</w:t>
      </w:r>
      <w:r>
        <w:rPr>
          <w:color w:val="000000"/>
        </w:rPr>
        <w:t xml:space="preserve">”</w:t>
      </w:r>
      <w:r>
        <w:rPr>
          <w:color w:val="000000"/>
        </w:rPr>
        <w:t xml:space="preserve"> </w:t>
      </w:r>
      <w:r>
        <w:rPr>
          <w:color w:val="000000"/>
        </w:rPr>
        <w:t xml:space="preserve">It described the Meridian file as</w:t>
      </w:r>
      <w:r>
        <w:rPr>
          <w:color w:val="000000"/>
        </w:rPr>
        <w:t xml:space="preserve"> </w:t>
      </w:r>
      <w:r>
        <w:rPr>
          <w:color w:val="000000"/>
        </w:rPr>
        <w:t xml:space="preserve">“</w:t>
      </w:r>
      <w:r>
        <w:rPr>
          <w:color w:val="000000"/>
        </w:rPr>
        <w:t xml:space="preserve">thorough and well-maintained.</w:t>
      </w:r>
      <w:r>
        <w:rPr>
          <w:color w:val="000000"/>
        </w:rPr>
        <w:t xml:space="preserve">”</w:t>
      </w:r>
      <w:r>
        <w:rPr>
          <w:color w:val="000000"/>
        </w:rPr>
        <w:t xml:space="preserve"> </w:t>
      </w:r>
      <w:r>
        <w:rPr>
          <w:color w:val="000000"/>
        </w:rPr>
        <w:t xml:space="preserve">It also found that none of Ms. Vasquez’s files had drawn a corrective-action item in any of the four prior audits that included them. Ex. 6 §§ 1, 3, 4, 6 &amp; App. A.</w:t>
      </w:r>
    </w:p>
    <w:p>
      <w:pPr>
        <w:pStyle w:val="BodyText"/>
      </w:pPr>
      <w:r>
        <w:rPr>
          <w:b/>
          <w:bCs/>
          <w:color w:val="000000"/>
        </w:rPr>
        <w:t xml:space="preserve">33.</w:t>
      </w:r>
      <w:r>
        <w:rPr>
          <w:color w:val="000000"/>
        </w:rPr>
        <w:t xml:space="preserve"> </w:t>
      </w:r>
      <w:r>
        <w:rPr>
          <w:color w:val="000000"/>
        </w:rPr>
        <w:t xml:space="preserve">Caldwell prepared no memorandum or notes of his claimed review, did not raise the issues with Ms. Vasquez before the PIP, did not consult Internal Audit, and could not identify one specific missing document. Ex. 1 at 52–54. The Bank has described the deficiencies in different ways at different times:</w:t>
      </w:r>
    </w:p>
    <w:p>
      <w:pPr>
        <w:pStyle w:val="BlockText"/>
      </w:pPr>
      <w:r>
        <w:rPr>
          <w:b/>
          <w:bCs/>
          <w:color w:val="000000"/>
        </w:rPr>
        <w:t xml:space="preserve">PIP:</w:t>
      </w:r>
      <w:r>
        <w:rPr>
          <w:color w:val="000000"/>
        </w:rPr>
        <w:t xml:space="preserve"> </w:t>
      </w:r>
      <w:r>
        <w:rPr>
          <w:color w:val="000000"/>
        </w:rPr>
        <w:t xml:space="preserve">“</w:t>
      </w:r>
      <w:r>
        <w:rPr>
          <w:color w:val="000000"/>
        </w:rPr>
        <w:t xml:space="preserve">incomplete credit analysis documentation, missing borrower financial statement updates, and inadequate collateral valuation records.</w:t>
      </w:r>
      <w:r>
        <w:rPr>
          <w:color w:val="000000"/>
        </w:rPr>
        <w:t xml:space="preserve">”</w:t>
      </w:r>
      <w:r>
        <w:rPr>
          <w:color w:val="000000"/>
        </w:rPr>
        <w:t xml:space="preserve"> </w:t>
      </w:r>
      <w:r>
        <w:rPr>
          <w:color w:val="000000"/>
        </w:rPr>
        <w:t xml:space="preserve">Ex. 9 § 3.1.</w:t>
      </w:r>
    </w:p>
    <w:p>
      <w:pPr>
        <w:pStyle w:val="BlockText"/>
      </w:pPr>
      <w:r>
        <w:rPr>
          <w:b/>
          <w:bCs/>
          <w:color w:val="000000"/>
        </w:rPr>
        <w:t xml:space="preserve">SUMF:</w:t>
      </w:r>
      <w:r>
        <w:rPr>
          <w:color w:val="000000"/>
        </w:rPr>
        <w:t xml:space="preserve"> </w:t>
      </w:r>
      <w:r>
        <w:rPr>
          <w:color w:val="000000"/>
        </w:rPr>
        <w:t xml:space="preserve">“</w:t>
      </w:r>
      <w:r>
        <w:rPr>
          <w:color w:val="000000"/>
        </w:rPr>
        <w:t xml:space="preserve">credit memoranda, collateral valuation updates, and covenant compliance certifications.</w:t>
      </w:r>
      <w:r>
        <w:rPr>
          <w:color w:val="000000"/>
        </w:rPr>
        <w:t xml:space="preserve">”</w:t>
      </w:r>
      <w:r>
        <w:rPr>
          <w:color w:val="000000"/>
        </w:rPr>
        <w:t xml:space="preserve"> </w:t>
      </w:r>
      <w:r>
        <w:rPr>
          <w:color w:val="000000"/>
        </w:rPr>
        <w:t xml:space="preserve">SUMF ¶ 25.</w:t>
      </w:r>
    </w:p>
    <w:p>
      <w:pPr>
        <w:pStyle w:val="BlockText"/>
      </w:pPr>
      <w:r>
        <w:rPr>
          <w:b/>
          <w:bCs/>
          <w:color w:val="000000"/>
        </w:rPr>
        <w:t xml:space="preserve">Brief:</w:t>
      </w:r>
      <w:r>
        <w:rPr>
          <w:color w:val="000000"/>
        </w:rPr>
        <w:t xml:space="preserve"> </w:t>
      </w:r>
      <w:r>
        <w:rPr>
          <w:color w:val="000000"/>
        </w:rPr>
        <w:t xml:space="preserve">“</w:t>
      </w:r>
      <w:r>
        <w:rPr>
          <w:color w:val="000000"/>
        </w:rPr>
        <w:t xml:space="preserve">missing or incomplete risk assessments, outdated financial statements, and gaps in covenant compliance tracking.</w:t>
      </w:r>
      <w:r>
        <w:rPr>
          <w:color w:val="000000"/>
        </w:rPr>
        <w:t xml:space="preserve">”</w:t>
      </w:r>
      <w:r>
        <w:rPr>
          <w:color w:val="000000"/>
        </w:rPr>
        <w:t xml:space="preserve"> </w:t>
      </w:r>
      <w:r>
        <w:rPr>
          <w:color w:val="000000"/>
        </w:rPr>
        <w:t xml:space="preserve">Br. at 3.</w:t>
      </w:r>
    </w:p>
    <w:p>
      <w:pPr>
        <w:pStyle w:val="BlockText"/>
      </w:pPr>
      <w:r>
        <w:rPr>
          <w:b/>
          <w:bCs/>
          <w:color w:val="000000"/>
        </w:rPr>
        <w:t xml:space="preserve">Caldwell at deposition:</w:t>
      </w:r>
      <w:r>
        <w:rPr>
          <w:color w:val="000000"/>
        </w:rPr>
        <w:t xml:space="preserve"> </w:t>
      </w:r>
      <w:r>
        <w:rPr>
          <w:color w:val="000000"/>
        </w:rPr>
        <w:t xml:space="preserve">“</w:t>
      </w:r>
      <w:r>
        <w:rPr>
          <w:color w:val="000000"/>
        </w:rPr>
        <w:t xml:space="preserve">incomplete collateral descriptions and . . . missing signatures on certain forms</w:t>
      </w:r>
      <w:r>
        <w:rPr>
          <w:color w:val="000000"/>
        </w:rPr>
        <w:t xml:space="preserve">”</w:t>
      </w:r>
      <w:r>
        <w:rPr>
          <w:color w:val="000000"/>
        </w:rPr>
        <w:t xml:space="preserve"> </w:t>
      </w:r>
      <w:r>
        <w:rPr>
          <w:color w:val="000000"/>
        </w:rPr>
        <w:t xml:space="preserve">(Thornburg);</w:t>
      </w:r>
      <w:r>
        <w:rPr>
          <w:color w:val="000000"/>
        </w:rPr>
        <w:t xml:space="preserve"> </w:t>
      </w:r>
      <w:r>
        <w:rPr>
          <w:color w:val="000000"/>
        </w:rPr>
        <w:t xml:space="preserve">“</w:t>
      </w:r>
      <w:r>
        <w:rPr>
          <w:color w:val="000000"/>
        </w:rPr>
        <w:t xml:space="preserve">[d]ocumentation gaps</w:t>
      </w:r>
      <w:r>
        <w:rPr>
          <w:color w:val="000000"/>
        </w:rPr>
        <w:t xml:space="preserve">”</w:t>
      </w:r>
      <w:r>
        <w:rPr>
          <w:color w:val="000000"/>
        </w:rPr>
        <w:t xml:space="preserve"> </w:t>
      </w:r>
      <w:r>
        <w:rPr>
          <w:color w:val="000000"/>
        </w:rPr>
        <w:t xml:space="preserve">(Westlake);</w:t>
      </w:r>
      <w:r>
        <w:rPr>
          <w:color w:val="000000"/>
        </w:rPr>
        <w:t xml:space="preserve"> </w:t>
      </w:r>
      <w:r>
        <w:rPr>
          <w:color w:val="000000"/>
        </w:rPr>
        <w:t xml:space="preserve">“</w:t>
      </w:r>
      <w:r>
        <w:rPr>
          <w:color w:val="000000"/>
        </w:rPr>
        <w:t xml:space="preserve">issues with the loan covenants documentation</w:t>
      </w:r>
      <w:r>
        <w:rPr>
          <w:color w:val="000000"/>
        </w:rPr>
        <w:t xml:space="preserve">”</w:t>
      </w:r>
      <w:r>
        <w:rPr>
          <w:color w:val="000000"/>
        </w:rPr>
        <w:t xml:space="preserve"> </w:t>
      </w:r>
      <w:r>
        <w:rPr>
          <w:color w:val="000000"/>
        </w:rPr>
        <w:t xml:space="preserve">(Meridian). Ex. 1 at 53–54.</w:t>
      </w:r>
    </w:p>
    <w:p>
      <w:pPr>
        <w:pStyle w:val="FirstParagraph"/>
      </w:pPr>
      <w:r>
        <w:rPr>
          <w:b/>
          <w:bCs/>
          <w:color w:val="000000"/>
        </w:rPr>
        <w:t xml:space="preserve">34.</w:t>
      </w:r>
      <w:r>
        <w:rPr>
          <w:color w:val="000000"/>
        </w:rPr>
        <w:t xml:space="preserve"> </w:t>
      </w:r>
      <w:r>
        <w:rPr>
          <w:color w:val="000000"/>
        </w:rPr>
        <w:t xml:space="preserve">The account numbers and entity names in the PIP do not match the Bank’s own audit records for those relationships. For example, the PIP lists</w:t>
      </w:r>
      <w:r>
        <w:rPr>
          <w:color w:val="000000"/>
        </w:rPr>
        <w:t xml:space="preserve"> </w:t>
      </w:r>
      <w:r>
        <w:rPr>
          <w:color w:val="000000"/>
        </w:rPr>
        <w:t xml:space="preserve">“</w:t>
      </w:r>
      <w:r>
        <w:rPr>
          <w:color w:val="000000"/>
        </w:rPr>
        <w:t xml:space="preserve">Thornburg Development Group (Account No. CL-2019-04417),</w:t>
      </w:r>
      <w:r>
        <w:rPr>
          <w:color w:val="000000"/>
        </w:rPr>
        <w:t xml:space="preserve">”</w:t>
      </w:r>
      <w:r>
        <w:rPr>
          <w:color w:val="000000"/>
        </w:rPr>
        <w:t xml:space="preserve"> </w:t>
      </w:r>
      <w:r>
        <w:rPr>
          <w:color w:val="000000"/>
        </w:rPr>
        <w:t xml:space="preserve">while Internal Audit identifies the file as Loan No. CL-2019-04821. The PIP lists</w:t>
      </w:r>
      <w:r>
        <w:rPr>
          <w:color w:val="000000"/>
        </w:rPr>
        <w:t xml:space="preserve"> </w:t>
      </w:r>
      <w:r>
        <w:rPr>
          <w:color w:val="000000"/>
        </w:rPr>
        <w:t xml:space="preserve">“</w:t>
      </w:r>
      <w:r>
        <w:rPr>
          <w:color w:val="000000"/>
        </w:rPr>
        <w:t xml:space="preserve">Meridian Commercial Partners LLC,</w:t>
      </w:r>
      <w:r>
        <w:rPr>
          <w:color w:val="000000"/>
        </w:rPr>
        <w:t xml:space="preserve">”</w:t>
      </w:r>
      <w:r>
        <w:rPr>
          <w:color w:val="000000"/>
        </w:rPr>
        <w:t xml:space="preserve"> </w:t>
      </w:r>
      <w:r>
        <w:rPr>
          <w:color w:val="000000"/>
        </w:rPr>
        <w:t xml:space="preserve">while the audited borrower is Meridian Infrastructure Partners, Inc. </w:t>
      </w:r>
      <w:r>
        <w:rPr>
          <w:i/>
          <w:iCs/>
          <w:color w:val="000000"/>
        </w:rPr>
        <w:t xml:space="preserve">Compare</w:t>
      </w:r>
      <w:r>
        <w:rPr>
          <w:color w:val="000000"/>
        </w:rPr>
        <w:t xml:space="preserve"> </w:t>
      </w:r>
      <w:r>
        <w:rPr>
          <w:color w:val="000000"/>
        </w:rPr>
        <w:t xml:space="preserve">Ex. 9 § 3.1</w:t>
      </w:r>
      <w:r>
        <w:rPr>
          <w:color w:val="000000"/>
        </w:rPr>
        <w:t xml:space="preserve"> </w:t>
      </w:r>
      <w:r>
        <w:rPr>
          <w:i/>
          <w:iCs/>
          <w:color w:val="000000"/>
        </w:rPr>
        <w:t xml:space="preserve">with</w:t>
      </w:r>
      <w:r>
        <w:rPr>
          <w:color w:val="000000"/>
        </w:rPr>
        <w:t xml:space="preserve"> </w:t>
      </w:r>
      <w:r>
        <w:rPr>
          <w:color w:val="000000"/>
        </w:rPr>
        <w:t xml:space="preserve">Ex. 6 § 4 &amp; App. A.</w:t>
      </w:r>
    </w:p>
    <w:p>
      <w:pPr>
        <w:pStyle w:val="BodyText"/>
      </w:pPr>
      <w:r>
        <w:rPr>
          <w:i/>
          <w:iCs/>
          <w:color w:val="000000"/>
        </w:rPr>
        <w:t xml:space="preserve">Client complaints</w:t>
      </w:r>
    </w:p>
    <w:p>
      <w:pPr>
        <w:pStyle w:val="BodyText"/>
      </w:pPr>
      <w:r>
        <w:rPr>
          <w:b/>
          <w:bCs/>
          <w:color w:val="000000"/>
        </w:rPr>
        <w:t xml:space="preserve">35.</w:t>
      </w:r>
      <w:r>
        <w:rPr>
          <w:color w:val="000000"/>
        </w:rPr>
        <w:t xml:space="preserve"> </w:t>
      </w:r>
      <w:r>
        <w:rPr>
          <w:color w:val="000000"/>
        </w:rPr>
        <w:t xml:space="preserve">Caldwell identified the two complainants as Raymond Sellars, principal of Orion Gateway, and Jeffrey Thornburg. Ex. 1 at 62–63.</w:t>
      </w:r>
    </w:p>
    <w:p>
      <w:pPr>
        <w:pStyle w:val="BodyText"/>
      </w:pPr>
      <w:r>
        <w:rPr>
          <w:b/>
          <w:bCs/>
          <w:color w:val="000000"/>
        </w:rPr>
        <w:t xml:space="preserve">36.</w:t>
      </w:r>
      <w:r>
        <w:rPr>
          <w:color w:val="000000"/>
        </w:rPr>
        <w:t xml:space="preserve"> </w:t>
      </w:r>
      <w:r>
        <w:rPr>
          <w:color w:val="000000"/>
        </w:rPr>
        <w:t xml:space="preserve">Orion Gateway was the subject of Ms. Vasquez’s compliance report, and it was not her client. Ex. 1 at 62–63; SUMF ¶ 10.</w:t>
      </w:r>
    </w:p>
    <w:p>
      <w:pPr>
        <w:pStyle w:val="BodyText"/>
      </w:pPr>
      <w:r>
        <w:rPr>
          <w:b/>
          <w:bCs/>
          <w:color w:val="000000"/>
        </w:rPr>
        <w:t xml:space="preserve">37.</w:t>
      </w:r>
      <w:r>
        <w:rPr>
          <w:color w:val="000000"/>
        </w:rPr>
        <w:t xml:space="preserve"> </w:t>
      </w:r>
      <w:r>
        <w:rPr>
          <w:color w:val="000000"/>
        </w:rPr>
        <w:t xml:space="preserve">Mr. Thornburg swears that he</w:t>
      </w:r>
      <w:r>
        <w:rPr>
          <w:color w:val="000000"/>
        </w:rPr>
        <w:t xml:space="preserve"> </w:t>
      </w:r>
      <w:r>
        <w:rPr>
          <w:color w:val="000000"/>
        </w:rPr>
        <w:t xml:space="preserve">“</w:t>
      </w:r>
      <w:r>
        <w:rPr>
          <w:color w:val="000000"/>
        </w:rPr>
        <w:t xml:space="preserve">never filed a complaint with Ridgeline National Bank regarding Ms. Vasquez’s responsiveness or her performance in any respect.</w:t>
      </w:r>
      <w:r>
        <w:rPr>
          <w:color w:val="000000"/>
        </w:rPr>
        <w:t xml:space="preserve">”</w:t>
      </w:r>
      <w:r>
        <w:rPr>
          <w:color w:val="000000"/>
        </w:rPr>
        <w:t xml:space="preserve"> </w:t>
      </w:r>
      <w:r>
        <w:rPr>
          <w:color w:val="000000"/>
        </w:rPr>
        <w:t xml:space="preserve">He also swears that no one at the Bank ever contacted him to verify any complaint and that Ms. Vasquez was</w:t>
      </w:r>
      <w:r>
        <w:rPr>
          <w:color w:val="000000"/>
        </w:rPr>
        <w:t xml:space="preserve"> </w:t>
      </w:r>
      <w:r>
        <w:rPr>
          <w:color w:val="000000"/>
        </w:rPr>
        <w:t xml:space="preserve">“</w:t>
      </w:r>
      <w:r>
        <w:rPr>
          <w:color w:val="000000"/>
        </w:rPr>
        <w:t xml:space="preserve">consistently highly responsive.</w:t>
      </w:r>
      <w:r>
        <w:rPr>
          <w:color w:val="000000"/>
        </w:rPr>
        <w:t xml:space="preserve">”</w:t>
      </w:r>
      <w:r>
        <w:rPr>
          <w:color w:val="000000"/>
        </w:rPr>
        <w:t xml:space="preserve"> </w:t>
      </w:r>
      <w:r>
        <w:rPr>
          <w:color w:val="000000"/>
        </w:rPr>
        <w:t xml:space="preserve">Ex. 12 ¶¶ 3–6.</w:t>
      </w:r>
    </w:p>
    <w:p>
      <w:pPr>
        <w:pStyle w:val="BodyText"/>
      </w:pPr>
      <w:r>
        <w:rPr>
          <w:b/>
          <w:bCs/>
          <w:color w:val="000000"/>
        </w:rPr>
        <w:t xml:space="preserve">38.</w:t>
      </w:r>
      <w:r>
        <w:rPr>
          <w:color w:val="000000"/>
        </w:rPr>
        <w:t xml:space="preserve"> </w:t>
      </w:r>
      <w:r>
        <w:rPr>
          <w:color w:val="000000"/>
        </w:rPr>
        <w:t xml:space="preserve">Caldwell could not identify who told him of the Thornburg</w:t>
      </w:r>
      <w:r>
        <w:rPr>
          <w:color w:val="000000"/>
        </w:rPr>
        <w:t xml:space="preserve"> </w:t>
      </w:r>
      <w:r>
        <w:rPr>
          <w:color w:val="000000"/>
        </w:rPr>
        <w:t xml:space="preserve">“</w:t>
      </w:r>
      <w:r>
        <w:rPr>
          <w:color w:val="000000"/>
        </w:rPr>
        <w:t xml:space="preserve">complaint</w:t>
      </w:r>
      <w:r>
        <w:rPr>
          <w:color w:val="000000"/>
        </w:rPr>
        <w:t xml:space="preserve">”</w:t>
      </w:r>
      <w:r>
        <w:rPr>
          <w:color w:val="000000"/>
        </w:rPr>
        <w:t xml:space="preserve"> </w:t>
      </w:r>
      <w:r>
        <w:rPr>
          <w:color w:val="000000"/>
        </w:rPr>
        <w:t xml:space="preserve">and could not produce any record of it. Ex. 1 at 64–65.</w:t>
      </w:r>
    </w:p>
    <w:p>
      <w:pPr>
        <w:pStyle w:val="BodyText"/>
      </w:pPr>
      <w:r>
        <w:rPr>
          <w:i/>
          <w:iCs/>
          <w:color w:val="000000"/>
        </w:rPr>
        <w:t xml:space="preserve">PIP requirements</w:t>
      </w:r>
    </w:p>
    <w:p>
      <w:pPr>
        <w:pStyle w:val="BodyText"/>
      </w:pPr>
      <w:r>
        <w:rPr>
          <w:b/>
          <w:bCs/>
          <w:color w:val="000000"/>
        </w:rPr>
        <w:t xml:space="preserve">39.</w:t>
      </w:r>
      <w:r>
        <w:rPr>
          <w:color w:val="000000"/>
        </w:rPr>
        <w:t xml:space="preserve"> </w:t>
      </w:r>
      <w:r>
        <w:rPr>
          <w:color w:val="000000"/>
        </w:rPr>
        <w:t xml:space="preserve">The PIP required Ms. Vasquez to generate $5,000,000 in executed new commitments within 32 days. It also provided that any further client complaint during the period, whatever its merit,</w:t>
      </w:r>
      <w:r>
        <w:rPr>
          <w:color w:val="000000"/>
        </w:rPr>
        <w:t xml:space="preserve"> </w:t>
      </w:r>
      <w:r>
        <w:rPr>
          <w:color w:val="000000"/>
        </w:rPr>
        <w:t xml:space="preserve">“</w:t>
      </w:r>
      <w:r>
        <w:rPr>
          <w:color w:val="000000"/>
        </w:rPr>
        <w:t xml:space="preserve">will be considered a failure.</w:t>
      </w:r>
      <w:r>
        <w:rPr>
          <w:color w:val="000000"/>
        </w:rPr>
        <w:t xml:space="preserve">”</w:t>
      </w:r>
      <w:r>
        <w:rPr>
          <w:color w:val="000000"/>
        </w:rPr>
        <w:t xml:space="preserve"> </w:t>
      </w:r>
      <w:r>
        <w:rPr>
          <w:color w:val="000000"/>
        </w:rPr>
        <w:t xml:space="preserve">Ex. 9 § 4.</w:t>
      </w:r>
    </w:p>
    <w:p>
      <w:pPr>
        <w:pStyle w:val="BodyText"/>
      </w:pPr>
      <w:r>
        <w:rPr>
          <w:b/>
          <w:bCs/>
          <w:color w:val="000000"/>
        </w:rPr>
        <w:t xml:space="preserve">40.</w:t>
      </w:r>
      <w:r>
        <w:rPr>
          <w:color w:val="000000"/>
        </w:rPr>
        <w:t xml:space="preserve"> </w:t>
      </w:r>
      <w:r>
        <w:rPr>
          <w:color w:val="000000"/>
        </w:rPr>
        <w:t xml:space="preserve">Ms. Vasquez noted on the PIP her disagreement with the stated deficiencies. She wrote that her performance had been</w:t>
      </w:r>
      <w:r>
        <w:rPr>
          <w:color w:val="000000"/>
        </w:rPr>
        <w:t xml:space="preserve"> </w:t>
      </w:r>
      <w:r>
        <w:rPr>
          <w:color w:val="000000"/>
        </w:rPr>
        <w:t xml:space="preserve">“</w:t>
      </w:r>
      <w:r>
        <w:rPr>
          <w:color w:val="000000"/>
        </w:rPr>
        <w:t xml:space="preserve">exemplary as reflected in my most recent annual review</w:t>
      </w:r>
      <w:r>
        <w:rPr>
          <w:color w:val="000000"/>
        </w:rPr>
        <w:t xml:space="preserve">”</w:t>
      </w:r>
      <w:r>
        <w:rPr>
          <w:color w:val="000000"/>
        </w:rPr>
        <w:t xml:space="preserve"> </w:t>
      </w:r>
      <w:r>
        <w:rPr>
          <w:color w:val="000000"/>
        </w:rPr>
        <w:t xml:space="preserve">and that she would comply</w:t>
      </w:r>
      <w:r>
        <w:rPr>
          <w:color w:val="000000"/>
        </w:rPr>
        <w:t xml:space="preserve"> </w:t>
      </w:r>
      <w:r>
        <w:rPr>
          <w:color w:val="000000"/>
        </w:rPr>
        <w:t xml:space="preserve">“</w:t>
      </w:r>
      <w:r>
        <w:rPr>
          <w:color w:val="000000"/>
        </w:rPr>
        <w:t xml:space="preserve">under protest.</w:t>
      </w:r>
      <w:r>
        <w:rPr>
          <w:color w:val="000000"/>
        </w:rPr>
        <w:t xml:space="preserve">”</w:t>
      </w:r>
      <w:r>
        <w:rPr>
          <w:color w:val="000000"/>
        </w:rPr>
        <w:t xml:space="preserve"> </w:t>
      </w:r>
      <w:r>
        <w:rPr>
          <w:color w:val="000000"/>
        </w:rPr>
        <w:t xml:space="preserve">Ex. 9 § 7.</w:t>
      </w:r>
    </w:p>
    <w:bookmarkEnd w:id="25"/>
    <w:bookmarkStart w:id="26" w:name="e.-departures-from-bank-policy"/>
    <w:p>
      <w:pPr>
        <w:pStyle w:val="Heading2"/>
      </w:pPr>
      <w:r>
        <w:rPr>
          <w:color w:val="000000"/>
        </w:rPr>
        <w:t xml:space="preserve">E. Departures from Bank Policy</w:t>
      </w:r>
    </w:p>
    <w:p>
      <w:pPr>
        <w:pStyle w:val="FirstParagraph"/>
      </w:pPr>
      <w:r>
        <w:rPr>
          <w:b/>
          <w:bCs/>
          <w:color w:val="000000"/>
        </w:rPr>
        <w:t xml:space="preserve">41.</w:t>
      </w:r>
      <w:r>
        <w:rPr>
          <w:color w:val="000000"/>
        </w:rPr>
        <w:t xml:space="preserve"> </w:t>
      </w:r>
      <w:r>
        <w:rPr>
          <w:color w:val="000000"/>
        </w:rPr>
        <w:t xml:space="preserve">Handbook § 7.4.3 provides that</w:t>
      </w:r>
      <w:r>
        <w:rPr>
          <w:color w:val="000000"/>
        </w:rPr>
        <w:t xml:space="preserve"> </w:t>
      </w:r>
      <w:r>
        <w:rPr>
          <w:color w:val="000000"/>
        </w:rPr>
        <w:t xml:space="preserve">“</w:t>
      </w:r>
      <w:r>
        <w:rPr>
          <w:color w:val="000000"/>
        </w:rPr>
        <w:t xml:space="preserve">in no event should a PIP period be less than 60 calendar days unless extraordinary circumstances exist and are documented in writing with the approval of the HR Director,</w:t>
      </w:r>
      <w:r>
        <w:rPr>
          <w:color w:val="000000"/>
        </w:rPr>
        <w:t xml:space="preserve">”</w:t>
      </w:r>
      <w:r>
        <w:rPr>
          <w:color w:val="000000"/>
        </w:rPr>
        <w:t xml:space="preserve"> </w:t>
      </w:r>
      <w:r>
        <w:rPr>
          <w:color w:val="000000"/>
        </w:rPr>
        <w:t xml:space="preserve">and that any deviation</w:t>
      </w:r>
      <w:r>
        <w:rPr>
          <w:color w:val="000000"/>
        </w:rPr>
        <w:t xml:space="preserve"> </w:t>
      </w:r>
      <w:r>
        <w:rPr>
          <w:color w:val="000000"/>
        </w:rPr>
        <w:t xml:space="preserve">“</w:t>
      </w:r>
      <w:r>
        <w:rPr>
          <w:color w:val="000000"/>
        </w:rPr>
        <w:t xml:space="preserve">must be documented in writing . . . prior to issuance.</w:t>
      </w:r>
      <w:r>
        <w:rPr>
          <w:color w:val="000000"/>
        </w:rPr>
        <w:t xml:space="preserve">”</w:t>
      </w:r>
      <w:r>
        <w:rPr>
          <w:color w:val="000000"/>
        </w:rPr>
        <w:t xml:space="preserve"> </w:t>
      </w:r>
      <w:r>
        <w:rPr>
          <w:color w:val="000000"/>
        </w:rPr>
        <w:t xml:space="preserve">Ex. 5 § 7.4.3. Ms. Vasquez’s PIP ran 32 days. Ex. 9 § 1.</w:t>
      </w:r>
    </w:p>
    <w:p>
      <w:pPr>
        <w:pStyle w:val="BodyText"/>
      </w:pPr>
      <w:r>
        <w:rPr>
          <w:b/>
          <w:bCs/>
          <w:color w:val="000000"/>
        </w:rPr>
        <w:t xml:space="preserve">42.</w:t>
      </w:r>
      <w:r>
        <w:rPr>
          <w:color w:val="000000"/>
        </w:rPr>
        <w:t xml:space="preserve"> </w:t>
      </w:r>
      <w:r>
        <w:rPr>
          <w:color w:val="000000"/>
        </w:rPr>
        <w:t xml:space="preserve">Caldwell does not believe he had ever issued a PIP shorter than 60 days, and the Vasquez PIP</w:t>
      </w:r>
      <w:r>
        <w:rPr>
          <w:color w:val="000000"/>
        </w:rPr>
        <w:t xml:space="preserve"> </w:t>
      </w:r>
      <w:r>
        <w:rPr>
          <w:color w:val="000000"/>
        </w:rPr>
        <w:t xml:space="preserve">“</w:t>
      </w:r>
      <w:r>
        <w:rPr>
          <w:color w:val="000000"/>
        </w:rPr>
        <w:t xml:space="preserve">may have been</w:t>
      </w:r>
      <w:r>
        <w:rPr>
          <w:color w:val="000000"/>
        </w:rPr>
        <w:t xml:space="preserve">”</w:t>
      </w:r>
      <w:r>
        <w:rPr>
          <w:color w:val="000000"/>
        </w:rPr>
        <w:t xml:space="preserve"> </w:t>
      </w:r>
      <w:r>
        <w:rPr>
          <w:color w:val="000000"/>
        </w:rPr>
        <w:t xml:space="preserve">the shortest he ever issued. Ex. 1 at 93–94.</w:t>
      </w:r>
    </w:p>
    <w:p>
      <w:pPr>
        <w:pStyle w:val="BodyText"/>
      </w:pPr>
      <w:r>
        <w:rPr>
          <w:b/>
          <w:bCs/>
          <w:color w:val="000000"/>
        </w:rPr>
        <w:t xml:space="preserve">43.</w:t>
      </w:r>
      <w:r>
        <w:rPr>
          <w:color w:val="000000"/>
        </w:rPr>
        <w:t xml:space="preserve"> </w:t>
      </w:r>
      <w:r>
        <w:rPr>
          <w:color w:val="000000"/>
        </w:rPr>
        <w:t xml:space="preserve">Handbook § 7.4.2 requires, before any PIP: (a) documented, objective deficiencies</w:t>
      </w:r>
      <w:r>
        <w:rPr>
          <w:color w:val="000000"/>
        </w:rPr>
        <w:t xml:space="preserve"> </w:t>
      </w:r>
      <w:r>
        <w:rPr>
          <w:color w:val="000000"/>
        </w:rPr>
        <w:t xml:space="preserve">“</w:t>
      </w:r>
      <w:r>
        <w:rPr>
          <w:color w:val="000000"/>
        </w:rPr>
        <w:t xml:space="preserve">with supporting evidence</w:t>
      </w:r>
      <w:r>
        <w:rPr>
          <w:color w:val="000000"/>
        </w:rPr>
        <w:t xml:space="preserve">”</w:t>
      </w:r>
      <w:r>
        <w:rPr>
          <w:color w:val="000000"/>
        </w:rPr>
        <w:t xml:space="preserve">; (b) confirmation that the employee had a</w:t>
      </w:r>
      <w:r>
        <w:rPr>
          <w:color w:val="000000"/>
        </w:rPr>
        <w:t xml:space="preserve"> </w:t>
      </w:r>
      <w:r>
        <w:rPr>
          <w:color w:val="000000"/>
        </w:rPr>
        <w:t xml:space="preserve">“</w:t>
      </w:r>
      <w:r>
        <w:rPr>
          <w:color w:val="000000"/>
        </w:rPr>
        <w:t xml:space="preserve">reasonable opportunity to address the identified concerns through informal coaching, verbal counseling, or other preliminary corrective measures</w:t>
      </w:r>
      <w:r>
        <w:rPr>
          <w:color w:val="000000"/>
        </w:rPr>
        <w:t xml:space="preserve">”</w:t>
      </w:r>
      <w:r>
        <w:rPr>
          <w:color w:val="000000"/>
        </w:rPr>
        <w:t xml:space="preserve">; and (c) metrics</w:t>
      </w:r>
      <w:r>
        <w:rPr>
          <w:color w:val="000000"/>
        </w:rPr>
        <w:t xml:space="preserve"> </w:t>
      </w:r>
      <w:r>
        <w:rPr>
          <w:color w:val="000000"/>
        </w:rPr>
        <w:t xml:space="preserve">“</w:t>
      </w:r>
      <w:r>
        <w:rPr>
          <w:color w:val="000000"/>
        </w:rPr>
        <w:t xml:space="preserve">consistent with the employee’s . . . annual business plan.</w:t>
      </w:r>
      <w:r>
        <w:rPr>
          <w:color w:val="000000"/>
        </w:rPr>
        <w:t xml:space="preserve">”</w:t>
      </w:r>
      <w:r>
        <w:rPr>
          <w:color w:val="000000"/>
        </w:rPr>
        <w:t xml:space="preserve"> </w:t>
      </w:r>
      <w:r>
        <w:rPr>
          <w:color w:val="000000"/>
        </w:rPr>
        <w:t xml:space="preserve">It also provides that</w:t>
      </w:r>
      <w:r>
        <w:rPr>
          <w:color w:val="000000"/>
        </w:rPr>
        <w:t xml:space="preserve"> </w:t>
      </w:r>
      <w:r>
        <w:rPr>
          <w:color w:val="000000"/>
        </w:rPr>
        <w:t xml:space="preserve">“</w:t>
      </w:r>
      <w:r>
        <w:rPr>
          <w:color w:val="000000"/>
        </w:rPr>
        <w:t xml:space="preserve">[u]nder no circumstances should a PIP introduce performance standards or targets that were not previously communicated to the employee in writing.</w:t>
      </w:r>
      <w:r>
        <w:rPr>
          <w:color w:val="000000"/>
        </w:rPr>
        <w:t xml:space="preserve">”</w:t>
      </w:r>
      <w:r>
        <w:rPr>
          <w:color w:val="000000"/>
        </w:rPr>
        <w:t xml:space="preserve"> </w:t>
      </w:r>
      <w:r>
        <w:rPr>
          <w:color w:val="000000"/>
        </w:rPr>
        <w:t xml:space="preserve">Ex. 5 § 7.4.2. The Handbook calls PIPs</w:t>
      </w:r>
      <w:r>
        <w:rPr>
          <w:color w:val="000000"/>
        </w:rPr>
        <w:t xml:space="preserve"> </w:t>
      </w:r>
      <w:r>
        <w:rPr>
          <w:color w:val="000000"/>
        </w:rPr>
        <w:t xml:space="preserve">“</w:t>
      </w:r>
      <w:r>
        <w:rPr>
          <w:color w:val="000000"/>
        </w:rPr>
        <w:t xml:space="preserve">remedial,</w:t>
      </w:r>
      <w:r>
        <w:rPr>
          <w:color w:val="000000"/>
        </w:rPr>
        <w:t xml:space="preserve">”</w:t>
      </w:r>
      <w:r>
        <w:rPr>
          <w:color w:val="000000"/>
        </w:rPr>
        <w:t xml:space="preserve"> </w:t>
      </w:r>
      <w:r>
        <w:rPr>
          <w:color w:val="000000"/>
        </w:rPr>
        <w:t xml:space="preserve">“</w:t>
      </w:r>
      <w:r>
        <w:rPr>
          <w:color w:val="000000"/>
        </w:rPr>
        <w:t xml:space="preserve">not . . . a precursor to termination,</w:t>
      </w:r>
      <w:r>
        <w:rPr>
          <w:color w:val="000000"/>
        </w:rPr>
        <w:t xml:space="preserve">”</w:t>
      </w:r>
      <w:r>
        <w:rPr>
          <w:color w:val="000000"/>
        </w:rPr>
        <w:t xml:space="preserve"> </w:t>
      </w:r>
      <w:r>
        <w:rPr>
          <w:color w:val="000000"/>
        </w:rPr>
        <w:t xml:space="preserve">and to be used</w:t>
      </w:r>
      <w:r>
        <w:rPr>
          <w:color w:val="000000"/>
        </w:rPr>
        <w:t xml:space="preserve"> </w:t>
      </w:r>
      <w:r>
        <w:rPr>
          <w:color w:val="000000"/>
        </w:rPr>
        <w:t xml:space="preserve">“</w:t>
      </w:r>
      <w:r>
        <w:rPr>
          <w:color w:val="000000"/>
        </w:rPr>
        <w:t xml:space="preserve">only after informal coaching and feedback have proven insufficient.</w:t>
      </w:r>
      <w:r>
        <w:rPr>
          <w:color w:val="000000"/>
        </w:rPr>
        <w:t xml:space="preserve">”</w:t>
      </w:r>
      <w:r>
        <w:rPr>
          <w:color w:val="000000"/>
        </w:rPr>
        <w:t xml:space="preserve"> </w:t>
      </w:r>
      <w:r>
        <w:rPr>
          <w:i/>
          <w:iCs/>
          <w:color w:val="000000"/>
        </w:rPr>
        <w:t xml:space="preserve">Id.</w:t>
      </w:r>
      <w:r>
        <w:rPr>
          <w:color w:val="000000"/>
        </w:rPr>
        <w:t xml:space="preserve"> </w:t>
      </w:r>
      <w:r>
        <w:rPr>
          <w:color w:val="000000"/>
        </w:rPr>
        <w:t xml:space="preserve">§ 7.4.1.</w:t>
      </w:r>
    </w:p>
    <w:p>
      <w:pPr>
        <w:pStyle w:val="BodyText"/>
      </w:pPr>
      <w:r>
        <w:rPr>
          <w:b/>
          <w:bCs/>
          <w:color w:val="000000"/>
        </w:rPr>
        <w:t xml:space="preserve">44.</w:t>
      </w:r>
      <w:r>
        <w:rPr>
          <w:color w:val="000000"/>
        </w:rPr>
        <w:t xml:space="preserve"> </w:t>
      </w:r>
      <w:r>
        <w:rPr>
          <w:color w:val="000000"/>
        </w:rPr>
        <w:t xml:space="preserve">Caldwell did not raise any of the claimed deficiencies with Ms. Vasquez before issuing the PIP. Ex. 1 at 54.</w:t>
      </w:r>
    </w:p>
    <w:bookmarkEnd w:id="26"/>
    <w:bookmarkStart w:id="27" w:name="f.-comparators"/>
    <w:p>
      <w:pPr>
        <w:pStyle w:val="Heading2"/>
      </w:pPr>
      <w:r>
        <w:rPr>
          <w:color w:val="000000"/>
        </w:rPr>
        <w:t xml:space="preserve">F. Comparators</w:t>
      </w:r>
    </w:p>
    <w:p>
      <w:pPr>
        <w:pStyle w:val="FirstParagraph"/>
      </w:pPr>
      <w:r>
        <w:rPr>
          <w:b/>
          <w:bCs/>
          <w:color w:val="000000"/>
        </w:rPr>
        <w:t xml:space="preserve">45.</w:t>
      </w:r>
      <w:r>
        <w:rPr>
          <w:color w:val="000000"/>
        </w:rPr>
        <w:t xml:space="preserve"> </w:t>
      </w:r>
      <w:r>
        <w:rPr>
          <w:color w:val="000000"/>
        </w:rPr>
        <w:t xml:space="preserve">SVPs Bradley Whitfield and Kenneth Lomax also reported to Caldwell during 2022–2023. Each received a</w:t>
      </w:r>
      <w:r>
        <w:rPr>
          <w:color w:val="000000"/>
        </w:rPr>
        <w:t xml:space="preserve"> </w:t>
      </w:r>
      <w:r>
        <w:rPr>
          <w:color w:val="000000"/>
        </w:rPr>
        <w:t xml:space="preserve">“</w:t>
      </w:r>
      <w:r>
        <w:rPr>
          <w:color w:val="000000"/>
        </w:rPr>
        <w:t xml:space="preserve">Needs Improvement</w:t>
      </w:r>
      <w:r>
        <w:rPr>
          <w:color w:val="000000"/>
        </w:rPr>
        <w:t xml:space="preserve">”</w:t>
      </w:r>
      <w:r>
        <w:rPr>
          <w:color w:val="000000"/>
        </w:rPr>
        <w:t xml:space="preserve"> </w:t>
      </w:r>
      <w:r>
        <w:rPr>
          <w:color w:val="000000"/>
        </w:rPr>
        <w:t xml:space="preserve">rating for 2022. Neither was placed on a PIP or given a written warning. Ex. 1 at 102–05.</w:t>
      </w:r>
    </w:p>
    <w:p>
      <w:pPr>
        <w:pStyle w:val="BodyText"/>
      </w:pPr>
      <w:r>
        <w:rPr>
          <w:b/>
          <w:bCs/>
          <w:color w:val="000000"/>
        </w:rPr>
        <w:t xml:space="preserve">46.</w:t>
      </w:r>
      <w:r>
        <w:rPr>
          <w:color w:val="000000"/>
        </w:rPr>
        <w:t xml:space="preserve"> </w:t>
      </w:r>
      <w:r>
        <w:rPr>
          <w:color w:val="000000"/>
        </w:rPr>
        <w:t xml:space="preserve">Whitfield onboarded Orion Gateway. He received only a verbal conversation about his 2022 rating and no discipline in connection with Orion Gateway.</w:t>
      </w:r>
      <w:r>
        <w:rPr>
          <w:color w:val="000000"/>
        </w:rPr>
        <w:t xml:space="preserve"> </w:t>
      </w:r>
      <w:r>
        <w:rPr>
          <w:i/>
          <w:iCs/>
          <w:color w:val="000000"/>
        </w:rPr>
        <w:t xml:space="preserve">Id.</w:t>
      </w:r>
      <w:r>
        <w:rPr>
          <w:color w:val="000000"/>
        </w:rPr>
        <w:t xml:space="preserve"> </w:t>
      </w:r>
      <w:r>
        <w:rPr>
          <w:color w:val="000000"/>
        </w:rPr>
        <w:t xml:space="preserve">at 104–06.</w:t>
      </w:r>
    </w:p>
    <w:bookmarkEnd w:id="27"/>
    <w:bookmarkStart w:id="28" w:name="X8f4650bfa7f2e31a26dc4e90c923ba807a998f0"/>
    <w:p>
      <w:pPr>
        <w:pStyle w:val="Heading2"/>
      </w:pPr>
      <w:r>
        <w:rPr>
          <w:color w:val="000000"/>
        </w:rPr>
        <w:t xml:space="preserve">G. Hargrove’s Involvement and the Medina Termination</w:t>
      </w:r>
    </w:p>
    <w:p>
      <w:pPr>
        <w:pStyle w:val="FirstParagraph"/>
      </w:pPr>
      <w:r>
        <w:rPr>
          <w:b/>
          <w:bCs/>
          <w:color w:val="000000"/>
        </w:rPr>
        <w:t xml:space="preserve">47.</w:t>
      </w:r>
      <w:r>
        <w:rPr>
          <w:color w:val="000000"/>
        </w:rPr>
        <w:t xml:space="preserve"> </w:t>
      </w:r>
      <w:r>
        <w:rPr>
          <w:color w:val="000000"/>
        </w:rPr>
        <w:t xml:space="preserve">Caldwell discussed the termination with Hargrove, who was</w:t>
      </w:r>
      <w:r>
        <w:rPr>
          <w:color w:val="000000"/>
        </w:rPr>
        <w:t xml:space="preserve"> </w:t>
      </w:r>
      <w:r>
        <w:rPr>
          <w:color w:val="000000"/>
        </w:rPr>
        <w:t xml:space="preserve">“</w:t>
      </w:r>
      <w:r>
        <w:rPr>
          <w:color w:val="000000"/>
        </w:rPr>
        <w:t xml:space="preserve">generally supportive.</w:t>
      </w:r>
      <w:r>
        <w:rPr>
          <w:color w:val="000000"/>
        </w:rPr>
        <w:t xml:space="preserve">”</w:t>
      </w:r>
      <w:r>
        <w:rPr>
          <w:color w:val="000000"/>
        </w:rPr>
        <w:t xml:space="preserve"> </w:t>
      </w:r>
      <w:r>
        <w:rPr>
          <w:color w:val="000000"/>
        </w:rPr>
        <w:t xml:space="preserve">When asked whether Ms. Vasquez’s compliance report came up in those discussions, defense counsel instructed Caldwell not to answer. Ex. 1 at 119–20. Hargrove is copied on the termination letter. Ex. 10.</w:t>
      </w:r>
    </w:p>
    <w:p>
      <w:pPr>
        <w:pStyle w:val="BodyText"/>
      </w:pPr>
      <w:r>
        <w:rPr>
          <w:b/>
          <w:bCs/>
          <w:color w:val="000000"/>
        </w:rPr>
        <w:t xml:space="preserve">48.</w:t>
      </w:r>
      <w:r>
        <w:rPr>
          <w:color w:val="000000"/>
        </w:rPr>
        <w:t xml:space="preserve"> </w:t>
      </w:r>
      <w:r>
        <w:rPr>
          <w:color w:val="000000"/>
        </w:rPr>
        <w:t xml:space="preserve">On October 14, 2023, twenty-two days after Ms. Vasquez was fired, the Bank fired Carlos Medina, the analyst who had recommended SAR filing on Orion Gateway. It cited a</w:t>
      </w:r>
      <w:r>
        <w:rPr>
          <w:color w:val="000000"/>
        </w:rPr>
        <w:t xml:space="preserve"> </w:t>
      </w:r>
      <w:r>
        <w:rPr>
          <w:color w:val="000000"/>
        </w:rPr>
        <w:t xml:space="preserve">“</w:t>
      </w:r>
      <w:r>
        <w:rPr>
          <w:color w:val="000000"/>
        </w:rPr>
        <w:t xml:space="preserve">restructuring</w:t>
      </w:r>
      <w:r>
        <w:rPr>
          <w:color w:val="000000"/>
        </w:rPr>
        <w:t xml:space="preserve">”</w:t>
      </w:r>
      <w:r>
        <w:rPr>
          <w:color w:val="000000"/>
        </w:rPr>
        <w:t xml:space="preserve"> </w:t>
      </w:r>
      <w:r>
        <w:rPr>
          <w:color w:val="000000"/>
        </w:rPr>
        <w:t xml:space="preserve">that Prescott did not initiate and that affected no other employee. Ex. 2 at 116–25; Ex. 11 ¶¶ 24–26.</w:t>
      </w:r>
    </w:p>
    <w:p>
      <w:pPr>
        <w:pStyle w:val="BodyText"/>
      </w:pPr>
      <w:r>
        <w:rPr>
          <w:b/>
          <w:bCs/>
          <w:color w:val="000000"/>
        </w:rPr>
        <w:t xml:space="preserve">49.</w:t>
      </w:r>
      <w:r>
        <w:rPr>
          <w:color w:val="000000"/>
        </w:rPr>
        <w:t xml:space="preserve"> </w:t>
      </w:r>
      <w:r>
        <w:rPr>
          <w:color w:val="000000"/>
        </w:rPr>
        <w:t xml:space="preserve">Medina’s position was filled by a new AML Analyst with</w:t>
      </w:r>
      <w:r>
        <w:rPr>
          <w:color w:val="000000"/>
        </w:rPr>
        <w:t xml:space="preserve"> </w:t>
      </w:r>
      <w:r>
        <w:rPr>
          <w:color w:val="000000"/>
        </w:rPr>
        <w:t xml:space="preserve">“</w:t>
      </w:r>
      <w:r>
        <w:rPr>
          <w:color w:val="000000"/>
        </w:rPr>
        <w:t xml:space="preserve">substantially similar</w:t>
      </w:r>
      <w:r>
        <w:rPr>
          <w:color w:val="000000"/>
        </w:rPr>
        <w:t xml:space="preserve">”</w:t>
      </w:r>
      <w:r>
        <w:rPr>
          <w:color w:val="000000"/>
        </w:rPr>
        <w:t xml:space="preserve"> </w:t>
      </w:r>
      <w:r>
        <w:rPr>
          <w:color w:val="000000"/>
        </w:rPr>
        <w:t xml:space="preserve">duties about three weeks later. Ex. 2 at 116–25; Ex. 11 ¶ 27. Medina had a clean record. Ex. 11 ¶ 28.</w:t>
      </w:r>
    </w:p>
    <w:bookmarkEnd w:id="28"/>
    <w:bookmarkStart w:id="29" w:name="h.-corporate-structure"/>
    <w:p>
      <w:pPr>
        <w:pStyle w:val="Heading2"/>
      </w:pPr>
      <w:r>
        <w:rPr>
          <w:color w:val="000000"/>
        </w:rPr>
        <w:t xml:space="preserve">H. Corporate Structure</w:t>
      </w:r>
    </w:p>
    <w:p>
      <w:pPr>
        <w:pStyle w:val="FirstParagraph"/>
      </w:pPr>
      <w:r>
        <w:rPr>
          <w:b/>
          <w:bCs/>
          <w:color w:val="000000"/>
        </w:rPr>
        <w:t xml:space="preserve">50.</w:t>
      </w:r>
      <w:r>
        <w:rPr>
          <w:color w:val="000000"/>
        </w:rPr>
        <w:t xml:space="preserve"> </w:t>
      </w:r>
      <w:r>
        <w:rPr>
          <w:color w:val="000000"/>
        </w:rPr>
        <w:t xml:space="preserve">The Bank is a wholly-owned subsidiary of RDFG, a publicly traded holding company listed on NASDAQ under the symbol</w:t>
      </w:r>
      <w:r>
        <w:rPr>
          <w:color w:val="000000"/>
        </w:rPr>
        <w:t xml:space="preserve"> </w:t>
      </w:r>
      <w:r>
        <w:rPr>
          <w:color w:val="000000"/>
        </w:rPr>
        <w:t xml:space="preserve">“</w:t>
      </w:r>
      <w:r>
        <w:rPr>
          <w:color w:val="000000"/>
        </w:rPr>
        <w:t xml:space="preserve">RDFG.</w:t>
      </w:r>
      <w:r>
        <w:rPr>
          <w:color w:val="000000"/>
        </w:rPr>
        <w:t xml:space="preserve">”</w:t>
      </w:r>
      <w:r>
        <w:rPr>
          <w:color w:val="000000"/>
        </w:rPr>
        <w:t xml:space="preserve"> </w:t>
      </w:r>
      <w:r>
        <w:rPr>
          <w:color w:val="000000"/>
        </w:rPr>
        <w:t xml:space="preserve">SUMF ¶ 2; Ex. 2 at 8–14. As a wholly-owned subsidiary, the Bank’s financial information is included in RDFG’s consolidated financial statements. Ex. 5 (Handbook applies to employees of</w:t>
      </w:r>
      <w:r>
        <w:rPr>
          <w:color w:val="000000"/>
        </w:rPr>
        <w:t xml:space="preserve"> </w:t>
      </w:r>
      <w:r>
        <w:rPr>
          <w:color w:val="000000"/>
        </w:rPr>
        <w:t xml:space="preserve">“</w:t>
      </w:r>
      <w:r>
        <w:rPr>
          <w:color w:val="000000"/>
        </w:rPr>
        <w:t xml:space="preserve">Ridgeline National Bank, a subsidiary of Ridgeline Financial Group, Inc.</w:t>
      </w:r>
      <w:r>
        <w:rPr>
          <w:color w:val="000000"/>
        </w:rPr>
        <w:t xml:space="preserve">”</w:t>
      </w:r>
      <w:r>
        <w:rPr>
          <w:color w:val="000000"/>
        </w:rPr>
        <w:t xml:space="preserve">);</w:t>
      </w:r>
      <w:r>
        <w:rPr>
          <w:color w:val="000000"/>
        </w:rPr>
        <w:t xml:space="preserve"> </w:t>
      </w:r>
      <w:r>
        <w:rPr>
          <w:i/>
          <w:iCs/>
          <w:color w:val="000000"/>
        </w:rPr>
        <w:t xml:space="preserve">see also</w:t>
      </w:r>
      <w:r>
        <w:rPr>
          <w:color w:val="000000"/>
        </w:rPr>
        <w:t xml:space="preserve"> </w:t>
      </w:r>
      <w:r>
        <w:rPr>
          <w:color w:val="000000"/>
        </w:rPr>
        <w:t xml:space="preserve">Ex. 13 § V.A. [</w:t>
      </w:r>
      <w:r>
        <w:rPr>
          <w:i/>
          <w:iCs/>
          <w:color w:val="000000"/>
        </w:rPr>
        <w:t xml:space="preserve">Drafting note: attach RDFG’s Form 10-K for FY2022 and FY2023 showing consolidation, and request judicial notice under Fed. R. Evid. 201.</w:t>
      </w:r>
      <w:r>
        <w:rPr>
          <w:color w:val="000000"/>
        </w:rPr>
        <w:t xml:space="preserve">]</w:t>
      </w:r>
    </w:p>
    <w:bookmarkEnd w:id="29"/>
    <w:bookmarkEnd w:id="30"/>
    <w:bookmarkStart w:id="31" w:name="iv.-legal-standard"/>
    <w:p>
      <w:pPr>
        <w:pStyle w:val="Heading1"/>
      </w:pPr>
      <w:r>
        <w:rPr>
          <w:color w:val="000000"/>
        </w:rPr>
        <w:t xml:space="preserve">IV. LEGAL STANDARD</w:t>
      </w:r>
    </w:p>
    <w:p>
      <w:pPr>
        <w:pStyle w:val="FirstParagraph"/>
      </w:pPr>
      <w:r>
        <w:rPr>
          <w:color w:val="000000"/>
        </w:rPr>
        <w:t xml:space="preserve">Summary judgment is proper only if</w:t>
      </w:r>
      <w:r>
        <w:rPr>
          <w:color w:val="000000"/>
        </w:rPr>
        <w:t xml:space="preserve"> </w:t>
      </w:r>
      <w:r>
        <w:rPr>
          <w:color w:val="000000"/>
        </w:rPr>
        <w:t xml:space="preserve">“</w:t>
      </w:r>
      <w:r>
        <w:rPr>
          <w:color w:val="000000"/>
        </w:rPr>
        <w:t xml:space="preserve">there is no genuine dispute as to any material fact and the movant is entitled to judgment as a matter of law.</w:t>
      </w:r>
      <w:r>
        <w:rPr>
          <w:color w:val="000000"/>
        </w:rPr>
        <w:t xml:space="preserve">”</w:t>
      </w:r>
      <w:r>
        <w:rPr>
          <w:color w:val="000000"/>
        </w:rPr>
        <w:t xml:space="preserve"> </w:t>
      </w:r>
      <w:r>
        <w:rPr>
          <w:color w:val="000000"/>
        </w:rPr>
        <w:t xml:space="preserve">Fed. R. Civ. P. 56(a).</w:t>
      </w:r>
      <w:r>
        <w:rPr>
          <w:color w:val="000000"/>
        </w:rPr>
        <w:t xml:space="preserve"> </w:t>
      </w:r>
      <w:r>
        <w:rPr>
          <w:color w:val="000000"/>
        </w:rPr>
        <w:t xml:space="preserve">“</w:t>
      </w:r>
      <w:r>
        <w:rPr>
          <w:color w:val="000000"/>
        </w:rPr>
        <w:t xml:space="preserve">The evidence of the non-movant is to be believed, and all justifiable inferences are to be drawn in [her] favor.</w:t>
      </w:r>
      <w:r>
        <w:rPr>
          <w:color w:val="000000"/>
        </w:rPr>
        <w:t xml:space="preserve">”</w:t>
      </w:r>
      <w:r>
        <w:rPr>
          <w:color w:val="000000"/>
        </w:rPr>
        <w:t xml:space="preserve"> </w:t>
      </w:r>
      <w:r>
        <w:rPr>
          <w:i/>
          <w:iCs/>
          <w:color w:val="000000"/>
        </w:rPr>
        <w:t xml:space="preserve">Anderson v. Liberty Lobby, Inc.</w:t>
      </w:r>
      <w:r>
        <w:rPr>
          <w:color w:val="000000"/>
        </w:rPr>
        <w:t xml:space="preserve">, 477 U.S. 242, 255 (1986).</w:t>
      </w:r>
      <w:r>
        <w:rPr>
          <w:color w:val="000000"/>
        </w:rPr>
        <w:t xml:space="preserve"> </w:t>
      </w:r>
      <w:r>
        <w:rPr>
          <w:color w:val="000000"/>
        </w:rPr>
        <w:t xml:space="preserve">“</w:t>
      </w:r>
      <w:r>
        <w:rPr>
          <w:color w:val="000000"/>
        </w:rPr>
        <w:t xml:space="preserve">Credibility determinations, the weighing of the evidence, and the drawing of legitimate inferences from the facts are jury functions, not those of a judge.</w:t>
      </w:r>
      <w:r>
        <w:rPr>
          <w:color w:val="000000"/>
        </w:rPr>
        <w:t xml:space="preserve">”</w:t>
      </w:r>
      <w:r>
        <w:rPr>
          <w:color w:val="000000"/>
        </w:rPr>
        <w:t xml:space="preserve"> </w:t>
      </w:r>
      <w:r>
        <w:rPr>
          <w:i/>
          <w:iCs/>
          <w:color w:val="000000"/>
        </w:rPr>
        <w:t xml:space="preserve">Id.</w:t>
      </w:r>
      <w:r>
        <w:rPr>
          <w:color w:val="000000"/>
        </w:rPr>
        <w:t xml:space="preserve"> </w:t>
      </w:r>
      <w:r>
        <w:rPr>
          <w:color w:val="000000"/>
        </w:rPr>
        <w:t xml:space="preserve">A court that credits the movant’s evidence over the non-movant’s, or fails to draw reasonable inferences in the non-movant’s favor, commits reversible error.</w:t>
      </w:r>
      <w:r>
        <w:rPr>
          <w:color w:val="000000"/>
        </w:rPr>
        <w:t xml:space="preserve"> </w:t>
      </w:r>
      <w:r>
        <w:rPr>
          <w:i/>
          <w:iCs/>
          <w:color w:val="000000"/>
        </w:rPr>
        <w:t xml:space="preserve">Tolan v. Cotton</w:t>
      </w:r>
      <w:r>
        <w:rPr>
          <w:color w:val="000000"/>
        </w:rPr>
        <w:t xml:space="preserve">, 572 U.S. 650, 656–57, 660 (2014) (per curiam).</w:t>
      </w:r>
    </w:p>
    <w:p>
      <w:pPr>
        <w:pStyle w:val="BodyText"/>
      </w:pPr>
      <w:r>
        <w:rPr>
          <w:color w:val="000000"/>
        </w:rPr>
        <w:t xml:space="preserve">These principles carry special weight in retaliation cases, where the ultimate question is the employer’s motive. A plaintiff’s prima facie case,</w:t>
      </w:r>
      <w:r>
        <w:rPr>
          <w:color w:val="000000"/>
        </w:rPr>
        <w:t xml:space="preserve"> </w:t>
      </w:r>
      <w:r>
        <w:rPr>
          <w:color w:val="000000"/>
        </w:rPr>
        <w:t xml:space="preserve">“</w:t>
      </w:r>
      <w:r>
        <w:rPr>
          <w:color w:val="000000"/>
        </w:rPr>
        <w:t xml:space="preserve">combined with sufficient evidence to find that the employer’s asserted justification is false, may permit the trier of fact to conclude that the employer unlawfully discriminated.</w:t>
      </w:r>
      <w:r>
        <w:rPr>
          <w:color w:val="000000"/>
        </w:rPr>
        <w:t xml:space="preserve">”</w:t>
      </w:r>
      <w:r>
        <w:rPr>
          <w:color w:val="000000"/>
        </w:rPr>
        <w:t xml:space="preserve"> </w:t>
      </w:r>
      <w:r>
        <w:rPr>
          <w:i/>
          <w:iCs/>
          <w:color w:val="000000"/>
        </w:rPr>
        <w:t xml:space="preserve">Reeves v. Sanderson Plumbing Prods., Inc.</w:t>
      </w:r>
      <w:r>
        <w:rPr>
          <w:color w:val="000000"/>
        </w:rPr>
        <w:t xml:space="preserve">, 530 U.S. 133, 148 (2000). In deciding the motion, the court</w:t>
      </w:r>
      <w:r>
        <w:rPr>
          <w:color w:val="000000"/>
        </w:rPr>
        <w:t xml:space="preserve"> </w:t>
      </w:r>
      <w:r>
        <w:rPr>
          <w:color w:val="000000"/>
        </w:rPr>
        <w:t xml:space="preserve">“</w:t>
      </w:r>
      <w:r>
        <w:rPr>
          <w:color w:val="000000"/>
        </w:rPr>
        <w:t xml:space="preserve">must disregard all evidence favorable to the moving party that the jury is not required to believe.</w:t>
      </w:r>
      <w:r>
        <w:rPr>
          <w:color w:val="000000"/>
        </w:rPr>
        <w:t xml:space="preserve">”</w:t>
      </w:r>
      <w:r>
        <w:rPr>
          <w:color w:val="000000"/>
        </w:rPr>
        <w:t xml:space="preserve"> </w:t>
      </w:r>
      <w:r>
        <w:rPr>
          <w:i/>
          <w:iCs/>
          <w:color w:val="000000"/>
        </w:rPr>
        <w:t xml:space="preserve">Id.</w:t>
      </w:r>
      <w:r>
        <w:rPr>
          <w:color w:val="000000"/>
        </w:rPr>
        <w:t xml:space="preserve"> </w:t>
      </w:r>
      <w:r>
        <w:rPr>
          <w:color w:val="000000"/>
        </w:rPr>
        <w:t xml:space="preserve">at 151. The testimony of Caldwell, an interested witness who has already revised his sworn account once, is exactly that kind of evidence.</w:t>
      </w:r>
    </w:p>
    <w:bookmarkEnd w:id="31"/>
    <w:bookmarkStart w:id="52" w:name="v.-argument"/>
    <w:p>
      <w:pPr>
        <w:pStyle w:val="Heading1"/>
      </w:pPr>
      <w:r>
        <w:rPr>
          <w:color w:val="000000"/>
        </w:rPr>
        <w:t xml:space="preserve">V. ARGUMENT</w:t>
      </w:r>
    </w:p>
    <w:bookmarkStart w:id="37" w:name="Xb6b1950ac0ad63a4dcaa0dc0415c46ab222ed5b"/>
    <w:p>
      <w:pPr>
        <w:pStyle w:val="Heading2"/>
      </w:pPr>
      <w:r>
        <w:rPr>
          <w:color w:val="000000"/>
        </w:rPr>
        <w:t xml:space="preserve">A. A Reasonable Jury Could Find That the Bank Knew, or Believed, That Ms. Vasquez Was the Whistleblower (Count I).</w:t>
      </w:r>
    </w:p>
    <w:p>
      <w:pPr>
        <w:pStyle w:val="FirstParagraph"/>
      </w:pPr>
      <w:r>
        <w:rPr>
          <w:color w:val="000000"/>
        </w:rPr>
        <w:t xml:space="preserve">The Bank’s lead argument is that it could not have retaliated against Ms. Vasquez for her FinCEN report because FinCEN keeps tipsters confidential and she told no one. Br. at 8–13. That argument answers a question no one is asking. The issue is not whether FinCEN disclosed her identity. The issue is whether the people who decided her fate knew or believed she was the source of the regulatory report and acted on that knowledge or belief. The Bank’s own documents answer that question.</w:t>
      </w:r>
    </w:p>
    <w:bookmarkStart w:id="32" w:name="X50d36c02619bdffec5184d1f8b898c2e1324660"/>
    <w:p>
      <w:pPr>
        <w:pStyle w:val="Heading3"/>
      </w:pPr>
      <w:r>
        <w:rPr>
          <w:color w:val="000000"/>
        </w:rPr>
        <w:t xml:space="preserve">1. The Bank’s General Counsel identified Ms. Vasquez in writing as the source of the regulatory report and gave that conclusion to the decision-maker.</w:t>
      </w:r>
    </w:p>
    <w:p>
      <w:pPr>
        <w:pStyle w:val="FirstParagraph"/>
      </w:pPr>
      <w:r>
        <w:rPr>
          <w:color w:val="000000"/>
        </w:rPr>
        <w:t xml:space="preserve">On August 1, 2023, four days after the OCC letter arrived, the Bank’s General Counsel told the Regional President that the OCC inquiry</w:t>
      </w:r>
      <w:r>
        <w:rPr>
          <w:color w:val="000000"/>
        </w:rPr>
        <w:t xml:space="preserve"> </w:t>
      </w:r>
      <w:r>
        <w:rPr>
          <w:color w:val="000000"/>
        </w:rPr>
        <w:t xml:space="preserve">“</w:t>
      </w:r>
      <w:r>
        <w:rPr>
          <w:color w:val="000000"/>
        </w:rPr>
        <w:t xml:space="preserve">almost certainly stems from an internal leak.</w:t>
      </w:r>
      <w:r>
        <w:rPr>
          <w:color w:val="000000"/>
        </w:rPr>
        <w:t xml:space="preserve">”</w:t>
      </w:r>
      <w:r>
        <w:rPr>
          <w:color w:val="000000"/>
        </w:rPr>
        <w:t xml:space="preserve"> </w:t>
      </w:r>
      <w:r>
        <w:rPr>
          <w:color w:val="000000"/>
        </w:rPr>
        <w:t xml:space="preserve">He wrote that</w:t>
      </w:r>
      <w:r>
        <w:rPr>
          <w:color w:val="000000"/>
        </w:rPr>
        <w:t xml:space="preserve"> </w:t>
      </w:r>
      <w:r>
        <w:rPr>
          <w:color w:val="000000"/>
        </w:rPr>
        <w:t xml:space="preserve">“</w:t>
      </w:r>
      <w:r>
        <w:rPr>
          <w:color w:val="000000"/>
        </w:rPr>
        <w:t xml:space="preserve">Elena Vasquez is the obvious candidate,</w:t>
      </w:r>
      <w:r>
        <w:rPr>
          <w:color w:val="000000"/>
        </w:rPr>
        <w:t xml:space="preserve">”</w:t>
      </w:r>
      <w:r>
        <w:rPr>
          <w:color w:val="000000"/>
        </w:rPr>
        <w:t xml:space="preserve"> </w:t>
      </w:r>
      <w:r>
        <w:rPr>
          <w:color w:val="000000"/>
        </w:rPr>
        <w:t xml:space="preserve">that</w:t>
      </w:r>
      <w:r>
        <w:rPr>
          <w:color w:val="000000"/>
        </w:rPr>
        <w:t xml:space="preserve"> </w:t>
      </w:r>
      <w:r>
        <w:rPr>
          <w:color w:val="000000"/>
        </w:rPr>
        <w:t xml:space="preserve">“</w:t>
      </w:r>
      <w:r>
        <w:rPr>
          <w:color w:val="000000"/>
        </w:rPr>
        <w:t xml:space="preserve">the timing and substance are too close to be coincidental,</w:t>
      </w:r>
      <w:r>
        <w:rPr>
          <w:color w:val="000000"/>
        </w:rPr>
        <w:t xml:space="preserve">”</w:t>
      </w:r>
      <w:r>
        <w:rPr>
          <w:color w:val="000000"/>
        </w:rPr>
        <w:t xml:space="preserve"> </w:t>
      </w:r>
      <w:r>
        <w:rPr>
          <w:color w:val="000000"/>
        </w:rPr>
        <w:t xml:space="preserve">and that</w:t>
      </w:r>
      <w:r>
        <w:rPr>
          <w:color w:val="000000"/>
        </w:rPr>
        <w:t xml:space="preserve"> </w:t>
      </w:r>
      <w:r>
        <w:rPr>
          <w:color w:val="000000"/>
        </w:rPr>
        <w:t xml:space="preserve">“</w:t>
      </w:r>
      <w:r>
        <w:rPr>
          <w:color w:val="000000"/>
        </w:rPr>
        <w:t xml:space="preserve">[w]e need to identify the source and contain this before it escalates further.</w:t>
      </w:r>
      <w:r>
        <w:rPr>
          <w:color w:val="000000"/>
        </w:rPr>
        <w:t xml:space="preserve">”</w:t>
      </w:r>
      <w:r>
        <w:rPr>
          <w:color w:val="000000"/>
        </w:rPr>
        <w:t xml:space="preserve"> </w:t>
      </w:r>
      <w:r>
        <w:rPr>
          <w:color w:val="000000"/>
        </w:rPr>
        <w:t xml:space="preserve">PSAF ¶ 22. He told the Chief Compliance Officer the same thing: Ms. Vasquez</w:t>
      </w:r>
      <w:r>
        <w:rPr>
          <w:color w:val="000000"/>
        </w:rPr>
        <w:t xml:space="preserve"> </w:t>
      </w:r>
      <w:r>
        <w:rPr>
          <w:color w:val="000000"/>
        </w:rPr>
        <w:t xml:space="preserve">“</w:t>
      </w:r>
      <w:r>
        <w:rPr>
          <w:color w:val="000000"/>
        </w:rPr>
        <w:t xml:space="preserve">was the likely source of whatever report had been made to the regulators.</w:t>
      </w:r>
      <w:r>
        <w:rPr>
          <w:color w:val="000000"/>
        </w:rPr>
        <w:t xml:space="preserve">”</w:t>
      </w:r>
      <w:r>
        <w:rPr>
          <w:color w:val="000000"/>
        </w:rPr>
        <w:t xml:space="preserve"> </w:t>
      </w:r>
      <w:r>
        <w:rPr>
          <w:color w:val="000000"/>
        </w:rPr>
        <w:t xml:space="preserve">No other name was ever mentioned. PSAF ¶ 24. The decision-maker read the email and replied,</w:t>
      </w:r>
      <w:r>
        <w:rPr>
          <w:color w:val="000000"/>
        </w:rPr>
        <w:t xml:space="preserve"> </w:t>
      </w:r>
      <w:r>
        <w:rPr>
          <w:color w:val="000000"/>
        </w:rPr>
        <w:t xml:space="preserve">“</w:t>
      </w:r>
      <w:r>
        <w:rPr>
          <w:color w:val="000000"/>
        </w:rPr>
        <w:t xml:space="preserve">Understood. Let me handle this.</w:t>
      </w:r>
      <w:r>
        <w:rPr>
          <w:color w:val="000000"/>
        </w:rPr>
        <w:t xml:space="preserve">”</w:t>
      </w:r>
      <w:r>
        <w:rPr>
          <w:color w:val="000000"/>
        </w:rPr>
        <w:t xml:space="preserve"> </w:t>
      </w:r>
      <w:r>
        <w:rPr>
          <w:color w:val="000000"/>
        </w:rPr>
        <w:t xml:space="preserve">PSAF ¶ 23. He admits that, from that day on, he knew the Bank’s leadership believed Ms. Vasquez had supplied the information to the regulator. PSAF ¶ 25.</w:t>
      </w:r>
    </w:p>
    <w:p>
      <w:pPr>
        <w:pStyle w:val="BodyText"/>
      </w:pPr>
      <w:r>
        <w:rPr>
          <w:color w:val="000000"/>
        </w:rPr>
        <w:t xml:space="preserve">This is direct evidence of knowledge. At a minimum, it is strong circumstantial evidence from which a jury could find knowledge. The statements of the Bank’s General Counsel and Regional President about matters within the scope of their employment are admissions of a party-opponent. Fed. R. Evid. 801(d)(2)(D). The Bank calls Hargrove’s email</w:t>
      </w:r>
      <w:r>
        <w:rPr>
          <w:color w:val="000000"/>
        </w:rPr>
        <w:t xml:space="preserve"> </w:t>
      </w:r>
      <w:r>
        <w:rPr>
          <w:color w:val="000000"/>
        </w:rPr>
        <w:t xml:space="preserve">“</w:t>
      </w:r>
      <w:r>
        <w:rPr>
          <w:color w:val="000000"/>
        </w:rPr>
        <w:t xml:space="preserve">conjecture</w:t>
      </w:r>
      <w:r>
        <w:rPr>
          <w:color w:val="000000"/>
        </w:rPr>
        <w:t xml:space="preserve">”</w:t>
      </w:r>
      <w:r>
        <w:rPr>
          <w:color w:val="000000"/>
        </w:rPr>
        <w:t xml:space="preserve"> </w:t>
      </w:r>
      <w:r>
        <w:rPr>
          <w:color w:val="000000"/>
        </w:rPr>
        <w:t xml:space="preserve">(Br. at 10–11), but that is an argument about the weight and meaning of evidence, and those questions are for the jury.</w:t>
      </w:r>
      <w:r>
        <w:rPr>
          <w:color w:val="000000"/>
        </w:rPr>
        <w:t xml:space="preserve"> </w:t>
      </w:r>
      <w:r>
        <w:rPr>
          <w:i/>
          <w:iCs/>
          <w:color w:val="000000"/>
        </w:rPr>
        <w:t xml:space="preserve">Anderson</w:t>
      </w:r>
      <w:r>
        <w:rPr>
          <w:color w:val="000000"/>
        </w:rPr>
        <w:t xml:space="preserve">, 477 U.S. at 255. Hargrove did not guess. He wrote that he had</w:t>
      </w:r>
      <w:r>
        <w:rPr>
          <w:color w:val="000000"/>
        </w:rPr>
        <w:t xml:space="preserve"> </w:t>
      </w:r>
      <w:r>
        <w:rPr>
          <w:color w:val="000000"/>
        </w:rPr>
        <w:t xml:space="preserve">“</w:t>
      </w:r>
      <w:r>
        <w:rPr>
          <w:color w:val="000000"/>
        </w:rPr>
        <w:t xml:space="preserve">no doubt,</w:t>
      </w:r>
      <w:r>
        <w:rPr>
          <w:color w:val="000000"/>
        </w:rPr>
        <w:t xml:space="preserve">”</w:t>
      </w:r>
      <w:r>
        <w:rPr>
          <w:color w:val="000000"/>
        </w:rPr>
        <w:t xml:space="preserve"> </w:t>
      </w:r>
      <w:r>
        <w:rPr>
          <w:color w:val="000000"/>
        </w:rPr>
        <w:t xml:space="preserve">explained why the</w:t>
      </w:r>
      <w:r>
        <w:rPr>
          <w:color w:val="000000"/>
        </w:rPr>
        <w:t xml:space="preserve"> </w:t>
      </w:r>
      <w:r>
        <w:rPr>
          <w:color w:val="000000"/>
        </w:rPr>
        <w:t xml:space="preserve">“</w:t>
      </w:r>
      <w:r>
        <w:rPr>
          <w:color w:val="000000"/>
        </w:rPr>
        <w:t xml:space="preserve">timing and substance</w:t>
      </w:r>
      <w:r>
        <w:rPr>
          <w:color w:val="000000"/>
        </w:rPr>
        <w:t xml:space="preserve">”</w:t>
      </w:r>
      <w:r>
        <w:rPr>
          <w:color w:val="000000"/>
        </w:rPr>
        <w:t xml:space="preserve"> </w:t>
      </w:r>
      <w:r>
        <w:rPr>
          <w:color w:val="000000"/>
        </w:rPr>
        <w:t xml:space="preserve">pointed to Ms. Vasquez, and called for action to</w:t>
      </w:r>
      <w:r>
        <w:rPr>
          <w:color w:val="000000"/>
        </w:rPr>
        <w:t xml:space="preserve"> </w:t>
      </w:r>
      <w:r>
        <w:rPr>
          <w:color w:val="000000"/>
        </w:rPr>
        <w:t xml:space="preserve">“</w:t>
      </w:r>
      <w:r>
        <w:rPr>
          <w:color w:val="000000"/>
        </w:rPr>
        <w:t xml:space="preserve">contain</w:t>
      </w:r>
      <w:r>
        <w:rPr>
          <w:color w:val="000000"/>
        </w:rPr>
        <w:t xml:space="preserve">”</w:t>
      </w:r>
      <w:r>
        <w:rPr>
          <w:color w:val="000000"/>
        </w:rPr>
        <w:t xml:space="preserve"> </w:t>
      </w:r>
      <w:r>
        <w:rPr>
          <w:color w:val="000000"/>
        </w:rPr>
        <w:t xml:space="preserve">her. And he was right: Ms. Vasquez had in fact reported to FinCEN six weeks before the OCC letter arrived. PSAF ¶ 20. An employer that correctly identifies the whistleblower and then acts against her cannot escape liability because no one handed it a signed confession.</w:t>
      </w:r>
    </w:p>
    <w:p>
      <w:pPr>
        <w:pStyle w:val="BodyText"/>
      </w:pPr>
      <w:r>
        <w:rPr>
          <w:color w:val="000000"/>
        </w:rPr>
        <w:t xml:space="preserve">The anti-retaliation inquiry concerns the employer’s state of mind. The Supreme Court has held, in the analogous First Amendment setting, that when an employer takes adverse action because it believes an employee engaged in protected activity,</w:t>
      </w:r>
      <w:r>
        <w:rPr>
          <w:color w:val="000000"/>
        </w:rPr>
        <w:t xml:space="preserve"> </w:t>
      </w:r>
      <w:r>
        <w:rPr>
          <w:color w:val="000000"/>
        </w:rPr>
        <w:t xml:space="preserve">“</w:t>
      </w:r>
      <w:r>
        <w:rPr>
          <w:color w:val="000000"/>
        </w:rPr>
        <w:t xml:space="preserve">[t]he government’s reason for demoting [the employee] is what counts,</w:t>
      </w:r>
      <w:r>
        <w:rPr>
          <w:color w:val="000000"/>
        </w:rPr>
        <w:t xml:space="preserve">”</w:t>
      </w:r>
      <w:r>
        <w:rPr>
          <w:color w:val="000000"/>
        </w:rPr>
        <w:t xml:space="preserve"> </w:t>
      </w:r>
      <w:r>
        <w:rPr>
          <w:color w:val="000000"/>
        </w:rPr>
        <w:t xml:space="preserve">even if the employer is mistaken about the facts.</w:t>
      </w:r>
      <w:r>
        <w:rPr>
          <w:color w:val="000000"/>
        </w:rPr>
        <w:t xml:space="preserve"> </w:t>
      </w:r>
      <w:r>
        <w:rPr>
          <w:i/>
          <w:iCs/>
          <w:color w:val="000000"/>
        </w:rPr>
        <w:t xml:space="preserve">Heffernan v. City of Paterson</w:t>
      </w:r>
      <w:r>
        <w:rPr>
          <w:color w:val="000000"/>
        </w:rPr>
        <w:t xml:space="preserve">, 578 U.S. 266, 272–73 (2016). There was no mistake here. The Bank believed Ms. Vasquez was the source, and she was. If an employer’s mistaken belief is enough to establish retaliatory motive, a belief that happens to be correct is certainly enough.</w:t>
      </w:r>
    </w:p>
    <w:bookmarkEnd w:id="32"/>
    <w:bookmarkStart w:id="33" w:name="Xcf7de82f8ba265e96807285b43c7b93ea9dce10"/>
    <w:p>
      <w:pPr>
        <w:pStyle w:val="Heading3"/>
      </w:pPr>
      <w:r>
        <w:rPr>
          <w:color w:val="000000"/>
        </w:rPr>
        <w:t xml:space="preserve">2. The Bank’s attempt to separate the internal memorandum from the external report fails on its own terms.</w:t>
      </w:r>
    </w:p>
    <w:p>
      <w:pPr>
        <w:pStyle w:val="FirstParagraph"/>
      </w:pPr>
      <w:r>
        <w:rPr>
          <w:color w:val="000000"/>
        </w:rPr>
        <w:t xml:space="preserve">The Bank argues that Hargrove’s email reflects knowledge only of the April internal memorandum, not the FinCEN report. Br. at 10–11; SUMF ¶ 41. The email says otherwise. Its subject is the OCC inquiry, a federal regulator’s response to</w:t>
      </w:r>
      <w:r>
        <w:rPr>
          <w:color w:val="000000"/>
        </w:rPr>
        <w:t xml:space="preserve"> </w:t>
      </w:r>
      <w:r>
        <w:rPr>
          <w:color w:val="000000"/>
        </w:rPr>
        <w:t xml:space="preserve">“</w:t>
      </w:r>
      <w:r>
        <w:rPr>
          <w:color w:val="000000"/>
        </w:rPr>
        <w:t xml:space="preserve">information received from a confidential source.</w:t>
      </w:r>
      <w:r>
        <w:rPr>
          <w:color w:val="000000"/>
        </w:rPr>
        <w:t xml:space="preserve">”</w:t>
      </w:r>
      <w:r>
        <w:rPr>
          <w:color w:val="000000"/>
        </w:rPr>
        <w:t xml:space="preserve"> </w:t>
      </w:r>
      <w:r>
        <w:rPr>
          <w:color w:val="000000"/>
        </w:rPr>
        <w:t xml:space="preserve">Hargrove wrote that the OCC inquiry</w:t>
      </w:r>
      <w:r>
        <w:rPr>
          <w:color w:val="000000"/>
        </w:rPr>
        <w:t xml:space="preserve"> </w:t>
      </w:r>
      <w:r>
        <w:rPr>
          <w:color w:val="000000"/>
        </w:rPr>
        <w:t xml:space="preserve">“</w:t>
      </w:r>
      <w:r>
        <w:rPr>
          <w:color w:val="000000"/>
        </w:rPr>
        <w:t xml:space="preserve">stems from an internal leak,</w:t>
      </w:r>
      <w:r>
        <w:rPr>
          <w:color w:val="000000"/>
        </w:rPr>
        <w:t xml:space="preserve">”</w:t>
      </w:r>
      <w:r>
        <w:rPr>
          <w:color w:val="000000"/>
        </w:rPr>
        <w:t xml:space="preserve"> </w:t>
      </w:r>
      <w:r>
        <w:rPr>
          <w:color w:val="000000"/>
        </w:rPr>
        <w:t xml:space="preserve">meaning that someone inside the Bank had given information to someone outside it, and he named Ms. Vasquez as that person. PSAF ¶ 22. The April memorandum was the evidence for his conclusion. The external report was the conclusion. The Bank’s argument that its General Counsel only</w:t>
      </w:r>
      <w:r>
        <w:rPr>
          <w:color w:val="000000"/>
        </w:rPr>
        <w:t xml:space="preserve"> </w:t>
      </w:r>
      <w:r>
        <w:rPr>
          <w:color w:val="000000"/>
        </w:rPr>
        <w:t xml:space="preserve">“</w:t>
      </w:r>
      <w:r>
        <w:rPr>
          <w:color w:val="000000"/>
        </w:rPr>
        <w:t xml:space="preserve">knew</w:t>
      </w:r>
      <w:r>
        <w:rPr>
          <w:color w:val="000000"/>
        </w:rPr>
        <w:t xml:space="preserve">”</w:t>
      </w:r>
      <w:r>
        <w:rPr>
          <w:color w:val="000000"/>
        </w:rPr>
        <w:t xml:space="preserve"> </w:t>
      </w:r>
      <w:r>
        <w:rPr>
          <w:color w:val="000000"/>
        </w:rPr>
        <w:t xml:space="preserve">of an internal memo he was using to identify an external reporter mischaracterizes the document. At a minimum, it offers a competing reading of the email that a jury is entitled to reject.</w:t>
      </w:r>
    </w:p>
    <w:p>
      <w:pPr>
        <w:pStyle w:val="BodyText"/>
      </w:pPr>
      <w:r>
        <w:rPr>
          <w:color w:val="000000"/>
        </w:rPr>
        <w:t xml:space="preserve">The Bank also relies on Caldwell’s testimony that he had no</w:t>
      </w:r>
      <w:r>
        <w:rPr>
          <w:color w:val="000000"/>
        </w:rPr>
        <w:t xml:space="preserve"> </w:t>
      </w:r>
      <w:r>
        <w:rPr>
          <w:color w:val="000000"/>
        </w:rPr>
        <w:t xml:space="preserve">“</w:t>
      </w:r>
      <w:r>
        <w:rPr>
          <w:color w:val="000000"/>
        </w:rPr>
        <w:t xml:space="preserve">knowledge or belief that she had filed a report with FinCEN.</w:t>
      </w:r>
      <w:r>
        <w:rPr>
          <w:color w:val="000000"/>
        </w:rPr>
        <w:t xml:space="preserve">”</w:t>
      </w:r>
      <w:r>
        <w:rPr>
          <w:color w:val="000000"/>
        </w:rPr>
        <w:t xml:space="preserve"> </w:t>
      </w:r>
      <w:r>
        <w:rPr>
          <w:color w:val="000000"/>
        </w:rPr>
        <w:t xml:space="preserve">Br. at 11 (quoting Caldwell Dep. 72:14–73:2). The question was carefully limited to FinCEN by name. Caldwell has admitted that he knew the Bank believed Ms. Vasquez had reported to a federal regulator. PSAF ¶ 25. Whether the regulator was FinCEN or the OCC, and whether the report went directly or through a referral, makes no difference to retaliatory motive. What matters is that the decision-maker believed she had taken the Bank’s Orion Gateway problem outside the Bank. The jury also need not credit Caldwell’s denials. He first swore that he</w:t>
      </w:r>
      <w:r>
        <w:rPr>
          <w:color w:val="000000"/>
        </w:rPr>
        <w:t xml:space="preserve"> </w:t>
      </w:r>
      <w:r>
        <w:rPr>
          <w:color w:val="000000"/>
        </w:rPr>
        <w:t xml:space="preserve">“</w:t>
      </w:r>
      <w:r>
        <w:rPr>
          <w:color w:val="000000"/>
        </w:rPr>
        <w:t xml:space="preserve">wasn’t aware of Ms. Vasquez’s compliance report at the time I drafted the PIP,</w:t>
      </w:r>
      <w:r>
        <w:rPr>
          <w:color w:val="000000"/>
        </w:rPr>
        <w:t xml:space="preserve">”</w:t>
      </w:r>
      <w:r>
        <w:rPr>
          <w:color w:val="000000"/>
        </w:rPr>
        <w:t xml:space="preserve"> </w:t>
      </w:r>
      <w:r>
        <w:rPr>
          <w:color w:val="000000"/>
        </w:rPr>
        <w:t xml:space="preserve">then conceded that he learned of it from Hargrove’s email thirteen days before the PIP. PSAF ¶ 26. A jury that disbelieves an interested witness on one point may disbelieve him on others.</w:t>
      </w:r>
      <w:r>
        <w:rPr>
          <w:color w:val="000000"/>
        </w:rPr>
        <w:t xml:space="preserve"> </w:t>
      </w:r>
      <w:r>
        <w:rPr>
          <w:i/>
          <w:iCs/>
          <w:color w:val="000000"/>
        </w:rPr>
        <w:t xml:space="preserve">See Reeves</w:t>
      </w:r>
      <w:r>
        <w:rPr>
          <w:color w:val="000000"/>
        </w:rPr>
        <w:t xml:space="preserve">, 530 U.S. at 147, 151.</w:t>
      </w:r>
    </w:p>
    <w:bookmarkEnd w:id="33"/>
    <w:bookmarkStart w:id="34" w:name="X5c0487664abb87c759fc36315ab714bc28a3635"/>
    <w:p>
      <w:pPr>
        <w:pStyle w:val="Heading3"/>
      </w:pPr>
      <w:r>
        <w:rPr>
          <w:color w:val="000000"/>
        </w:rPr>
        <w:t xml:space="preserve">3. Even apart from Caldwell’s own knowledge, Hargrove’s animus is attributable to the Bank.</w:t>
      </w:r>
    </w:p>
    <w:p>
      <w:pPr>
        <w:pStyle w:val="FirstParagraph"/>
      </w:pPr>
      <w:r>
        <w:rPr>
          <w:color w:val="000000"/>
        </w:rPr>
        <w:t xml:space="preserve">Caldwell’s</w:t>
      </w:r>
      <w:r>
        <w:rPr>
          <w:color w:val="000000"/>
        </w:rPr>
        <w:t xml:space="preserve"> </w:t>
      </w:r>
      <w:r>
        <w:rPr>
          <w:color w:val="000000"/>
        </w:rPr>
        <w:t xml:space="preserve">“</w:t>
      </w:r>
      <w:r>
        <w:rPr>
          <w:color w:val="000000"/>
        </w:rPr>
        <w:t xml:space="preserve">Let me handle this</w:t>
      </w:r>
      <w:r>
        <w:rPr>
          <w:color w:val="000000"/>
        </w:rPr>
        <w:t xml:space="preserve">”</w:t>
      </w:r>
      <w:r>
        <w:rPr>
          <w:color w:val="000000"/>
        </w:rPr>
        <w:t xml:space="preserve"> </w:t>
      </w:r>
      <w:r>
        <w:rPr>
          <w:color w:val="000000"/>
        </w:rPr>
        <w:t xml:space="preserve">reply, his conversation with Hargrove about the termination, Hargrove’s</w:t>
      </w:r>
      <w:r>
        <w:rPr>
          <w:color w:val="000000"/>
        </w:rPr>
        <w:t xml:space="preserve"> </w:t>
      </w:r>
      <w:r>
        <w:rPr>
          <w:color w:val="000000"/>
        </w:rPr>
        <w:t xml:space="preserve">“</w:t>
      </w:r>
      <w:r>
        <w:rPr>
          <w:color w:val="000000"/>
        </w:rPr>
        <w:t xml:space="preserve">generally supportive</w:t>
      </w:r>
      <w:r>
        <w:rPr>
          <w:color w:val="000000"/>
        </w:rPr>
        <w:t xml:space="preserve">”</w:t>
      </w:r>
      <w:r>
        <w:rPr>
          <w:color w:val="000000"/>
        </w:rPr>
        <w:t xml:space="preserve"> </w:t>
      </w:r>
      <w:r>
        <w:rPr>
          <w:color w:val="000000"/>
        </w:rPr>
        <w:t xml:space="preserve">position, and the copy of the termination letter sent to Hargrove would each allow a jury to find that Hargrove’s intent to</w:t>
      </w:r>
      <w:r>
        <w:rPr>
          <w:color w:val="000000"/>
        </w:rPr>
        <w:t xml:space="preserve"> </w:t>
      </w:r>
      <w:r>
        <w:rPr>
          <w:color w:val="000000"/>
        </w:rPr>
        <w:t xml:space="preserve">“</w:t>
      </w:r>
      <w:r>
        <w:rPr>
          <w:color w:val="000000"/>
        </w:rPr>
        <w:t xml:space="preserve">identify the source and contain this</w:t>
      </w:r>
      <w:r>
        <w:rPr>
          <w:color w:val="000000"/>
        </w:rPr>
        <w:t xml:space="preserve">”</w:t>
      </w:r>
      <w:r>
        <w:rPr>
          <w:color w:val="000000"/>
        </w:rPr>
        <w:t xml:space="preserve"> </w:t>
      </w:r>
      <w:r>
        <w:rPr>
          <w:color w:val="000000"/>
        </w:rPr>
        <w:t xml:space="preserve">helped produce the PIP and the termination. PSAF ¶¶ 22–23, 47. Under settled agency principles, an employer is liable when a biased official</w:t>
      </w:r>
      <w:r>
        <w:rPr>
          <w:color w:val="000000"/>
        </w:rPr>
        <w:t xml:space="preserve"> </w:t>
      </w:r>
      <w:r>
        <w:rPr>
          <w:color w:val="000000"/>
        </w:rPr>
        <w:t xml:space="preserve">“</w:t>
      </w:r>
      <w:r>
        <w:rPr>
          <w:color w:val="000000"/>
        </w:rPr>
        <w:t xml:space="preserve">performs an act motivated by [retaliatory] animus that is intended by the supervisor to cause an adverse employment action,</w:t>
      </w:r>
      <w:r>
        <w:rPr>
          <w:color w:val="000000"/>
        </w:rPr>
        <w:t xml:space="preserve">”</w:t>
      </w:r>
      <w:r>
        <w:rPr>
          <w:color w:val="000000"/>
        </w:rPr>
        <w:t xml:space="preserve"> </w:t>
      </w:r>
      <w:r>
        <w:rPr>
          <w:color w:val="000000"/>
        </w:rPr>
        <w:t xml:space="preserve">and that act is a proximate cause of the adverse action, even if another official formally makes the decision.</w:t>
      </w:r>
      <w:r>
        <w:rPr>
          <w:color w:val="000000"/>
        </w:rPr>
        <w:t xml:space="preserve"> </w:t>
      </w:r>
      <w:r>
        <w:rPr>
          <w:i/>
          <w:iCs/>
          <w:color w:val="000000"/>
        </w:rPr>
        <w:t xml:space="preserve">Staub v. Proctor Hosp.</w:t>
      </w:r>
      <w:r>
        <w:rPr>
          <w:color w:val="000000"/>
        </w:rPr>
        <w:t xml:space="preserve">, 562 U.S. 411, 419–22 (2011). The Bank invoked privilege to keep Caldwell from saying whether Ms. Vasquez’s compliance report came up in his termination discussions with Hargrove. PSAF ¶ 47. Having done so, the Bank cannot now ask the Court to find as a matter of law that those discussions had nothing to do with it.</w:t>
      </w:r>
    </w:p>
    <w:bookmarkEnd w:id="34"/>
    <w:bookmarkStart w:id="36" w:name="X36d364ec78b30c4bc645b607c9e0954c51afd3f"/>
    <w:p>
      <w:pPr>
        <w:pStyle w:val="Heading3"/>
      </w:pPr>
      <w:r>
        <w:rPr>
          <w:color w:val="000000"/>
        </w:rPr>
        <w:t xml:space="preserve">4. The remaining elements are not seriously contested and are satisfied.</w:t>
      </w:r>
    </w:p>
    <w:p>
      <w:pPr>
        <w:pStyle w:val="FirstParagraph"/>
      </w:pPr>
      <w:r>
        <w:rPr>
          <w:color w:val="000000"/>
        </w:rPr>
        <w:t xml:space="preserve">The Bank does not dispute that the FinCEN report is protected activity or that termination is an adverse action. Causation is readily inferred. The PIP came 13 days after Hargrove named Ms. Vasquez to Caldwell, and the termination came 52 days after that email and 99 days after the FinCEN report. PSAF ¶¶ 20–23. The Tenth Circuit has recognized that an adverse action</w:t>
      </w:r>
      <w:r>
        <w:rPr>
          <w:color w:val="000000"/>
        </w:rPr>
        <w:t xml:space="preserve"> </w:t>
      </w:r>
      <w:r>
        <w:rPr>
          <w:color w:val="000000"/>
        </w:rPr>
        <w:t xml:space="preserve">“</w:t>
      </w:r>
      <w:r>
        <w:rPr>
          <w:color w:val="000000"/>
        </w:rPr>
        <w:t xml:space="preserve">very closely</w:t>
      </w:r>
      <w:r>
        <w:rPr>
          <w:color w:val="000000"/>
        </w:rPr>
        <w:t xml:space="preserve">”</w:t>
      </w:r>
      <w:r>
        <w:rPr>
          <w:color w:val="000000"/>
        </w:rPr>
        <w:t xml:space="preserve"> </w:t>
      </w:r>
      <w:r>
        <w:rPr>
          <w:color w:val="000000"/>
        </w:rPr>
        <w:t xml:space="preserve">following protected activity may by itself support an inference of causation. It has held that a gap of about six weeks suffices, while longer gaps require additional evidence.</w:t>
      </w:r>
      <w:r>
        <w:rPr>
          <w:color w:val="000000"/>
        </w:rPr>
        <w:t xml:space="preserve"> </w:t>
      </w:r>
      <w:r>
        <w:rPr>
          <w:i/>
          <w:iCs/>
          <w:color w:val="000000"/>
        </w:rPr>
        <w:t xml:space="preserve">Anderson v. Coors Brewing Co.</w:t>
      </w:r>
      <w:r>
        <w:rPr>
          <w:color w:val="000000"/>
        </w:rPr>
        <w:t xml:space="preserve">, 181 F.3d 1171, 1179 (10th Cir. 1999). Here the timing is measured in days from the moment the Bank identified Ms. Vasquez as the source, and it is backed by the additional evidence described in Part V.B below.</w:t>
      </w:r>
      <w:r>
        <w:rPr>
          <w:color w:val="000000"/>
        </w:rPr>
        <w:t xml:space="preserve"> </w:t>
      </w:r>
      <w:r>
        <w:rPr>
          <w:i/>
          <w:iCs/>
          <w:color w:val="000000"/>
        </w:rPr>
        <w:t xml:space="preserve">See Metzler v. Fed. Home Loan Bank of Topeka</w:t>
      </w:r>
      <w:r>
        <w:rPr>
          <w:color w:val="000000"/>
        </w:rPr>
        <w:t xml:space="preserve">, 464 F.3d 1164, 1171–72 (10th Cir. 2006) (temporal proximity combined with other evidence of retaliatory motive supports causation).</w:t>
      </w:r>
      <w:r>
        <w:rPr>
          <w:rStyle w:val="FootnoteReference"/>
          <w:color w:val="000000"/>
        </w:rPr>
        <w:footnoteReference w:id="35"/>
      </w:r>
    </w:p>
    <w:bookmarkEnd w:id="36"/>
    <w:bookmarkEnd w:id="37"/>
    <w:bookmarkStart w:id="43" w:name="X3d098176f4eb55ea84d599b238142dfa5e8b95e"/>
    <w:p>
      <w:pPr>
        <w:pStyle w:val="Heading2"/>
      </w:pPr>
      <w:r>
        <w:rPr>
          <w:color w:val="000000"/>
        </w:rPr>
        <w:t xml:space="preserve">B. The Record Is Replete with Evidence of Pretext (Count I).</w:t>
      </w:r>
    </w:p>
    <w:p>
      <w:pPr>
        <w:pStyle w:val="FirstParagraph"/>
      </w:pPr>
      <w:r>
        <w:rPr>
          <w:color w:val="000000"/>
        </w:rPr>
        <w:t xml:space="preserve">Even under</w:t>
      </w:r>
      <w:r>
        <w:rPr>
          <w:color w:val="000000"/>
        </w:rPr>
        <w:t xml:space="preserve"> </w:t>
      </w:r>
      <w:r>
        <w:rPr>
          <w:i/>
          <w:iCs/>
          <w:color w:val="000000"/>
        </w:rPr>
        <w:t xml:space="preserve">McDonnell Douglas</w:t>
      </w:r>
      <w:r>
        <w:rPr>
          <w:color w:val="000000"/>
        </w:rPr>
        <w:t xml:space="preserve">, a plaintiff defeats summary judgment by showing</w:t>
      </w:r>
      <w:r>
        <w:rPr>
          <w:color w:val="000000"/>
        </w:rPr>
        <w:t xml:space="preserve"> </w:t>
      </w:r>
      <w:r>
        <w:rPr>
          <w:color w:val="000000"/>
        </w:rPr>
        <w:t xml:space="preserve">“</w:t>
      </w:r>
      <w:r>
        <w:rPr>
          <w:color w:val="000000"/>
        </w:rPr>
        <w:t xml:space="preserve">such weaknesses, implausibilities, inconsistencies, incoherencies, or contradictions in the employer’s proffered legitimate reasons for its action that a reasonable factfinder could rationally find them unworthy of credence.</w:t>
      </w:r>
      <w:r>
        <w:rPr>
          <w:color w:val="000000"/>
        </w:rPr>
        <w:t xml:space="preserve">”</w:t>
      </w:r>
      <w:r>
        <w:rPr>
          <w:color w:val="000000"/>
        </w:rPr>
        <w:t xml:space="preserve"> </w:t>
      </w:r>
      <w:r>
        <w:rPr>
          <w:i/>
          <w:iCs/>
          <w:color w:val="000000"/>
        </w:rPr>
        <w:t xml:space="preserve">Argo v. Blue Cross &amp; Blue Shield of Kan., Inc.</w:t>
      </w:r>
      <w:r>
        <w:rPr>
          <w:color w:val="000000"/>
        </w:rPr>
        <w:t xml:space="preserve">, 452 F.3d 1193, 1203 (10th Cir. 2006) (cited at Br. 17). Pretext may be shown with evidence that the stated reason was false, that the employer acted contrary to its own written policy, or that similarly situated employees were treated differently.</w:t>
      </w:r>
      <w:r>
        <w:rPr>
          <w:color w:val="000000"/>
        </w:rPr>
        <w:t xml:space="preserve"> </w:t>
      </w:r>
      <w:r>
        <w:rPr>
          <w:i/>
          <w:iCs/>
          <w:color w:val="000000"/>
        </w:rPr>
        <w:t xml:space="preserve">Kendrick v. Penske Transp. Servs., Inc.</w:t>
      </w:r>
      <w:r>
        <w:rPr>
          <w:color w:val="000000"/>
        </w:rPr>
        <w:t xml:space="preserve">, 220 F.3d 1220, 1230 (10th Cir. 2000). Shifting or inconsistent explanations are also evidence of pretext.</w:t>
      </w:r>
      <w:r>
        <w:rPr>
          <w:color w:val="000000"/>
        </w:rPr>
        <w:t xml:space="preserve"> </w:t>
      </w:r>
      <w:r>
        <w:rPr>
          <w:i/>
          <w:iCs/>
          <w:color w:val="000000"/>
        </w:rPr>
        <w:t xml:space="preserve">Jaramillo v. Colo. Judicial Dep’t</w:t>
      </w:r>
      <w:r>
        <w:rPr>
          <w:color w:val="000000"/>
        </w:rPr>
        <w:t xml:space="preserve">, 427 F.3d 1303, 1308–10 (10th Cir. 2005). The record contains every one of these forms of evidence.</w:t>
      </w:r>
    </w:p>
    <w:bookmarkStart w:id="38" w:name="Xbe86db77d0626a4db68d97b8d3528d84475d625"/>
    <w:p>
      <w:pPr>
        <w:pStyle w:val="Heading3"/>
      </w:pPr>
      <w:r>
        <w:rPr>
          <w:color w:val="000000"/>
        </w:rPr>
        <w:t xml:space="preserve">1. Each of the three stated grounds for the PIP is contradicted by the Bank’s own records.</w:t>
      </w:r>
    </w:p>
    <w:p>
      <w:pPr>
        <w:pStyle w:val="FirstParagraph"/>
      </w:pPr>
      <w:r>
        <w:rPr>
          <w:b/>
          <w:bCs/>
          <w:color w:val="000000"/>
        </w:rPr>
        <w:t xml:space="preserve">1. The origination</w:t>
      </w:r>
      <w:r>
        <w:rPr>
          <w:b/>
          <w:bCs/>
          <w:color w:val="000000"/>
        </w:rPr>
        <w:t xml:space="preserve"> </w:t>
      </w:r>
      <w:r>
        <w:rPr>
          <w:b/>
          <w:bCs/>
          <w:color w:val="000000"/>
        </w:rPr>
        <w:t xml:space="preserve">“</w:t>
      </w:r>
      <w:r>
        <w:rPr>
          <w:b/>
          <w:bCs/>
          <w:color w:val="000000"/>
        </w:rPr>
        <w:t xml:space="preserve">shortfall</w:t>
      </w:r>
      <w:r>
        <w:rPr>
          <w:b/>
          <w:bCs/>
          <w:color w:val="000000"/>
        </w:rPr>
        <w:t xml:space="preserve">”</w:t>
      </w:r>
      <w:r>
        <w:rPr>
          <w:b/>
          <w:bCs/>
          <w:color w:val="000000"/>
        </w:rPr>
        <w:t xml:space="preserve"> </w:t>
      </w:r>
      <w:r>
        <w:rPr>
          <w:b/>
          <w:bCs/>
          <w:color w:val="000000"/>
        </w:rPr>
        <w:t xml:space="preserve">depends on a $15 million target that appears nowhere but the PIP.</w:t>
      </w:r>
      <w:r>
        <w:rPr>
          <w:color w:val="000000"/>
        </w:rPr>
        <w:t xml:space="preserve"> </w:t>
      </w:r>
      <w:r>
        <w:rPr>
          <w:color w:val="000000"/>
        </w:rPr>
        <w:t xml:space="preserve">The Bank’s brief repeats three times that Ms. Vasquez missed a $15 million Q2 target. Br. at 3, 15–16. The only written target is in the Business Plan that Caldwell signed on January 20, 2023: $10,000,000. PSAF ¶ 28. Ms. Vasquez originated $11.3 million and exceeded that target by 13%. PSAF ¶ 31. Asked when the target rose to $15 million, Caldwell said he</w:t>
      </w:r>
      <w:r>
        <w:rPr>
          <w:color w:val="000000"/>
        </w:rPr>
        <w:t xml:space="preserve"> </w:t>
      </w:r>
      <w:r>
        <w:rPr>
          <w:color w:val="000000"/>
        </w:rPr>
        <w:t xml:space="preserve">“</w:t>
      </w:r>
      <w:r>
        <w:rPr>
          <w:color w:val="000000"/>
        </w:rPr>
        <w:t xml:space="preserve">believe[d]</w:t>
      </w:r>
      <w:r>
        <w:rPr>
          <w:color w:val="000000"/>
        </w:rPr>
        <w:t xml:space="preserve">”</w:t>
      </w:r>
      <w:r>
        <w:rPr>
          <w:color w:val="000000"/>
        </w:rPr>
        <w:t xml:space="preserve"> </w:t>
      </w:r>
      <w:r>
        <w:rPr>
          <w:color w:val="000000"/>
        </w:rPr>
        <w:t xml:space="preserve">there was a conversation</w:t>
      </w:r>
      <w:r>
        <w:rPr>
          <w:color w:val="000000"/>
        </w:rPr>
        <w:t xml:space="preserve"> </w:t>
      </w:r>
      <w:r>
        <w:rPr>
          <w:color w:val="000000"/>
        </w:rPr>
        <w:t xml:space="preserve">“</w:t>
      </w:r>
      <w:r>
        <w:rPr>
          <w:color w:val="000000"/>
        </w:rPr>
        <w:t xml:space="preserve">sometime in the spring</w:t>
      </w:r>
      <w:r>
        <w:rPr>
          <w:color w:val="000000"/>
        </w:rPr>
        <w:t xml:space="preserve">”</w:t>
      </w:r>
      <w:r>
        <w:rPr>
          <w:color w:val="000000"/>
        </w:rPr>
        <w:t xml:space="preserve"> </w:t>
      </w:r>
      <w:r>
        <w:rPr>
          <w:color w:val="000000"/>
        </w:rPr>
        <w:t xml:space="preserve">with someone he thought was Ms. Vasquez but was</w:t>
      </w:r>
      <w:r>
        <w:rPr>
          <w:color w:val="000000"/>
        </w:rPr>
        <w:t xml:space="preserve"> </w:t>
      </w:r>
      <w:r>
        <w:rPr>
          <w:color w:val="000000"/>
        </w:rPr>
        <w:t xml:space="preserve">“</w:t>
      </w:r>
      <w:r>
        <w:rPr>
          <w:color w:val="000000"/>
        </w:rPr>
        <w:t xml:space="preserve">not entirely certain.</w:t>
      </w:r>
      <w:r>
        <w:rPr>
          <w:color w:val="000000"/>
        </w:rPr>
        <w:t xml:space="preserve">”</w:t>
      </w:r>
      <w:r>
        <w:rPr>
          <w:color w:val="000000"/>
        </w:rPr>
        <w:t xml:space="preserve"> </w:t>
      </w:r>
      <w:r>
        <w:rPr>
          <w:color w:val="000000"/>
        </w:rPr>
        <w:t xml:space="preserve">He conceded that no email, memorandum, or amendment reflects it. PSAF ¶ 30. Bank policy forbids exactly this:</w:t>
      </w:r>
      <w:r>
        <w:rPr>
          <w:color w:val="000000"/>
        </w:rPr>
        <w:t xml:space="preserve"> </w:t>
      </w:r>
      <w:r>
        <w:rPr>
          <w:color w:val="000000"/>
        </w:rPr>
        <w:t xml:space="preserve">“</w:t>
      </w:r>
      <w:r>
        <w:rPr>
          <w:color w:val="000000"/>
        </w:rPr>
        <w:t xml:space="preserve">[u]nder no circumstances should a PIP introduce performance standards or targets that were not previously communicated to the employee in writing.</w:t>
      </w:r>
      <w:r>
        <w:rPr>
          <w:color w:val="000000"/>
        </w:rPr>
        <w:t xml:space="preserve">”</w:t>
      </w:r>
      <w:r>
        <w:rPr>
          <w:color w:val="000000"/>
        </w:rPr>
        <w:t xml:space="preserve"> </w:t>
      </w:r>
      <w:r>
        <w:rPr>
          <w:color w:val="000000"/>
        </w:rPr>
        <w:t xml:space="preserve">PSAF ¶ 43. A jury could readily find that the target was invented after the fact so that a quarter in which she beat her target could be recast as a failure. That finding alone would be enough to defeat summary judgment.</w:t>
      </w:r>
      <w:r>
        <w:rPr>
          <w:color w:val="000000"/>
        </w:rPr>
        <w:t xml:space="preserve"> </w:t>
      </w:r>
      <w:r>
        <w:rPr>
          <w:i/>
          <w:iCs/>
          <w:color w:val="000000"/>
        </w:rPr>
        <w:t xml:space="preserve">Reeves</w:t>
      </w:r>
      <w:r>
        <w:rPr>
          <w:color w:val="000000"/>
        </w:rPr>
        <w:t xml:space="preserve">, 530 U.S. at 147–48.</w:t>
      </w:r>
    </w:p>
    <w:p>
      <w:pPr>
        <w:pStyle w:val="BodyText"/>
      </w:pPr>
      <w:r>
        <w:rPr>
          <w:b/>
          <w:bCs/>
          <w:color w:val="000000"/>
        </w:rPr>
        <w:t xml:space="preserve">2. The</w:t>
      </w:r>
      <w:r>
        <w:rPr>
          <w:b/>
          <w:bCs/>
          <w:color w:val="000000"/>
        </w:rPr>
        <w:t xml:space="preserve"> </w:t>
      </w:r>
      <w:r>
        <w:rPr>
          <w:b/>
          <w:bCs/>
          <w:color w:val="000000"/>
        </w:rPr>
        <w:t xml:space="preserve">“</w:t>
      </w:r>
      <w:r>
        <w:rPr>
          <w:b/>
          <w:bCs/>
          <w:color w:val="000000"/>
        </w:rPr>
        <w:t xml:space="preserve">documentation deficiencies</w:t>
      </w:r>
      <w:r>
        <w:rPr>
          <w:b/>
          <w:bCs/>
          <w:color w:val="000000"/>
        </w:rPr>
        <w:t xml:space="preserve">”</w:t>
      </w:r>
      <w:r>
        <w:rPr>
          <w:b/>
          <w:bCs/>
          <w:color w:val="000000"/>
        </w:rPr>
        <w:t xml:space="preserve"> </w:t>
      </w:r>
      <w:r>
        <w:rPr>
          <w:b/>
          <w:bCs/>
          <w:color w:val="000000"/>
        </w:rPr>
        <w:t xml:space="preserve">were rated</w:t>
      </w:r>
      <w:r>
        <w:rPr>
          <w:b/>
          <w:bCs/>
          <w:color w:val="000000"/>
        </w:rPr>
        <w:t xml:space="preserve"> </w:t>
      </w:r>
      <w:r>
        <w:rPr>
          <w:b/>
          <w:bCs/>
          <w:color w:val="000000"/>
        </w:rPr>
        <w:t xml:space="preserve">“</w:t>
      </w:r>
      <w:r>
        <w:rPr>
          <w:b/>
          <w:bCs/>
          <w:color w:val="000000"/>
        </w:rPr>
        <w:t xml:space="preserve">Satisfactory</w:t>
      </w:r>
      <w:r>
        <w:rPr>
          <w:b/>
          <w:bCs/>
          <w:color w:val="000000"/>
        </w:rPr>
        <w:t xml:space="preserve">”</w:t>
      </w:r>
      <w:r>
        <w:rPr>
          <w:b/>
          <w:bCs/>
          <w:color w:val="000000"/>
        </w:rPr>
        <w:t xml:space="preserve"> </w:t>
      </w:r>
      <w:r>
        <w:rPr>
          <w:b/>
          <w:bCs/>
          <w:color w:val="000000"/>
        </w:rPr>
        <w:t xml:space="preserve">by Internal Audit.</w:t>
      </w:r>
      <w:r>
        <w:rPr>
          <w:color w:val="000000"/>
        </w:rPr>
        <w:t xml:space="preserve"> </w:t>
      </w:r>
      <w:r>
        <w:rPr>
          <w:color w:val="000000"/>
        </w:rPr>
        <w:t xml:space="preserve">Three months before the PIP, the Bank’s Internal Audit Department examined the same three files the PIP cites (Thornburg, Westlake, and Meridian) and rated each</w:t>
      </w:r>
      <w:r>
        <w:rPr>
          <w:color w:val="000000"/>
        </w:rPr>
        <w:t xml:space="preserve"> </w:t>
      </w:r>
      <w:r>
        <w:rPr>
          <w:color w:val="000000"/>
        </w:rPr>
        <w:t xml:space="preserve">“</w:t>
      </w:r>
      <w:r>
        <w:rPr>
          <w:color w:val="000000"/>
        </w:rPr>
        <w:t xml:space="preserve">Satisfactory,</w:t>
      </w:r>
      <w:r>
        <w:rPr>
          <w:color w:val="000000"/>
        </w:rPr>
        <w:t xml:space="preserve">”</w:t>
      </w:r>
      <w:r>
        <w:rPr>
          <w:color w:val="000000"/>
        </w:rPr>
        <w:t xml:space="preserve"> </w:t>
      </w:r>
      <w:r>
        <w:rPr>
          <w:color w:val="000000"/>
        </w:rPr>
        <w:t xml:space="preserve">with</w:t>
      </w:r>
      <w:r>
        <w:rPr>
          <w:color w:val="000000"/>
        </w:rPr>
        <w:t xml:space="preserve"> </w:t>
      </w:r>
      <w:r>
        <w:rPr>
          <w:color w:val="000000"/>
        </w:rPr>
        <w:t xml:space="preserve">“</w:t>
      </w:r>
      <w:r>
        <w:rPr>
          <w:color w:val="000000"/>
        </w:rPr>
        <w:t xml:space="preserve">[n]o corrective action recommended.</w:t>
      </w:r>
      <w:r>
        <w:rPr>
          <w:color w:val="000000"/>
        </w:rPr>
        <w:t xml:space="preserve">”</w:t>
      </w:r>
      <w:r>
        <w:rPr>
          <w:color w:val="000000"/>
        </w:rPr>
        <w:t xml:space="preserve"> </w:t>
      </w:r>
      <w:r>
        <w:rPr>
          <w:color w:val="000000"/>
        </w:rPr>
        <w:t xml:space="preserve">It described Meridian as</w:t>
      </w:r>
      <w:r>
        <w:rPr>
          <w:color w:val="000000"/>
        </w:rPr>
        <w:t xml:space="preserve"> </w:t>
      </w:r>
      <w:r>
        <w:rPr>
          <w:color w:val="000000"/>
        </w:rPr>
        <w:t xml:space="preserve">“</w:t>
      </w:r>
      <w:r>
        <w:rPr>
          <w:color w:val="000000"/>
        </w:rPr>
        <w:t xml:space="preserve">thorough and well-maintained.</w:t>
      </w:r>
      <w:r>
        <w:rPr>
          <w:color w:val="000000"/>
        </w:rPr>
        <w:t xml:space="preserve">”</w:t>
      </w:r>
      <w:r>
        <w:rPr>
          <w:color w:val="000000"/>
        </w:rPr>
        <w:t xml:space="preserve"> </w:t>
      </w:r>
      <w:r>
        <w:rPr>
          <w:color w:val="000000"/>
        </w:rPr>
        <w:t xml:space="preserve">It also noted that no audit had ever found a corrective-action item in any file Ms. Vasquez managed. PSAF ¶ 32. Caldwell received that report. Against it, the Bank offers only Caldwell’s undocumented</w:t>
      </w:r>
      <w:r>
        <w:rPr>
          <w:color w:val="000000"/>
        </w:rPr>
        <w:t xml:space="preserve"> </w:t>
      </w:r>
      <w:r>
        <w:rPr>
          <w:color w:val="000000"/>
        </w:rPr>
        <w:t xml:space="preserve">“</w:t>
      </w:r>
      <w:r>
        <w:rPr>
          <w:color w:val="000000"/>
        </w:rPr>
        <w:t xml:space="preserve">own review.</w:t>
      </w:r>
      <w:r>
        <w:rPr>
          <w:color w:val="000000"/>
        </w:rPr>
        <w:t xml:space="preserve">”</w:t>
      </w:r>
      <w:r>
        <w:rPr>
          <w:color w:val="000000"/>
        </w:rPr>
        <w:t xml:space="preserve"> </w:t>
      </w:r>
      <w:r>
        <w:rPr>
          <w:color w:val="000000"/>
        </w:rPr>
        <w:t xml:space="preserve">He cannot date it, made no notes of it, never mentioned it to Ms. Vasquez or to Internal Audit, and cannot identify one specific missing document from any of the three files. PSAF ¶ 33. The Bank has described the supposed deficiencies in four different ways in the PIP, the SUMF, its brief, and Caldwell’s testimony. PSAF ¶ 33. The PIP even lists account numbers and borrower names that do not match the Bank’s audit records for those relationships. PSAF ¶ 34. An explanation that changes each time it is given, and that the employer’s own auditors contradict, is classic evidence of pretext.</w:t>
      </w:r>
      <w:r>
        <w:rPr>
          <w:color w:val="000000"/>
        </w:rPr>
        <w:t xml:space="preserve"> </w:t>
      </w:r>
      <w:r>
        <w:rPr>
          <w:i/>
          <w:iCs/>
          <w:color w:val="000000"/>
        </w:rPr>
        <w:t xml:space="preserve">Jaramillo</w:t>
      </w:r>
      <w:r>
        <w:rPr>
          <w:color w:val="000000"/>
        </w:rPr>
        <w:t xml:space="preserve">, 427 F.3d at 1308–10.</w:t>
      </w:r>
    </w:p>
    <w:p>
      <w:pPr>
        <w:pStyle w:val="BodyText"/>
      </w:pPr>
      <w:r>
        <w:rPr>
          <w:b/>
          <w:bCs/>
          <w:color w:val="000000"/>
        </w:rPr>
        <w:t xml:space="preserve">3. One</w:t>
      </w:r>
      <w:r>
        <w:rPr>
          <w:b/>
          <w:bCs/>
          <w:color w:val="000000"/>
        </w:rPr>
        <w:t xml:space="preserve"> </w:t>
      </w:r>
      <w:r>
        <w:rPr>
          <w:b/>
          <w:bCs/>
          <w:color w:val="000000"/>
        </w:rPr>
        <w:t xml:space="preserve">“</w:t>
      </w:r>
      <w:r>
        <w:rPr>
          <w:b/>
          <w:bCs/>
          <w:color w:val="000000"/>
        </w:rPr>
        <w:t xml:space="preserve">client complaint</w:t>
      </w:r>
      <w:r>
        <w:rPr>
          <w:b/>
          <w:bCs/>
          <w:color w:val="000000"/>
        </w:rPr>
        <w:t xml:space="preserve">”</w:t>
      </w:r>
      <w:r>
        <w:rPr>
          <w:b/>
          <w:bCs/>
          <w:color w:val="000000"/>
        </w:rPr>
        <w:t xml:space="preserve"> </w:t>
      </w:r>
      <w:r>
        <w:rPr>
          <w:b/>
          <w:bCs/>
          <w:color w:val="000000"/>
        </w:rPr>
        <w:t xml:space="preserve">was never made, and the other came from the target of Ms. Vasquez’s money-laundering report.</w:t>
      </w:r>
      <w:r>
        <w:rPr>
          <w:color w:val="000000"/>
        </w:rPr>
        <w:t xml:space="preserve"> </w:t>
      </w:r>
      <w:r>
        <w:rPr>
          <w:color w:val="000000"/>
        </w:rPr>
        <w:t xml:space="preserve">Jeffrey Thornburg swears that he never complained, that no one from the Bank ever asked him about any complaint, and that Ms. Vasquez was</w:t>
      </w:r>
      <w:r>
        <w:rPr>
          <w:color w:val="000000"/>
        </w:rPr>
        <w:t xml:space="preserve"> </w:t>
      </w:r>
      <w:r>
        <w:rPr>
          <w:color w:val="000000"/>
        </w:rPr>
        <w:t xml:space="preserve">“</w:t>
      </w:r>
      <w:r>
        <w:rPr>
          <w:color w:val="000000"/>
        </w:rPr>
        <w:t xml:space="preserve">consistently highly responsive.</w:t>
      </w:r>
      <w:r>
        <w:rPr>
          <w:color w:val="000000"/>
        </w:rPr>
        <w:t xml:space="preserve">”</w:t>
      </w:r>
      <w:r>
        <w:rPr>
          <w:color w:val="000000"/>
        </w:rPr>
        <w:t xml:space="preserve"> </w:t>
      </w:r>
      <w:r>
        <w:rPr>
          <w:color w:val="000000"/>
        </w:rPr>
        <w:t xml:space="preserve">PSAF ¶ 37. Caldwell cannot say who told him otherwise and cannot produce a record of it. PSAF ¶ 38. The other complaint came from Raymond Sellars, the principal of Orion Gateway, the very entity Ms. Vasquez had reported for suspected money laundering. Orion Gateway was not her client, so she had no reason to be returning its calls. PSAF ¶¶ 35–36. A jury could reasonably conclude that the Bank built its case against a whistleblower in part on a complaint from the subject of her report. That fact is itself evidence of retaliatory motive, and the Bank’s reliance on it without investigation is evidence of pretext.</w:t>
      </w:r>
    </w:p>
    <w:bookmarkEnd w:id="38"/>
    <w:bookmarkStart w:id="39" w:name="Xcffef6d3043e6bdabd4ec043b0e5714db51daca"/>
    <w:p>
      <w:pPr>
        <w:pStyle w:val="Heading3"/>
      </w:pPr>
      <w:r>
        <w:rPr>
          <w:color w:val="000000"/>
        </w:rPr>
        <w:t xml:space="preserve">2. The PIP was an abrupt reversal of an eleven-year record.</w:t>
      </w:r>
    </w:p>
    <w:p>
      <w:pPr>
        <w:pStyle w:val="FirstParagraph"/>
      </w:pPr>
      <w:r>
        <w:rPr>
          <w:color w:val="000000"/>
        </w:rPr>
        <w:t xml:space="preserve">Six months before the PIP, Caldwell called Ms. Vasquez</w:t>
      </w:r>
      <w:r>
        <w:rPr>
          <w:color w:val="000000"/>
        </w:rPr>
        <w:t xml:space="preserve"> </w:t>
      </w:r>
      <w:r>
        <w:rPr>
          <w:color w:val="000000"/>
        </w:rPr>
        <w:t xml:space="preserve">“</w:t>
      </w:r>
      <w:r>
        <w:rPr>
          <w:color w:val="000000"/>
        </w:rPr>
        <w:t xml:space="preserve">one of our highest-performing SVPs,</w:t>
      </w:r>
      <w:r>
        <w:rPr>
          <w:color w:val="000000"/>
        </w:rPr>
        <w:t xml:space="preserve">”</w:t>
      </w:r>
      <w:r>
        <w:rPr>
          <w:color w:val="000000"/>
        </w:rPr>
        <w:t xml:space="preserve"> </w:t>
      </w:r>
      <w:r>
        <w:rPr>
          <w:color w:val="000000"/>
        </w:rPr>
        <w:t xml:space="preserve">praised the exact competencies the PIP later faulted (documentation, responsiveness, and origination), and recommended her for executive-level advancement. PSAF ¶¶ 2–4. As of February 10, 2023, he had no concerns. PSAF ¶ 5. Asked what changed, he could only say</w:t>
      </w:r>
      <w:r>
        <w:rPr>
          <w:color w:val="000000"/>
        </w:rPr>
        <w:t xml:space="preserve"> </w:t>
      </w:r>
      <w:r>
        <w:rPr>
          <w:color w:val="000000"/>
        </w:rPr>
        <w:t xml:space="preserve">“</w:t>
      </w:r>
      <w:r>
        <w:rPr>
          <w:color w:val="000000"/>
        </w:rPr>
        <w:t xml:space="preserve">[t]he ones documented in the PIP,</w:t>
      </w:r>
      <w:r>
        <w:rPr>
          <w:color w:val="000000"/>
        </w:rPr>
        <w:t xml:space="preserve">”</w:t>
      </w:r>
      <w:r>
        <w:rPr>
          <w:color w:val="000000"/>
        </w:rPr>
        <w:t xml:space="preserve"> </w:t>
      </w:r>
      <w:r>
        <w:rPr>
          <w:color w:val="000000"/>
        </w:rPr>
        <w:t xml:space="preserve">arising</w:t>
      </w:r>
      <w:r>
        <w:rPr>
          <w:color w:val="000000"/>
        </w:rPr>
        <w:t xml:space="preserve"> </w:t>
      </w:r>
      <w:r>
        <w:rPr>
          <w:color w:val="000000"/>
        </w:rPr>
        <w:t xml:space="preserve">“</w:t>
      </w:r>
      <w:r>
        <w:rPr>
          <w:color w:val="000000"/>
        </w:rPr>
        <w:t xml:space="preserve">sometime in the summer of 2023.</w:t>
      </w:r>
      <w:r>
        <w:rPr>
          <w:color w:val="000000"/>
        </w:rPr>
        <w:t xml:space="preserve">”</w:t>
      </w:r>
      <w:r>
        <w:rPr>
          <w:color w:val="000000"/>
        </w:rPr>
        <w:t xml:space="preserve"> </w:t>
      </w:r>
      <w:r>
        <w:rPr>
          <w:color w:val="000000"/>
        </w:rPr>
        <w:t xml:space="preserve">PSAF ¶ 27; Ex. 1 at 24–25. The Chief Compliance Officer, asked the same question, answered:</w:t>
      </w:r>
      <w:r>
        <w:rPr>
          <w:color w:val="000000"/>
        </w:rPr>
        <w:t xml:space="preserve"> </w:t>
      </w:r>
      <w:r>
        <w:rPr>
          <w:color w:val="000000"/>
        </w:rPr>
        <w:t xml:space="preserve">“</w:t>
      </w:r>
      <w:r>
        <w:rPr>
          <w:color w:val="000000"/>
        </w:rPr>
        <w:t xml:space="preserve">The Orion Gateway matter.</w:t>
      </w:r>
      <w:r>
        <w:rPr>
          <w:color w:val="000000"/>
        </w:rPr>
        <w:t xml:space="preserve">”</w:t>
      </w:r>
      <w:r>
        <w:rPr>
          <w:color w:val="000000"/>
        </w:rPr>
        <w:t xml:space="preserve"> </w:t>
      </w:r>
      <w:r>
        <w:rPr>
          <w:color w:val="000000"/>
        </w:rPr>
        <w:t xml:space="preserve">Ex. 2 at 169–178. A sudden decline in a long-tenured employee’s evaluations immediately after protected activity is well recognized as circumstantial evidence of pretext, and a jury is entitled to weigh it here.</w:t>
      </w:r>
    </w:p>
    <w:p>
      <w:pPr>
        <w:pStyle w:val="BodyText"/>
      </w:pPr>
      <w:r>
        <w:rPr>
          <w:color w:val="000000"/>
        </w:rPr>
        <w:t xml:space="preserve">The Bank’s claim that Caldwell began identifying deficiencies</w:t>
      </w:r>
      <w:r>
        <w:rPr>
          <w:color w:val="000000"/>
        </w:rPr>
        <w:t xml:space="preserve"> </w:t>
      </w:r>
      <w:r>
        <w:rPr>
          <w:color w:val="000000"/>
        </w:rPr>
        <w:t xml:space="preserve">“</w:t>
      </w:r>
      <w:r>
        <w:rPr>
          <w:color w:val="000000"/>
        </w:rPr>
        <w:t xml:space="preserve">in June 2023—well before the OCC letter arrived</w:t>
      </w:r>
      <w:r>
        <w:rPr>
          <w:color w:val="000000"/>
        </w:rPr>
        <w:t xml:space="preserve">”</w:t>
      </w:r>
      <w:r>
        <w:rPr>
          <w:color w:val="000000"/>
        </w:rPr>
        <w:t xml:space="preserve"> </w:t>
      </w:r>
      <w:r>
        <w:rPr>
          <w:color w:val="000000"/>
        </w:rPr>
        <w:t xml:space="preserve">(Br. at 18) is not supported by the testimony Plaintiff elicited. Caldwell testified only that he</w:t>
      </w:r>
      <w:r>
        <w:rPr>
          <w:color w:val="000000"/>
        </w:rPr>
        <w:t xml:space="preserve"> </w:t>
      </w:r>
      <w:r>
        <w:rPr>
          <w:color w:val="000000"/>
        </w:rPr>
        <w:t xml:space="preserve">“</w:t>
      </w:r>
      <w:r>
        <w:rPr>
          <w:color w:val="000000"/>
        </w:rPr>
        <w:t xml:space="preserve">believe[d]</w:t>
      </w:r>
      <w:r>
        <w:rPr>
          <w:color w:val="000000"/>
        </w:rPr>
        <w:t xml:space="preserve">”</w:t>
      </w:r>
      <w:r>
        <w:rPr>
          <w:color w:val="000000"/>
        </w:rPr>
        <w:t xml:space="preserve"> </w:t>
      </w:r>
      <w:r>
        <w:rPr>
          <w:color w:val="000000"/>
        </w:rPr>
        <w:t xml:space="preserve">he began</w:t>
      </w:r>
      <w:r>
        <w:rPr>
          <w:color w:val="000000"/>
        </w:rPr>
        <w:t xml:space="preserve"> </w:t>
      </w:r>
      <w:r>
        <w:rPr>
          <w:color w:val="000000"/>
        </w:rPr>
        <w:t xml:space="preserve">“</w:t>
      </w:r>
      <w:r>
        <w:rPr>
          <w:color w:val="000000"/>
        </w:rPr>
        <w:t xml:space="preserve">considering</w:t>
      </w:r>
      <w:r>
        <w:rPr>
          <w:color w:val="000000"/>
        </w:rPr>
        <w:t xml:space="preserve">”</w:t>
      </w:r>
      <w:r>
        <w:rPr>
          <w:color w:val="000000"/>
        </w:rPr>
        <w:t xml:space="preserve"> </w:t>
      </w:r>
      <w:r>
        <w:rPr>
          <w:color w:val="000000"/>
        </w:rPr>
        <w:t xml:space="preserve">a PIP in</w:t>
      </w:r>
      <w:r>
        <w:rPr>
          <w:color w:val="000000"/>
        </w:rPr>
        <w:t xml:space="preserve"> </w:t>
      </w:r>
      <w:r>
        <w:rPr>
          <w:color w:val="000000"/>
        </w:rPr>
        <w:t xml:space="preserve">“</w:t>
      </w:r>
      <w:r>
        <w:rPr>
          <w:color w:val="000000"/>
        </w:rPr>
        <w:t xml:space="preserve">July.</w:t>
      </w:r>
      <w:r>
        <w:rPr>
          <w:color w:val="000000"/>
        </w:rPr>
        <w:t xml:space="preserve">”</w:t>
      </w:r>
      <w:r>
        <w:rPr>
          <w:color w:val="000000"/>
        </w:rPr>
        <w:t xml:space="preserve"> </w:t>
      </w:r>
      <w:r>
        <w:rPr>
          <w:color w:val="000000"/>
        </w:rPr>
        <w:t xml:space="preserve">He admitted that he had no emails, calendar entries, or notes of any kind before August 1, and that the first documented step toward the PIP came after Hargrove’s email. PSAF ¶ 27. On summary judgment, the Court must credit the absence of any documentary support over the self-serving recollection of an interested witness.</w:t>
      </w:r>
      <w:r>
        <w:rPr>
          <w:color w:val="000000"/>
        </w:rPr>
        <w:t xml:space="preserve"> </w:t>
      </w:r>
      <w:r>
        <w:rPr>
          <w:i/>
          <w:iCs/>
          <w:color w:val="000000"/>
        </w:rPr>
        <w:t xml:space="preserve">Reeves</w:t>
      </w:r>
      <w:r>
        <w:rPr>
          <w:color w:val="000000"/>
        </w:rPr>
        <w:t xml:space="preserve">, 530 U.S. at 151.</w:t>
      </w:r>
    </w:p>
    <w:bookmarkEnd w:id="39"/>
    <w:bookmarkStart w:id="40" w:name="X7cc283f7aaf70ab3a7152e0e056a2596ca8dae5"/>
    <w:p>
      <w:pPr>
        <w:pStyle w:val="Heading3"/>
      </w:pPr>
      <w:r>
        <w:rPr>
          <w:color w:val="000000"/>
        </w:rPr>
        <w:t xml:space="preserve">3. The Bank disregarded its own PIP policy at nearly every step.</w:t>
      </w:r>
    </w:p>
    <w:p>
      <w:pPr>
        <w:pStyle w:val="FirstParagraph"/>
      </w:pPr>
      <w:r>
        <w:rPr>
          <w:color w:val="000000"/>
        </w:rPr>
        <w:t xml:space="preserve">An employer’s departure from its written procedures is evidence of pretext.</w:t>
      </w:r>
      <w:r>
        <w:rPr>
          <w:color w:val="000000"/>
        </w:rPr>
        <w:t xml:space="preserve"> </w:t>
      </w:r>
      <w:r>
        <w:rPr>
          <w:i/>
          <w:iCs/>
          <w:color w:val="000000"/>
        </w:rPr>
        <w:t xml:space="preserve">Kendrick</w:t>
      </w:r>
      <w:r>
        <w:rPr>
          <w:color w:val="000000"/>
        </w:rPr>
        <w:t xml:space="preserve">, 220 F.3d at 1230. The Bank quotes the Handbook’s statement that PIPs</w:t>
      </w:r>
      <w:r>
        <w:rPr>
          <w:color w:val="000000"/>
        </w:rPr>
        <w:t xml:space="preserve"> </w:t>
      </w:r>
      <w:r>
        <w:rPr>
          <w:color w:val="000000"/>
        </w:rPr>
        <w:t xml:space="preserve">“</w:t>
      </w:r>
      <w:r>
        <w:rPr>
          <w:color w:val="000000"/>
        </w:rPr>
        <w:t xml:space="preserve">shall</w:t>
      </w:r>
      <w:r>
        <w:rPr>
          <w:color w:val="000000"/>
        </w:rPr>
        <w:t xml:space="preserve"> </w:t>
      </w:r>
      <w:r>
        <w:rPr>
          <w:i/>
          <w:iCs/>
          <w:color w:val="000000"/>
        </w:rPr>
        <w:t xml:space="preserve">generally</w:t>
      </w:r>
      <w:r>
        <w:rPr>
          <w:color w:val="000000"/>
        </w:rPr>
        <w:t xml:space="preserve"> </w:t>
      </w:r>
      <w:r>
        <w:rPr>
          <w:color w:val="000000"/>
        </w:rPr>
        <w:t xml:space="preserve">span</w:t>
      </w:r>
      <w:r>
        <w:rPr>
          <w:color w:val="000000"/>
        </w:rPr>
        <w:t xml:space="preserve">”</w:t>
      </w:r>
      <w:r>
        <w:rPr>
          <w:color w:val="000000"/>
        </w:rPr>
        <w:t xml:space="preserve"> </w:t>
      </w:r>
      <w:r>
        <w:rPr>
          <w:color w:val="000000"/>
        </w:rPr>
        <w:t xml:space="preserve">60 to 90 days and argues that</w:t>
      </w:r>
      <w:r>
        <w:rPr>
          <w:color w:val="000000"/>
        </w:rPr>
        <w:t xml:space="preserve"> </w:t>
      </w:r>
      <w:r>
        <w:rPr>
          <w:color w:val="000000"/>
        </w:rPr>
        <w:t xml:space="preserve">“</w:t>
      </w:r>
      <w:r>
        <w:rPr>
          <w:color w:val="000000"/>
        </w:rPr>
        <w:t xml:space="preserve">generally</w:t>
      </w:r>
      <w:r>
        <w:rPr>
          <w:color w:val="000000"/>
        </w:rPr>
        <w:t xml:space="preserve">”</w:t>
      </w:r>
      <w:r>
        <w:rPr>
          <w:color w:val="000000"/>
        </w:rPr>
        <w:t xml:space="preserve"> </w:t>
      </w:r>
      <w:r>
        <w:rPr>
          <w:color w:val="000000"/>
        </w:rPr>
        <w:t xml:space="preserve">gave Caldwell discretion. Br. at 18–19. The Bank omits the next clause of the same section:</w:t>
      </w:r>
      <w:r>
        <w:rPr>
          <w:color w:val="000000"/>
        </w:rPr>
        <w:t xml:space="preserve"> </w:t>
      </w:r>
      <w:r>
        <w:rPr>
          <w:color w:val="000000"/>
        </w:rPr>
        <w:t xml:space="preserve">“</w:t>
      </w:r>
      <w:r>
        <w:rPr>
          <w:i/>
          <w:iCs/>
          <w:color w:val="000000"/>
        </w:rPr>
        <w:t xml:space="preserve">in no event</w:t>
      </w:r>
      <w:r>
        <w:rPr>
          <w:color w:val="000000"/>
        </w:rPr>
        <w:t xml:space="preserve"> </w:t>
      </w:r>
      <w:r>
        <w:rPr>
          <w:color w:val="000000"/>
        </w:rPr>
        <w:t xml:space="preserve">should a PIP period be less than 60 calendar days unless extraordinary circumstances exist and are documented in writing with the approval of the HR Director.</w:t>
      </w:r>
      <w:r>
        <w:rPr>
          <w:color w:val="000000"/>
        </w:rPr>
        <w:t xml:space="preserve">”</w:t>
      </w:r>
      <w:r>
        <w:rPr>
          <w:color w:val="000000"/>
        </w:rPr>
        <w:t xml:space="preserve"> </w:t>
      </w:r>
      <w:r>
        <w:rPr>
          <w:color w:val="000000"/>
        </w:rPr>
        <w:t xml:space="preserve">PSAF ¶ 41 (emphasis added). No such written justification has been produced. Ms. Vasquez’s PIP lasted 32 days, the shortest Caldwell ever issued. PSAF ¶¶ 41–42. The Bank also skipped the required prerequisites: no prior coaching or counseling, no documented evidentiary basis, and a target that had never been communicated in writing. PSAF ¶¶ 43–44. It then set requirements designed to guarantee failure. She was required to close $5 million in executed commitments in 32 days, and any client complaint, however baseless, would</w:t>
      </w:r>
      <w:r>
        <w:rPr>
          <w:color w:val="000000"/>
        </w:rPr>
        <w:t xml:space="preserve"> </w:t>
      </w:r>
      <w:r>
        <w:rPr>
          <w:color w:val="000000"/>
        </w:rPr>
        <w:t xml:space="preserve">“</w:t>
      </w:r>
      <w:r>
        <w:rPr>
          <w:color w:val="000000"/>
        </w:rPr>
        <w:t xml:space="preserve">be considered a failure.</w:t>
      </w:r>
      <w:r>
        <w:rPr>
          <w:color w:val="000000"/>
        </w:rPr>
        <w:t xml:space="preserve">”</w:t>
      </w:r>
      <w:r>
        <w:rPr>
          <w:color w:val="000000"/>
        </w:rPr>
        <w:t xml:space="preserve"> </w:t>
      </w:r>
      <w:r>
        <w:rPr>
          <w:color w:val="000000"/>
        </w:rPr>
        <w:t xml:space="preserve">PSAF ¶ 39. The Handbook describes PIPs as</w:t>
      </w:r>
      <w:r>
        <w:rPr>
          <w:color w:val="000000"/>
        </w:rPr>
        <w:t xml:space="preserve"> </w:t>
      </w:r>
      <w:r>
        <w:rPr>
          <w:color w:val="000000"/>
        </w:rPr>
        <w:t xml:space="preserve">“</w:t>
      </w:r>
      <w:r>
        <w:rPr>
          <w:color w:val="000000"/>
        </w:rPr>
        <w:t xml:space="preserve">remedial</w:t>
      </w:r>
      <w:r>
        <w:rPr>
          <w:color w:val="000000"/>
        </w:rPr>
        <w:t xml:space="preserve">”</w:t>
      </w:r>
      <w:r>
        <w:rPr>
          <w:color w:val="000000"/>
        </w:rPr>
        <w:t xml:space="preserve"> </w:t>
      </w:r>
      <w:r>
        <w:rPr>
          <w:color w:val="000000"/>
        </w:rPr>
        <w:t xml:space="preserve">tools that are</w:t>
      </w:r>
      <w:r>
        <w:rPr>
          <w:color w:val="000000"/>
        </w:rPr>
        <w:t xml:space="preserve"> </w:t>
      </w:r>
      <w:r>
        <w:rPr>
          <w:color w:val="000000"/>
        </w:rPr>
        <w:t xml:space="preserve">“</w:t>
      </w:r>
      <w:r>
        <w:rPr>
          <w:color w:val="000000"/>
        </w:rPr>
        <w:t xml:space="preserve">not . . . a precursor to termination.</w:t>
      </w:r>
      <w:r>
        <w:rPr>
          <w:color w:val="000000"/>
        </w:rPr>
        <w:t xml:space="preserve">”</w:t>
      </w:r>
      <w:r>
        <w:rPr>
          <w:color w:val="000000"/>
        </w:rPr>
        <w:t xml:space="preserve"> </w:t>
      </w:r>
      <w:r>
        <w:rPr>
          <w:color w:val="000000"/>
        </w:rPr>
        <w:t xml:space="preserve">PSAF ¶ 43. A jury could find that this PIP was designed to lead to termination.</w:t>
      </w:r>
    </w:p>
    <w:bookmarkEnd w:id="40"/>
    <w:bookmarkStart w:id="41" w:name="Xef6cdf4d801c6371381cb814f6e689c9649175f"/>
    <w:p>
      <w:pPr>
        <w:pStyle w:val="Heading3"/>
      </w:pPr>
      <w:r>
        <w:rPr>
          <w:color w:val="000000"/>
        </w:rPr>
        <w:t xml:space="preserve">4. Similarly situated SVPs with worse records were not disciplined.</w:t>
      </w:r>
    </w:p>
    <w:p>
      <w:pPr>
        <w:pStyle w:val="FirstParagraph"/>
      </w:pPr>
      <w:r>
        <w:rPr>
          <w:color w:val="000000"/>
        </w:rPr>
        <w:t xml:space="preserve">The Bank argues that Ms. Vasquez</w:t>
      </w:r>
      <w:r>
        <w:rPr>
          <w:color w:val="000000"/>
        </w:rPr>
        <w:t xml:space="preserve"> </w:t>
      </w:r>
      <w:r>
        <w:rPr>
          <w:color w:val="000000"/>
        </w:rPr>
        <w:t xml:space="preserve">“</w:t>
      </w:r>
      <w:r>
        <w:rPr>
          <w:color w:val="000000"/>
        </w:rPr>
        <w:t xml:space="preserve">has not identified</w:t>
      </w:r>
      <w:r>
        <w:rPr>
          <w:color w:val="000000"/>
        </w:rPr>
        <w:t xml:space="preserve">”</w:t>
      </w:r>
      <w:r>
        <w:rPr>
          <w:color w:val="000000"/>
        </w:rPr>
        <w:t xml:space="preserve"> </w:t>
      </w:r>
      <w:r>
        <w:rPr>
          <w:color w:val="000000"/>
        </w:rPr>
        <w:t xml:space="preserve">comparators. Br. at 19–20. She has. Bradley Whitfield and Kenneth Lomax held the same title, reported to the same supervisor, worked in the same region, and were evaluated in the same time period under the same rating system. Both were rated</w:t>
      </w:r>
      <w:r>
        <w:rPr>
          <w:color w:val="000000"/>
        </w:rPr>
        <w:t xml:space="preserve"> </w:t>
      </w:r>
      <w:r>
        <w:rPr>
          <w:color w:val="000000"/>
        </w:rPr>
        <w:t xml:space="preserve">“</w:t>
      </w:r>
      <w:r>
        <w:rPr>
          <w:color w:val="000000"/>
        </w:rPr>
        <w:t xml:space="preserve">Needs Improvement</w:t>
      </w:r>
      <w:r>
        <w:rPr>
          <w:color w:val="000000"/>
        </w:rPr>
        <w:t xml:space="preserve">”</w:t>
      </w:r>
      <w:r>
        <w:rPr>
          <w:color w:val="000000"/>
        </w:rPr>
        <w:t xml:space="preserve"> </w:t>
      </w:r>
      <w:r>
        <w:rPr>
          <w:color w:val="000000"/>
        </w:rPr>
        <w:t xml:space="preserve">for 2022, two tiers below Ms. Vasquez’s</w:t>
      </w:r>
      <w:r>
        <w:rPr>
          <w:color w:val="000000"/>
        </w:rPr>
        <w:t xml:space="preserve"> </w:t>
      </w:r>
      <w:r>
        <w:rPr>
          <w:color w:val="000000"/>
        </w:rPr>
        <w:t xml:space="preserve">“</w:t>
      </w:r>
      <w:r>
        <w:rPr>
          <w:color w:val="000000"/>
        </w:rPr>
        <w:t xml:space="preserve">Outstanding.</w:t>
      </w:r>
      <w:r>
        <w:rPr>
          <w:color w:val="000000"/>
        </w:rPr>
        <w:t xml:space="preserve">”</w:t>
      </w:r>
      <w:r>
        <w:rPr>
          <w:color w:val="000000"/>
        </w:rPr>
        <w:t xml:space="preserve"> </w:t>
      </w:r>
      <w:r>
        <w:rPr>
          <w:color w:val="000000"/>
        </w:rPr>
        <w:t xml:space="preserve">Neither received a PIP or even a written warning. PSAF ¶ 45. The Q1 2023 audit rated all of their files</w:t>
      </w:r>
      <w:r>
        <w:rPr>
          <w:color w:val="000000"/>
        </w:rPr>
        <w:t xml:space="preserve"> </w:t>
      </w:r>
      <w:r>
        <w:rPr>
          <w:color w:val="000000"/>
        </w:rPr>
        <w:t xml:space="preserve">“</w:t>
      </w:r>
      <w:r>
        <w:rPr>
          <w:color w:val="000000"/>
        </w:rPr>
        <w:t xml:space="preserve">Satisfactory,</w:t>
      </w:r>
      <w:r>
        <w:rPr>
          <w:color w:val="000000"/>
        </w:rPr>
        <w:t xml:space="preserve">”</w:t>
      </w:r>
      <w:r>
        <w:rPr>
          <w:color w:val="000000"/>
        </w:rPr>
        <w:t xml:space="preserve"> </w:t>
      </w:r>
      <w:r>
        <w:rPr>
          <w:color w:val="000000"/>
        </w:rPr>
        <w:t xml:space="preserve">just like hers. Ex. 6 § 3. Whitfield onboarded Orion Gateway, the client at the center of the suspected layering, and received a verbal conversation. PSAF ¶ 46. The Bank’s only response is that</w:t>
      </w:r>
      <w:r>
        <w:rPr>
          <w:color w:val="000000"/>
        </w:rPr>
        <w:t xml:space="preserve"> </w:t>
      </w:r>
      <w:r>
        <w:rPr>
          <w:color w:val="000000"/>
        </w:rPr>
        <w:t xml:space="preserve">“</w:t>
      </w:r>
      <w:r>
        <w:rPr>
          <w:color w:val="000000"/>
        </w:rPr>
        <w:t xml:space="preserve">[e]ach employee’s situation is evaluated individually.</w:t>
      </w:r>
      <w:r>
        <w:rPr>
          <w:color w:val="000000"/>
        </w:rPr>
        <w:t xml:space="preserve">”</w:t>
      </w:r>
      <w:r>
        <w:rPr>
          <w:color w:val="000000"/>
        </w:rPr>
        <w:t xml:space="preserve"> </w:t>
      </w:r>
      <w:r>
        <w:rPr>
          <w:color w:val="000000"/>
        </w:rPr>
        <w:t xml:space="preserve">Ex. 1 at 104. That is not a legitimate distinction. It is a restatement of the disparity. Whether employees are similarly situated is ordinarily a question of fact. The Bank’s generic list of ways employees</w:t>
      </w:r>
      <w:r>
        <w:rPr>
          <w:color w:val="000000"/>
        </w:rPr>
        <w:t xml:space="preserve"> </w:t>
      </w:r>
      <w:r>
        <w:rPr>
          <w:color w:val="000000"/>
        </w:rPr>
        <w:t xml:space="preserve">“</w:t>
      </w:r>
      <w:r>
        <w:rPr>
          <w:color w:val="000000"/>
        </w:rPr>
        <w:t xml:space="preserve">inevitably</w:t>
      </w:r>
      <w:r>
        <w:rPr>
          <w:color w:val="000000"/>
        </w:rPr>
        <w:t xml:space="preserve">”</w:t>
      </w:r>
      <w:r>
        <w:rPr>
          <w:color w:val="000000"/>
        </w:rPr>
        <w:t xml:space="preserve"> </w:t>
      </w:r>
      <w:r>
        <w:rPr>
          <w:color w:val="000000"/>
        </w:rPr>
        <w:t xml:space="preserve">differ (Br. at 20) does not identify any actual difference.</w:t>
      </w:r>
    </w:p>
    <w:bookmarkEnd w:id="41"/>
    <w:bookmarkStart w:id="42" w:name="Xc83ab424c2c2ac7ff79592422cbb8270c576ce1"/>
    <w:p>
      <w:pPr>
        <w:pStyle w:val="Heading3"/>
      </w:pPr>
      <w:r>
        <w:rPr>
          <w:color w:val="000000"/>
        </w:rPr>
        <w:t xml:space="preserve">5. Additional evidence of retaliatory motive.</w:t>
      </w:r>
    </w:p>
    <w:p>
      <w:pPr>
        <w:pStyle w:val="FirstParagraph"/>
      </w:pPr>
      <w:r>
        <w:rPr>
          <w:color w:val="000000"/>
        </w:rPr>
        <w:t xml:space="preserve">The Bank argues that Ms. Vasquez’s case</w:t>
      </w:r>
      <w:r>
        <w:rPr>
          <w:color w:val="000000"/>
        </w:rPr>
        <w:t xml:space="preserve"> </w:t>
      </w:r>
      <w:r>
        <w:rPr>
          <w:color w:val="000000"/>
        </w:rPr>
        <w:t xml:space="preserve">“</w:t>
      </w:r>
      <w:r>
        <w:rPr>
          <w:color w:val="000000"/>
        </w:rPr>
        <w:t xml:space="preserve">rests entirely on temporal proximity and speculation.</w:t>
      </w:r>
      <w:r>
        <w:rPr>
          <w:color w:val="000000"/>
        </w:rPr>
        <w:t xml:space="preserve">”</w:t>
      </w:r>
      <w:r>
        <w:rPr>
          <w:color w:val="000000"/>
        </w:rPr>
        <w:t xml:space="preserve"> </w:t>
      </w:r>
      <w:r>
        <w:rPr>
          <w:color w:val="000000"/>
        </w:rPr>
        <w:t xml:space="preserve">Br. at 21. The record shows much more:</w:t>
      </w:r>
    </w:p>
    <w:p>
      <w:pPr>
        <w:pStyle w:val="BlockText"/>
      </w:pPr>
      <w:r>
        <w:rPr>
          <w:color w:val="000000"/>
        </w:rPr>
        <w:t xml:space="preserve">The General Counsel’s written instruction to</w:t>
      </w:r>
      <w:r>
        <w:rPr>
          <w:color w:val="000000"/>
        </w:rPr>
        <w:t xml:space="preserve"> </w:t>
      </w:r>
      <w:r>
        <w:rPr>
          <w:color w:val="000000"/>
        </w:rPr>
        <w:t xml:space="preserve">“</w:t>
      </w:r>
      <w:r>
        <w:rPr>
          <w:color w:val="000000"/>
        </w:rPr>
        <w:t xml:space="preserve">identify the source and contain this,</w:t>
      </w:r>
      <w:r>
        <w:rPr>
          <w:color w:val="000000"/>
        </w:rPr>
        <w:t xml:space="preserve">”</w:t>
      </w:r>
      <w:r>
        <w:rPr>
          <w:color w:val="000000"/>
        </w:rPr>
        <w:t xml:space="preserve"> </w:t>
      </w:r>
      <w:r>
        <w:rPr>
          <w:color w:val="000000"/>
        </w:rPr>
        <w:t xml:space="preserve">naming Ms. Vasquez, and the decision-maker’s reply,</w:t>
      </w:r>
      <w:r>
        <w:rPr>
          <w:color w:val="000000"/>
        </w:rPr>
        <w:t xml:space="preserve"> </w:t>
      </w:r>
      <w:r>
        <w:rPr>
          <w:color w:val="000000"/>
        </w:rPr>
        <w:t xml:space="preserve">“</w:t>
      </w:r>
      <w:r>
        <w:rPr>
          <w:color w:val="000000"/>
        </w:rPr>
        <w:t xml:space="preserve">Let me handle this.</w:t>
      </w:r>
      <w:r>
        <w:rPr>
          <w:color w:val="000000"/>
        </w:rPr>
        <w:t xml:space="preserve">”</w:t>
      </w:r>
      <w:r>
        <w:rPr>
          <w:color w:val="000000"/>
        </w:rPr>
        <w:t xml:space="preserve"> </w:t>
      </w:r>
      <w:r>
        <w:rPr>
          <w:color w:val="000000"/>
        </w:rPr>
        <w:t xml:space="preserve">PSAF ¶¶ 22–23.</w:t>
      </w:r>
    </w:p>
    <w:p>
      <w:pPr>
        <w:pStyle w:val="BlockText"/>
      </w:pPr>
      <w:r>
        <w:rPr>
          <w:color w:val="000000"/>
        </w:rPr>
        <w:t xml:space="preserve">The Bank’s handling of the Orion Gateway matter: a thirteen-day, undocumented</w:t>
      </w:r>
      <w:r>
        <w:rPr>
          <w:color w:val="000000"/>
        </w:rPr>
        <w:t xml:space="preserve"> </w:t>
      </w:r>
      <w:r>
        <w:rPr>
          <w:color w:val="000000"/>
        </w:rPr>
        <w:t xml:space="preserve">“</w:t>
      </w:r>
      <w:r>
        <w:rPr>
          <w:color w:val="000000"/>
        </w:rPr>
        <w:t xml:space="preserve">review,</w:t>
      </w:r>
      <w:r>
        <w:rPr>
          <w:color w:val="000000"/>
        </w:rPr>
        <w:t xml:space="preserve">”</w:t>
      </w:r>
      <w:r>
        <w:rPr>
          <w:color w:val="000000"/>
        </w:rPr>
        <w:t xml:space="preserve"> </w:t>
      </w:r>
      <w:r>
        <w:rPr>
          <w:color w:val="000000"/>
        </w:rPr>
        <w:t xml:space="preserve">closed by a General Counsel with no AML training, in violation of the Bank’s written procedures, followed by an order silencing its own analyst. This gives the Bank a clear motive to suppress anyone who took the matter to regulators. PSAF ¶¶ 10–19.</w:t>
      </w:r>
    </w:p>
    <w:p>
      <w:pPr>
        <w:pStyle w:val="BlockText"/>
      </w:pPr>
      <w:r>
        <w:rPr>
          <w:color w:val="000000"/>
        </w:rPr>
        <w:t xml:space="preserve">The termination of Carlos Medina, the only other employee who documented a SAR recommendation on Orion Gateway, 22 days after Ms. Vasquez. The stated</w:t>
      </w:r>
      <w:r>
        <w:rPr>
          <w:color w:val="000000"/>
        </w:rPr>
        <w:t xml:space="preserve"> </w:t>
      </w:r>
      <w:r>
        <w:rPr>
          <w:color w:val="000000"/>
        </w:rPr>
        <w:t xml:space="preserve">“</w:t>
      </w:r>
      <w:r>
        <w:rPr>
          <w:color w:val="000000"/>
        </w:rPr>
        <w:t xml:space="preserve">restructuring</w:t>
      </w:r>
      <w:r>
        <w:rPr>
          <w:color w:val="000000"/>
        </w:rPr>
        <w:t xml:space="preserve">”</w:t>
      </w:r>
      <w:r>
        <w:rPr>
          <w:color w:val="000000"/>
        </w:rPr>
        <w:t xml:space="preserve"> </w:t>
      </w:r>
      <w:r>
        <w:rPr>
          <w:color w:val="000000"/>
        </w:rPr>
        <w:t xml:space="preserve">affected no one else, was imposed over the Chief Compliance Officer’s head, and was followed three weeks later by hiring a replacement into a substantially similar role. PSAF ¶¶ 48–49. Evidence of the Bank’s treatment of another Orion Gateway reporter is admissible to show motive and intent. Fed. R. Evid. 404(b)(2).</w:t>
      </w:r>
    </w:p>
    <w:p>
      <w:pPr>
        <w:pStyle w:val="BlockText"/>
      </w:pPr>
      <w:r>
        <w:rPr>
          <w:color w:val="000000"/>
        </w:rPr>
        <w:t xml:space="preserve">Caldwell’s recanted testimony about when he learned of Ms. Vasquez’s report. PSAF ¶ 26.</w:t>
      </w:r>
    </w:p>
    <w:p>
      <w:pPr>
        <w:pStyle w:val="BlockText"/>
      </w:pPr>
      <w:r>
        <w:rPr>
          <w:color w:val="000000"/>
        </w:rPr>
        <w:t xml:space="preserve">The characterization of the termination as</w:t>
      </w:r>
      <w:r>
        <w:rPr>
          <w:color w:val="000000"/>
        </w:rPr>
        <w:t xml:space="preserve"> </w:t>
      </w:r>
      <w:r>
        <w:rPr>
          <w:color w:val="000000"/>
        </w:rPr>
        <w:t xml:space="preserve">“</w:t>
      </w:r>
      <w:r>
        <w:rPr>
          <w:color w:val="000000"/>
        </w:rPr>
        <w:t xml:space="preserve">for cause,</w:t>
      </w:r>
      <w:r>
        <w:rPr>
          <w:color w:val="000000"/>
        </w:rPr>
        <w:t xml:space="preserve">”</w:t>
      </w:r>
      <w:r>
        <w:rPr>
          <w:color w:val="000000"/>
        </w:rPr>
        <w:t xml:space="preserve"> </w:t>
      </w:r>
      <w:r>
        <w:rPr>
          <w:color w:val="000000"/>
        </w:rPr>
        <w:t xml:space="preserve">which stripped Ms. Vasquez of her bonus. Ex. 10.</w:t>
      </w:r>
    </w:p>
    <w:p>
      <w:pPr>
        <w:pStyle w:val="FirstParagraph"/>
      </w:pPr>
      <w:r>
        <w:rPr>
          <w:color w:val="000000"/>
        </w:rPr>
        <w:t xml:space="preserve">Taken together, and viewed in the light most favorable to Ms. Vasquez, this evidence would allow a reasonable jury to conclude that the Bank’s performance rationale is</w:t>
      </w:r>
      <w:r>
        <w:rPr>
          <w:color w:val="000000"/>
        </w:rPr>
        <w:t xml:space="preserve"> </w:t>
      </w:r>
      <w:r>
        <w:rPr>
          <w:color w:val="000000"/>
        </w:rPr>
        <w:t xml:space="preserve">“</w:t>
      </w:r>
      <w:r>
        <w:rPr>
          <w:color w:val="000000"/>
        </w:rPr>
        <w:t xml:space="preserve">unworthy of credence</w:t>
      </w:r>
      <w:r>
        <w:rPr>
          <w:color w:val="000000"/>
        </w:rPr>
        <w:t xml:space="preserve">”</w:t>
      </w:r>
      <w:r>
        <w:rPr>
          <w:color w:val="000000"/>
        </w:rPr>
        <w:t xml:space="preserve"> </w:t>
      </w:r>
      <w:r>
        <w:rPr>
          <w:color w:val="000000"/>
        </w:rPr>
        <w:t xml:space="preserve">and that the real reason for her termination was retaliation.</w:t>
      </w:r>
      <w:r>
        <w:rPr>
          <w:color w:val="000000"/>
        </w:rPr>
        <w:t xml:space="preserve"> </w:t>
      </w:r>
      <w:r>
        <w:rPr>
          <w:i/>
          <w:iCs/>
          <w:color w:val="000000"/>
        </w:rPr>
        <w:t xml:space="preserve">Argo</w:t>
      </w:r>
      <w:r>
        <w:rPr>
          <w:color w:val="000000"/>
        </w:rPr>
        <w:t xml:space="preserve">, 452 F.3d at 1203. Summary judgment on Count I should be denied.</w:t>
      </w:r>
    </w:p>
    <w:bookmarkEnd w:id="42"/>
    <w:bookmarkEnd w:id="43"/>
    <w:bookmarkStart w:id="46" w:name="X25b3703c3af71752400f036fbe9846ca1e08c39"/>
    <w:p>
      <w:pPr>
        <w:pStyle w:val="Heading2"/>
      </w:pPr>
      <w:r>
        <w:rPr>
          <w:color w:val="000000"/>
        </w:rPr>
        <w:t xml:space="preserve">C. The Bank Is a Covered Employer Under Sarbanes-Oxley (Count II).</w:t>
      </w:r>
    </w:p>
    <w:bookmarkStart w:id="44" w:name="X678cfc2c39808b0460ba41b1cdbf2a731edad2b"/>
    <w:p>
      <w:pPr>
        <w:pStyle w:val="Heading3"/>
      </w:pPr>
      <w:r>
        <w:rPr>
          <w:color w:val="000000"/>
        </w:rPr>
        <w:t xml:space="preserve">1. Section 1514A expressly covers subsidiaries whose financial information is consolidated with a public parent.</w:t>
      </w:r>
    </w:p>
    <w:p>
      <w:pPr>
        <w:pStyle w:val="FirstParagraph"/>
      </w:pPr>
      <w:r>
        <w:rPr>
          <w:color w:val="000000"/>
        </w:rPr>
        <w:t xml:space="preserve">The Bank’s SOX argument depends on an ellipsis. The Bank quotes § 1514A(a) as covering a</w:t>
      </w:r>
      <w:r>
        <w:rPr>
          <w:color w:val="000000"/>
        </w:rPr>
        <w:t xml:space="preserve"> </w:t>
      </w:r>
      <w:r>
        <w:rPr>
          <w:color w:val="000000"/>
        </w:rPr>
        <w:t xml:space="preserve">“</w:t>
      </w:r>
      <w:r>
        <w:rPr>
          <w:color w:val="000000"/>
        </w:rPr>
        <w:t xml:space="preserve">company with a class of securities registered under section 12 . . . or that is required to file reports under section 15(d) . . . .</w:t>
      </w:r>
      <w:r>
        <w:rPr>
          <w:color w:val="000000"/>
        </w:rPr>
        <w:t xml:space="preserve">”</w:t>
      </w:r>
      <w:r>
        <w:rPr>
          <w:color w:val="000000"/>
        </w:rPr>
        <w:t xml:space="preserve"> </w:t>
      </w:r>
      <w:r>
        <w:rPr>
          <w:color w:val="000000"/>
        </w:rPr>
        <w:t xml:space="preserve">Br. at 22. It then argues that</w:t>
      </w:r>
      <w:r>
        <w:rPr>
          <w:color w:val="000000"/>
        </w:rPr>
        <w:t xml:space="preserve"> </w:t>
      </w:r>
      <w:r>
        <w:rPr>
          <w:color w:val="000000"/>
        </w:rPr>
        <w:t xml:space="preserve">“</w:t>
      </w:r>
      <w:r>
        <w:rPr>
          <w:color w:val="000000"/>
        </w:rPr>
        <w:t xml:space="preserve">[i]f Congress had intended</w:t>
      </w:r>
      <w:r>
        <w:rPr>
          <w:color w:val="000000"/>
        </w:rPr>
        <w:t xml:space="preserve">”</w:t>
      </w:r>
      <w:r>
        <w:rPr>
          <w:color w:val="000000"/>
        </w:rPr>
        <w:t xml:space="preserve"> </w:t>
      </w:r>
      <w:r>
        <w:rPr>
          <w:color w:val="000000"/>
        </w:rPr>
        <w:t xml:space="preserve">to reach subsidiaries,</w:t>
      </w:r>
      <w:r>
        <w:rPr>
          <w:color w:val="000000"/>
        </w:rPr>
        <w:t xml:space="preserve"> </w:t>
      </w:r>
      <w:r>
        <w:rPr>
          <w:color w:val="000000"/>
        </w:rPr>
        <w:t xml:space="preserve">“</w:t>
      </w:r>
      <w:r>
        <w:rPr>
          <w:color w:val="000000"/>
        </w:rPr>
        <w:t xml:space="preserve">the statutory text would reference subsidiaries and affiliates.</w:t>
      </w:r>
      <w:r>
        <w:rPr>
          <w:color w:val="000000"/>
        </w:rPr>
        <w:t xml:space="preserve">”</w:t>
      </w:r>
      <w:r>
        <w:rPr>
          <w:color w:val="000000"/>
        </w:rPr>
        <w:t xml:space="preserve"> </w:t>
      </w:r>
      <w:r>
        <w:rPr>
          <w:color w:val="000000"/>
        </w:rPr>
        <w:t xml:space="preserve">Br. at 23. The statutory text does exactly that. Since the 2010 Dodd-Frank amendments, the words omitted by the Bank’s first ellipsis provide:</w:t>
      </w:r>
    </w:p>
    <w:p>
      <w:pPr>
        <w:pStyle w:val="BlockText"/>
      </w:pPr>
      <w:r>
        <w:rPr>
          <w:color w:val="000000"/>
        </w:rPr>
        <w:t xml:space="preserve">No company with a class of securities registered under section 12 of the Securities Exchange Act of 1934 (15 U.S.C. 78l), or that is required to file reports under section 15(d) of the Securities Exchange Act of 1934 (15 U.S.C. 78o(d))</w:t>
      </w:r>
      <w:r>
        <w:rPr>
          <w:color w:val="000000"/>
        </w:rPr>
        <w:t xml:space="preserve"> </w:t>
      </w:r>
      <w:r>
        <w:rPr>
          <w:b/>
          <w:bCs/>
          <w:color w:val="000000"/>
        </w:rPr>
        <w:t xml:space="preserve">including any subsidiary or affiliate whose financial information is included in the consolidated financial statements of such company</w:t>
      </w:r>
      <w:r>
        <w:rPr>
          <w:color w:val="000000"/>
        </w:rPr>
        <w:t xml:space="preserve"> </w:t>
      </w:r>
      <w:r>
        <w:rPr>
          <w:color w:val="000000"/>
        </w:rPr>
        <w:t xml:space="preserve">. . . may discharge . . . an employee . . . .</w:t>
      </w:r>
    </w:p>
    <w:p>
      <w:pPr>
        <w:pStyle w:val="FirstParagraph"/>
      </w:pPr>
      <w:r>
        <w:rPr>
          <w:color w:val="000000"/>
        </w:rPr>
        <w:t xml:space="preserve">18 U.S.C. § 1514A(a) (emphasis added);</w:t>
      </w:r>
      <w:r>
        <w:rPr>
          <w:color w:val="000000"/>
        </w:rPr>
        <w:t xml:space="preserve"> </w:t>
      </w:r>
      <w:r>
        <w:rPr>
          <w:i/>
          <w:iCs/>
          <w:color w:val="000000"/>
        </w:rPr>
        <w:t xml:space="preserve">see</w:t>
      </w:r>
      <w:r>
        <w:rPr>
          <w:color w:val="000000"/>
        </w:rPr>
        <w:t xml:space="preserve"> </w:t>
      </w:r>
      <w:r>
        <w:rPr>
          <w:color w:val="000000"/>
        </w:rPr>
        <w:t xml:space="preserve">Dodd-Frank Wall Street Reform and Consumer Protection Act, Pub. L. No. 111-203, § 929A, 124 Stat. 1376, 1852 (2010). Congress added that language specifically to close the gap the Bank now asks the Court to reopen.</w:t>
      </w:r>
    </w:p>
    <w:p>
      <w:pPr>
        <w:pStyle w:val="BodyText"/>
      </w:pPr>
      <w:r>
        <w:rPr>
          <w:color w:val="000000"/>
        </w:rPr>
        <w:t xml:space="preserve">The Bank admits that it is a wholly-owned subsidiary of RDFG, whose common stock trades on NASDAQ. SUMF ¶ 2; Br. at 6, 23. A wholly-owned bank subsidiary’s financial information is included in its holding company’s consolidated financial statements. PSAF ¶ 50. The Bank does not contend otherwise. Its Motion never addresses the subsidiary clause at all. Because the Bank falls within the statute’s plain terms, its arguments about Ms. Vasquez’s W-2s and offer letter (Br. at 22–23) are beside the point. Ms. Vasquez was an</w:t>
      </w:r>
      <w:r>
        <w:rPr>
          <w:color w:val="000000"/>
        </w:rPr>
        <w:t xml:space="preserve"> </w:t>
      </w:r>
      <w:r>
        <w:rPr>
          <w:color w:val="000000"/>
        </w:rPr>
        <w:t xml:space="preserve">“</w:t>
      </w:r>
      <w:r>
        <w:rPr>
          <w:color w:val="000000"/>
        </w:rPr>
        <w:t xml:space="preserve">employee</w:t>
      </w:r>
      <w:r>
        <w:rPr>
          <w:color w:val="000000"/>
        </w:rPr>
        <w:t xml:space="preserve">”</w:t>
      </w:r>
      <w:r>
        <w:rPr>
          <w:color w:val="000000"/>
        </w:rPr>
        <w:t xml:space="preserve"> </w:t>
      </w:r>
      <w:r>
        <w:rPr>
          <w:color w:val="000000"/>
        </w:rPr>
        <w:t xml:space="preserve">of a covered</w:t>
      </w:r>
      <w:r>
        <w:rPr>
          <w:color w:val="000000"/>
        </w:rPr>
        <w:t xml:space="preserve"> </w:t>
      </w:r>
      <w:r>
        <w:rPr>
          <w:color w:val="000000"/>
        </w:rPr>
        <w:t xml:space="preserve">“</w:t>
      </w:r>
      <w:r>
        <w:rPr>
          <w:color w:val="000000"/>
        </w:rPr>
        <w:t xml:space="preserve">subsidiary.</w:t>
      </w:r>
      <w:r>
        <w:rPr>
          <w:color w:val="000000"/>
        </w:rPr>
        <w:t xml:space="preserve">”</w:t>
      </w:r>
      <w:r>
        <w:rPr>
          <w:color w:val="000000"/>
        </w:rPr>
        <w:t xml:space="preserve"> </w:t>
      </w:r>
      <w:r>
        <w:rPr>
          <w:color w:val="000000"/>
        </w:rPr>
        <w:t xml:space="preserve">So too is the Bank’s suggestion that she should have sued RDFG instead. Br. at 24. Congress made the subsidiary itself liable.</w:t>
      </w:r>
    </w:p>
    <w:p>
      <w:pPr>
        <w:pStyle w:val="BodyText"/>
      </w:pPr>
      <w:r>
        <w:rPr>
          <w:color w:val="000000"/>
        </w:rPr>
        <w:t xml:space="preserve">Even before Dodd-Frank, the Supreme Court rejected a similarly narrow reading of § 1514A, holding that the statute protects employees of a public company’s private contractors.</w:t>
      </w:r>
      <w:r>
        <w:rPr>
          <w:color w:val="000000"/>
        </w:rPr>
        <w:t xml:space="preserve"> </w:t>
      </w:r>
      <w:r>
        <w:rPr>
          <w:i/>
          <w:iCs/>
          <w:color w:val="000000"/>
        </w:rPr>
        <w:t xml:space="preserve">Lawson v. FMR LLC</w:t>
      </w:r>
      <w:r>
        <w:rPr>
          <w:color w:val="000000"/>
        </w:rPr>
        <w:t xml:space="preserve">, 571 U.S. 429, 433 (2014). The Bank’s argument that coverage of subsidiaries would</w:t>
      </w:r>
      <w:r>
        <w:rPr>
          <w:color w:val="000000"/>
        </w:rPr>
        <w:t xml:space="preserve"> </w:t>
      </w:r>
      <w:r>
        <w:rPr>
          <w:color w:val="000000"/>
        </w:rPr>
        <w:t xml:space="preserve">“</w:t>
      </w:r>
      <w:r>
        <w:rPr>
          <w:color w:val="000000"/>
        </w:rPr>
        <w:t xml:space="preserve">transform SOX . . . into a general-purpose employment protection statute</w:t>
      </w:r>
      <w:r>
        <w:rPr>
          <w:color w:val="000000"/>
        </w:rPr>
        <w:t xml:space="preserve">”</w:t>
      </w:r>
      <w:r>
        <w:rPr>
          <w:color w:val="000000"/>
        </w:rPr>
        <w:t xml:space="preserve"> </w:t>
      </w:r>
      <w:r>
        <w:rPr>
          <w:color w:val="000000"/>
        </w:rPr>
        <w:t xml:space="preserve">(Br. at 23) is a policy objection to legislation Congress enacted, and it cannot override the statute’s text.</w:t>
      </w:r>
    </w:p>
    <w:bookmarkEnd w:id="44"/>
    <w:bookmarkStart w:id="45" w:name="Xd1fea2c07a6162b9d5bc5e6b5ba17deb58765dd"/>
    <w:p>
      <w:pPr>
        <w:pStyle w:val="Heading3"/>
      </w:pPr>
      <w:r>
        <w:rPr>
          <w:color w:val="000000"/>
        </w:rPr>
        <w:t xml:space="preserve">2. The Bank raises no other ground for summary judgment on Count II.</w:t>
      </w:r>
    </w:p>
    <w:p>
      <w:pPr>
        <w:pStyle w:val="FirstParagraph"/>
      </w:pPr>
      <w:r>
        <w:rPr>
          <w:color w:val="000000"/>
        </w:rPr>
        <w:t xml:space="preserve">The Bank challenges Count II solely on coverage. Br. at 22–24. It does not argue that Ms. Vasquez’s reports were not protected activity under § 1514A, and it cannot raise new grounds for the first time in reply. Plaintiff notes that SOX claims are governed by the burden-shifting framework of 49 U.S.C. § 42121(b), not</w:t>
      </w:r>
      <w:r>
        <w:rPr>
          <w:color w:val="000000"/>
        </w:rPr>
        <w:t xml:space="preserve"> </w:t>
      </w:r>
      <w:r>
        <w:rPr>
          <w:i/>
          <w:iCs/>
          <w:color w:val="000000"/>
        </w:rPr>
        <w:t xml:space="preserve">McDonnell Douglas</w:t>
      </w:r>
      <w:r>
        <w:rPr>
          <w:color w:val="000000"/>
        </w:rPr>
        <w:t xml:space="preserve">.</w:t>
      </w:r>
      <w:r>
        <w:rPr>
          <w:color w:val="000000"/>
        </w:rPr>
        <w:t xml:space="preserve"> </w:t>
      </w:r>
      <w:r>
        <w:rPr>
          <w:i/>
          <w:iCs/>
          <w:color w:val="000000"/>
        </w:rPr>
        <w:t xml:space="preserve">See</w:t>
      </w:r>
      <w:r>
        <w:rPr>
          <w:color w:val="000000"/>
        </w:rPr>
        <w:t xml:space="preserve"> </w:t>
      </w:r>
      <w:r>
        <w:rPr>
          <w:color w:val="000000"/>
        </w:rPr>
        <w:t xml:space="preserve">18 U.S.C. § 1514A(b)(2)(C). An employee need show only that protected activity was a</w:t>
      </w:r>
      <w:r>
        <w:rPr>
          <w:color w:val="000000"/>
        </w:rPr>
        <w:t xml:space="preserve"> </w:t>
      </w:r>
      <w:r>
        <w:rPr>
          <w:color w:val="000000"/>
        </w:rPr>
        <w:t xml:space="preserve">“</w:t>
      </w:r>
      <w:r>
        <w:rPr>
          <w:color w:val="000000"/>
        </w:rPr>
        <w:t xml:space="preserve">contributing factor</w:t>
      </w:r>
      <w:r>
        <w:rPr>
          <w:color w:val="000000"/>
        </w:rPr>
        <w:t xml:space="preserve">”</w:t>
      </w:r>
      <w:r>
        <w:rPr>
          <w:color w:val="000000"/>
        </w:rPr>
        <w:t xml:space="preserve"> </w:t>
      </w:r>
      <w:r>
        <w:rPr>
          <w:color w:val="000000"/>
        </w:rPr>
        <w:t xml:space="preserve">in the adverse action. The burden then shifts to the employer to prove</w:t>
      </w:r>
      <w:r>
        <w:rPr>
          <w:color w:val="000000"/>
        </w:rPr>
        <w:t xml:space="preserve"> </w:t>
      </w:r>
      <w:r>
        <w:rPr>
          <w:color w:val="000000"/>
        </w:rPr>
        <w:t xml:space="preserve">“</w:t>
      </w:r>
      <w:r>
        <w:rPr>
          <w:color w:val="000000"/>
        </w:rPr>
        <w:t xml:space="preserve">by clear and convincing evidence</w:t>
      </w:r>
      <w:r>
        <w:rPr>
          <w:color w:val="000000"/>
        </w:rPr>
        <w:t xml:space="preserve">”</w:t>
      </w:r>
      <w:r>
        <w:rPr>
          <w:color w:val="000000"/>
        </w:rPr>
        <w:t xml:space="preserve"> </w:t>
      </w:r>
      <w:r>
        <w:rPr>
          <w:color w:val="000000"/>
        </w:rPr>
        <w:t xml:space="preserve">that it would have taken the same action anyway.</w:t>
      </w:r>
      <w:r>
        <w:rPr>
          <w:color w:val="000000"/>
        </w:rPr>
        <w:t xml:space="preserve"> </w:t>
      </w:r>
      <w:r>
        <w:rPr>
          <w:i/>
          <w:iCs/>
          <w:color w:val="000000"/>
        </w:rPr>
        <w:t xml:space="preserve">Lockheed Martin Corp. v. Admin. Review Bd.</w:t>
      </w:r>
      <w:r>
        <w:rPr>
          <w:color w:val="000000"/>
        </w:rPr>
        <w:t xml:space="preserve">, 717 F.3d 1121, 1129 (10th Cir. 2013). The employee need not prove retaliatory intent.</w:t>
      </w:r>
      <w:r>
        <w:rPr>
          <w:color w:val="000000"/>
        </w:rPr>
        <w:t xml:space="preserve"> </w:t>
      </w:r>
      <w:r>
        <w:rPr>
          <w:i/>
          <w:iCs/>
          <w:color w:val="000000"/>
        </w:rPr>
        <w:t xml:space="preserve">Murray v. UBS Sec., LLC</w:t>
      </w:r>
      <w:r>
        <w:rPr>
          <w:color w:val="000000"/>
        </w:rPr>
        <w:t xml:space="preserve">, 601 U.S. 23 (2024). On this record, the Bank could not come close to meeting a clear-and-convincing burden as a matter of law. Summary judgment on Count II should be denied.</w:t>
      </w:r>
    </w:p>
    <w:bookmarkEnd w:id="45"/>
    <w:bookmarkEnd w:id="46"/>
    <w:bookmarkStart w:id="51" w:name="Xcbe929a8fc46db5557609e2a5222f8368272361"/>
    <w:p>
      <w:pPr>
        <w:pStyle w:val="Heading2"/>
      </w:pPr>
      <w:r>
        <w:rPr>
          <w:color w:val="000000"/>
        </w:rPr>
        <w:t xml:space="preserve">D. Ms. Vasquez’s Colorado Public-Policy Claim Is Not Preempted (Count III).</w:t>
      </w:r>
    </w:p>
    <w:bookmarkStart w:id="47" w:name="X5ff9b8a82771150f97e8c79981adfde28f6b4d9"/>
    <w:p>
      <w:pPr>
        <w:pStyle w:val="Heading3"/>
      </w:pPr>
      <w:r>
        <w:rPr>
          <w:color w:val="000000"/>
        </w:rPr>
        <w:t xml:space="preserve">1. The Bank cannot overcome the presumption against preemption.</w:t>
      </w:r>
    </w:p>
    <w:p>
      <w:pPr>
        <w:pStyle w:val="FirstParagraph"/>
      </w:pPr>
      <w:r>
        <w:rPr>
          <w:color w:val="000000"/>
        </w:rPr>
        <w:t xml:space="preserve">In any preemption analysis, courts</w:t>
      </w:r>
      <w:r>
        <w:rPr>
          <w:color w:val="000000"/>
        </w:rPr>
        <w:t xml:space="preserve"> </w:t>
      </w:r>
      <w:r>
        <w:rPr>
          <w:color w:val="000000"/>
        </w:rPr>
        <w:t xml:space="preserve">“</w:t>
      </w:r>
      <w:r>
        <w:rPr>
          <w:color w:val="000000"/>
        </w:rPr>
        <w:t xml:space="preserve">start with the assumption that the historic police powers of the States were not to be superseded by the Federal Act unless that was the clear and manifest purpose of Congress.</w:t>
      </w:r>
      <w:r>
        <w:rPr>
          <w:color w:val="000000"/>
        </w:rPr>
        <w:t xml:space="preserve">”</w:t>
      </w:r>
      <w:r>
        <w:rPr>
          <w:color w:val="000000"/>
        </w:rPr>
        <w:t xml:space="preserve"> </w:t>
      </w:r>
      <w:r>
        <w:rPr>
          <w:i/>
          <w:iCs/>
          <w:color w:val="000000"/>
        </w:rPr>
        <w:t xml:space="preserve">Wyeth v. Levine</w:t>
      </w:r>
      <w:r>
        <w:rPr>
          <w:color w:val="000000"/>
        </w:rPr>
        <w:t xml:space="preserve">, 555 U.S. 555, 565 (2009) (quoting</w:t>
      </w:r>
      <w:r>
        <w:rPr>
          <w:color w:val="000000"/>
        </w:rPr>
        <w:t xml:space="preserve"> </w:t>
      </w:r>
      <w:r>
        <w:rPr>
          <w:i/>
          <w:iCs/>
          <w:color w:val="000000"/>
        </w:rPr>
        <w:t xml:space="preserve">Medtronic, Inc. v. Lohr</w:t>
      </w:r>
      <w:r>
        <w:rPr>
          <w:color w:val="000000"/>
        </w:rPr>
        <w:t xml:space="preserve">, 518 U.S. 470, 485 (1996)). Protecting employees from wrongful discharge is a traditional area of state regulation. Colorado has long recognized a tort claim for discharge in violation of public policy.</w:t>
      </w:r>
      <w:r>
        <w:rPr>
          <w:color w:val="000000"/>
        </w:rPr>
        <w:t xml:space="preserve"> </w:t>
      </w:r>
      <w:r>
        <w:rPr>
          <w:i/>
          <w:iCs/>
          <w:color w:val="000000"/>
        </w:rPr>
        <w:t xml:space="preserve">Martin Marietta Corp. v. Lorenz</w:t>
      </w:r>
      <w:r>
        <w:rPr>
          <w:color w:val="000000"/>
        </w:rPr>
        <w:t xml:space="preserve">, 823 P.2d 100, 109 (Colo. 1992). The Bank identifies no statutory text showing a</w:t>
      </w:r>
      <w:r>
        <w:rPr>
          <w:color w:val="000000"/>
        </w:rPr>
        <w:t xml:space="preserve"> </w:t>
      </w:r>
      <w:r>
        <w:rPr>
          <w:color w:val="000000"/>
        </w:rPr>
        <w:t xml:space="preserve">“</w:t>
      </w:r>
      <w:r>
        <w:rPr>
          <w:color w:val="000000"/>
        </w:rPr>
        <w:t xml:space="preserve">clear and manifest</w:t>
      </w:r>
      <w:r>
        <w:rPr>
          <w:color w:val="000000"/>
        </w:rPr>
        <w:t xml:space="preserve">”</w:t>
      </w:r>
      <w:r>
        <w:rPr>
          <w:color w:val="000000"/>
        </w:rPr>
        <w:t xml:space="preserve"> </w:t>
      </w:r>
      <w:r>
        <w:rPr>
          <w:color w:val="000000"/>
        </w:rPr>
        <w:t xml:space="preserve">intent to displace that tort.</w:t>
      </w:r>
    </w:p>
    <w:bookmarkEnd w:id="47"/>
    <w:bookmarkStart w:id="48" w:name="X2a27e390e27b8b9da09e6fc0fbdc62c5911c045"/>
    <w:p>
      <w:pPr>
        <w:pStyle w:val="Heading3"/>
      </w:pPr>
      <w:r>
        <w:rPr>
          <w:color w:val="000000"/>
        </w:rPr>
        <w:t xml:space="preserve">2. Congress expressly preserved state-law remedies for whistleblowers.</w:t>
      </w:r>
    </w:p>
    <w:p>
      <w:pPr>
        <w:pStyle w:val="FirstParagraph"/>
      </w:pPr>
      <w:r>
        <w:rPr>
          <w:color w:val="000000"/>
        </w:rPr>
        <w:t xml:space="preserve">The Bank argues that the federal whistleblower schemes</w:t>
      </w:r>
      <w:r>
        <w:rPr>
          <w:color w:val="000000"/>
        </w:rPr>
        <w:t xml:space="preserve"> </w:t>
      </w:r>
      <w:r>
        <w:rPr>
          <w:color w:val="000000"/>
        </w:rPr>
        <w:t xml:space="preserve">“</w:t>
      </w:r>
      <w:r>
        <w:rPr>
          <w:color w:val="000000"/>
        </w:rPr>
        <w:t xml:space="preserve">occupy the field.</w:t>
      </w:r>
      <w:r>
        <w:rPr>
          <w:color w:val="000000"/>
        </w:rPr>
        <w:t xml:space="preserve">”</w:t>
      </w:r>
      <w:r>
        <w:rPr>
          <w:color w:val="000000"/>
        </w:rPr>
        <w:t xml:space="preserve"> </w:t>
      </w:r>
      <w:r>
        <w:rPr>
          <w:color w:val="000000"/>
        </w:rPr>
        <w:t xml:space="preserve">Br. at 25–26. Congress said the opposite. The very SOX provision the Bank invokes states:</w:t>
      </w:r>
      <w:r>
        <w:rPr>
          <w:color w:val="000000"/>
        </w:rPr>
        <w:t xml:space="preserve"> </w:t>
      </w:r>
      <w:r>
        <w:rPr>
          <w:color w:val="000000"/>
        </w:rPr>
        <w:t xml:space="preserve">“</w:t>
      </w:r>
      <w:r>
        <w:rPr>
          <w:color w:val="000000"/>
        </w:rPr>
        <w:t xml:space="preserve">Nothing in this section shall be deemed to diminish the rights, privileges, or remedies of any employee under any Federal or State law, or under any collective bargaining agreement.</w:t>
      </w:r>
      <w:r>
        <w:rPr>
          <w:color w:val="000000"/>
        </w:rPr>
        <w:t xml:space="preserve">”</w:t>
      </w:r>
      <w:r>
        <w:rPr>
          <w:color w:val="000000"/>
        </w:rPr>
        <w:t xml:space="preserve"> </w:t>
      </w:r>
      <w:r>
        <w:rPr>
          <w:color w:val="000000"/>
        </w:rPr>
        <w:t xml:space="preserve">18 U.S.C. § 1514A(d). An express savings clause for state-law remedies is incompatible with any claimed intent to occupy the field. The Bank’s brief does not mention this provision.</w:t>
      </w:r>
    </w:p>
    <w:p>
      <w:pPr>
        <w:pStyle w:val="BodyText"/>
      </w:pPr>
      <w:r>
        <w:rPr>
          <w:color w:val="000000"/>
        </w:rPr>
        <w:t xml:space="preserve">The Supreme Court rejected a nearly identical field-preemption argument in</w:t>
      </w:r>
      <w:r>
        <w:rPr>
          <w:color w:val="000000"/>
        </w:rPr>
        <w:t xml:space="preserve"> </w:t>
      </w:r>
      <w:r>
        <w:rPr>
          <w:i/>
          <w:iCs/>
          <w:color w:val="000000"/>
        </w:rPr>
        <w:t xml:space="preserve">English v. General Electric Co.</w:t>
      </w:r>
      <w:r>
        <w:rPr>
          <w:color w:val="000000"/>
        </w:rPr>
        <w:t xml:space="preserve">, 496 U.S. 72 (1990). There, the Court held that the federal whistleblower provision of the Energy Reorganization Act, part of a detailed federal regulatory scheme in an area of intense federal interest, did not preempt a whistleblower’s state-law tort claim arising from retaliation for reporting safety violations.</w:t>
      </w:r>
      <w:r>
        <w:rPr>
          <w:color w:val="000000"/>
        </w:rPr>
        <w:t xml:space="preserve"> </w:t>
      </w:r>
      <w:r>
        <w:rPr>
          <w:i/>
          <w:iCs/>
          <w:color w:val="000000"/>
        </w:rPr>
        <w:t xml:space="preserve">Id.</w:t>
      </w:r>
      <w:r>
        <w:rPr>
          <w:color w:val="000000"/>
        </w:rPr>
        <w:t xml:space="preserve"> </w:t>
      </w:r>
      <w:r>
        <w:rPr>
          <w:color w:val="000000"/>
        </w:rPr>
        <w:t xml:space="preserve">at 83–90. If the federal government’s pervasive regulation of nuclear safety did not preempt a state tort remedy for retaliation against a nuclear whistleblower, the BSA’s anti-retaliation provisions do not preempt Colorado’s public-policy tort. The Bank’s appeals to national-bank uniformity (Br. at 26) do not change the analysis. Colorado’s generally applicable tort does not regulate how a national bank conducts its banking business. It simply forbids firing employees for reporting suspected money laundering. That is a result federal law itself encourages.</w:t>
      </w:r>
      <w:r>
        <w:rPr>
          <w:color w:val="000000"/>
        </w:rPr>
        <w:t xml:space="preserve"> </w:t>
      </w:r>
      <w:r>
        <w:rPr>
          <w:i/>
          <w:iCs/>
          <w:color w:val="000000"/>
        </w:rPr>
        <w:t xml:space="preserve">Cf. Barnett Bank of Marion Cnty., N.A. v. Nelson</w:t>
      </w:r>
      <w:r>
        <w:rPr>
          <w:color w:val="000000"/>
        </w:rPr>
        <w:t xml:space="preserve">, 517 U.S. 25, 33 (1996) (state law is preempted where it</w:t>
      </w:r>
      <w:r>
        <w:rPr>
          <w:color w:val="000000"/>
        </w:rPr>
        <w:t xml:space="preserve"> </w:t>
      </w:r>
      <w:r>
        <w:rPr>
          <w:color w:val="000000"/>
        </w:rPr>
        <w:t xml:space="preserve">“</w:t>
      </w:r>
      <w:r>
        <w:rPr>
          <w:color w:val="000000"/>
        </w:rPr>
        <w:t xml:space="preserve">prevent[s] or significantly interfere[s] with the national bank’s exercise of its powers</w:t>
      </w:r>
      <w:r>
        <w:rPr>
          <w:color w:val="000000"/>
        </w:rPr>
        <w:t xml:space="preserve">”</w:t>
      </w:r>
      <w:r>
        <w:rPr>
          <w:color w:val="000000"/>
        </w:rPr>
        <w:t xml:space="preserve">).</w:t>
      </w:r>
    </w:p>
    <w:bookmarkEnd w:id="48"/>
    <w:bookmarkStart w:id="49" w:name="X8e2e3be330a84f9732af044ab88c64f87832e5e"/>
    <w:p>
      <w:pPr>
        <w:pStyle w:val="Heading3"/>
      </w:pPr>
      <w:r>
        <w:rPr>
          <w:color w:val="000000"/>
        </w:rPr>
        <w:t xml:space="preserve">3. There is no conflict between Colorado law and federal law.</w:t>
      </w:r>
    </w:p>
    <w:p>
      <w:pPr>
        <w:pStyle w:val="FirstParagraph"/>
      </w:pPr>
      <w:r>
        <w:rPr>
          <w:color w:val="000000"/>
        </w:rPr>
        <w:t xml:space="preserve">Conflict preemption requires either that compliance with both state and federal law be impossible or that state law stand as an obstacle to the accomplishment of Congress’s objectives.</w:t>
      </w:r>
      <w:r>
        <w:rPr>
          <w:color w:val="000000"/>
        </w:rPr>
        <w:t xml:space="preserve"> </w:t>
      </w:r>
      <w:r>
        <w:rPr>
          <w:i/>
          <w:iCs/>
          <w:color w:val="000000"/>
        </w:rPr>
        <w:t xml:space="preserve">English</w:t>
      </w:r>
      <w:r>
        <w:rPr>
          <w:color w:val="000000"/>
        </w:rPr>
        <w:t xml:space="preserve">, 496 U.S. at 79. Neither applies. The Bank can easily comply with both regimes by not retaliating against whistleblowers. A state remedy that deters retaliation against employees who report money laundering advances the BSA’s goals. The Bank’s objection to the potential availability of punitive damages (Br. at 26–27) is foreclosed by</w:t>
      </w:r>
      <w:r>
        <w:rPr>
          <w:color w:val="000000"/>
        </w:rPr>
        <w:t xml:space="preserve"> </w:t>
      </w:r>
      <w:r>
        <w:rPr>
          <w:i/>
          <w:iCs/>
          <w:color w:val="000000"/>
        </w:rPr>
        <w:t xml:space="preserve">Silkwood v. Kerr-McGee Corp.</w:t>
      </w:r>
      <w:r>
        <w:rPr>
          <w:color w:val="000000"/>
        </w:rPr>
        <w:t xml:space="preserve">, 464 U.S. 238, 256–58 (1984), which held that state-law punitive damages were not preempted despite comprehensive federal regulation of the field. It is also foreclosed by</w:t>
      </w:r>
      <w:r>
        <w:rPr>
          <w:color w:val="000000"/>
        </w:rPr>
        <w:t xml:space="preserve"> </w:t>
      </w:r>
      <w:r>
        <w:rPr>
          <w:i/>
          <w:iCs/>
          <w:color w:val="000000"/>
        </w:rPr>
        <w:t xml:space="preserve">English</w:t>
      </w:r>
      <w:r>
        <w:rPr>
          <w:color w:val="000000"/>
        </w:rPr>
        <w:t xml:space="preserve">, which rejected the argument that the availability of greater state-law remedies creates an obstacle conflict. 496 U.S. at 86–90.</w:t>
      </w:r>
    </w:p>
    <w:bookmarkEnd w:id="49"/>
    <w:bookmarkStart w:id="50" w:name="Xd89f69a883ac8dc65a0daa2a34473403e83493d"/>
    <w:p>
      <w:pPr>
        <w:pStyle w:val="Heading3"/>
      </w:pPr>
      <w:r>
        <w:rPr>
          <w:color w:val="000000"/>
        </w:rPr>
        <w:t xml:space="preserve">4. The</w:t>
      </w:r>
      <w:r>
        <w:rPr>
          <w:color w:val="000000"/>
        </w:rPr>
        <w:t xml:space="preserve"> </w:t>
      </w:r>
      <w:r>
        <w:rPr>
          <w:color w:val="000000"/>
        </w:rPr>
        <w:t xml:space="preserve">“</w:t>
      </w:r>
      <w:r>
        <w:rPr>
          <w:color w:val="000000"/>
        </w:rPr>
        <w:t xml:space="preserve">adequate statutory remedy</w:t>
      </w:r>
      <w:r>
        <w:rPr>
          <w:color w:val="000000"/>
        </w:rPr>
        <w:t xml:space="preserve">”</w:t>
      </w:r>
      <w:r>
        <w:rPr>
          <w:color w:val="000000"/>
        </w:rPr>
        <w:t xml:space="preserve"> </w:t>
      </w:r>
      <w:r>
        <w:rPr>
          <w:color w:val="000000"/>
        </w:rPr>
        <w:t xml:space="preserve">argument is a state-law point that fails on this record.</w:t>
      </w:r>
    </w:p>
    <w:p>
      <w:pPr>
        <w:pStyle w:val="FirstParagraph"/>
      </w:pPr>
      <w:r>
        <w:rPr>
          <w:color w:val="000000"/>
        </w:rPr>
        <w:t xml:space="preserve">Finally, the Bank argues that Colorado courts may decline to recognize the public-policy tort where a statute already provides an adequate remedy, citing</w:t>
      </w:r>
      <w:r>
        <w:rPr>
          <w:color w:val="000000"/>
        </w:rPr>
        <w:t xml:space="preserve"> </w:t>
      </w:r>
      <w:r>
        <w:rPr>
          <w:i/>
          <w:iCs/>
          <w:color w:val="000000"/>
        </w:rPr>
        <w:t xml:space="preserve">Crawford Rehabilitation Services, Inc. v. Weissman</w:t>
      </w:r>
      <w:r>
        <w:rPr>
          <w:color w:val="000000"/>
        </w:rPr>
        <w:t xml:space="preserve">, 938 P.2d 540 (Colo. 1997). Br. at 27. That is not a preemption argument, and by the Bank’s own description</w:t>
      </w:r>
      <w:r>
        <w:rPr>
          <w:color w:val="000000"/>
        </w:rPr>
        <w:t xml:space="preserve"> </w:t>
      </w:r>
      <w:r>
        <w:rPr>
          <w:i/>
          <w:iCs/>
          <w:color w:val="000000"/>
        </w:rPr>
        <w:t xml:space="preserve">Crawford</w:t>
      </w:r>
      <w:r>
        <w:rPr>
          <w:color w:val="000000"/>
        </w:rPr>
        <w:t xml:space="preserve"> </w:t>
      </w:r>
      <w:r>
        <w:rPr>
          <w:color w:val="000000"/>
        </w:rPr>
        <w:t xml:space="preserve">holds only that a statutory remedy</w:t>
      </w:r>
      <w:r>
        <w:rPr>
          <w:color w:val="000000"/>
        </w:rPr>
        <w:t xml:space="preserve"> </w:t>
      </w:r>
      <w:r>
        <w:rPr>
          <w:color w:val="000000"/>
        </w:rPr>
        <w:t xml:space="preserve">“</w:t>
      </w:r>
      <w:r>
        <w:rPr>
          <w:color w:val="000000"/>
        </w:rPr>
        <w:t xml:space="preserve">may</w:t>
      </w:r>
      <w:r>
        <w:rPr>
          <w:color w:val="000000"/>
        </w:rPr>
        <w:t xml:space="preserve">”</w:t>
      </w:r>
      <w:r>
        <w:rPr>
          <w:color w:val="000000"/>
        </w:rPr>
        <w:t xml:space="preserve"> </w:t>
      </w:r>
      <w:r>
        <w:rPr>
          <w:color w:val="000000"/>
        </w:rPr>
        <w:t xml:space="preserve">bear on the tort.</w:t>
      </w:r>
      <w:r>
        <w:rPr>
          <w:color w:val="000000"/>
        </w:rPr>
        <w:t xml:space="preserve"> </w:t>
      </w:r>
      <w:r>
        <w:rPr>
          <w:i/>
          <w:iCs/>
          <w:color w:val="000000"/>
        </w:rPr>
        <w:t xml:space="preserve">Id.</w:t>
      </w:r>
      <w:r>
        <w:rPr>
          <w:color w:val="000000"/>
        </w:rPr>
        <w:t xml:space="preserve"> </w:t>
      </w:r>
      <w:r>
        <w:rPr>
          <w:color w:val="000000"/>
        </w:rPr>
        <w:t xml:space="preserve">The argument fails here for three reasons.</w:t>
      </w:r>
    </w:p>
    <w:p>
      <w:pPr>
        <w:pStyle w:val="BodyText"/>
      </w:pPr>
      <w:r>
        <w:rPr>
          <w:color w:val="000000"/>
        </w:rPr>
        <w:t xml:space="preserve">First, the Bank cannot argue both that the federal remedies are adequate and that they are unavailable. In the same brief, it contends that SOX does not apply to it at all and that the BSA claim fails for lack of knowledge. Br. at 8–13, 22–24. If the Bank were correct on those points, Ms. Vasquez would have no federal remedy, and the premise of the</w:t>
      </w:r>
      <w:r>
        <w:rPr>
          <w:color w:val="000000"/>
        </w:rPr>
        <w:t xml:space="preserve"> </w:t>
      </w:r>
      <w:r>
        <w:rPr>
          <w:color w:val="000000"/>
        </w:rPr>
        <w:t xml:space="preserve">“</w:t>
      </w:r>
      <w:r>
        <w:rPr>
          <w:color w:val="000000"/>
        </w:rPr>
        <w:t xml:space="preserve">adequate remedy</w:t>
      </w:r>
      <w:r>
        <w:rPr>
          <w:color w:val="000000"/>
        </w:rPr>
        <w:t xml:space="preserve">”</w:t>
      </w:r>
      <w:r>
        <w:rPr>
          <w:color w:val="000000"/>
        </w:rPr>
        <w:t xml:space="preserve"> </w:t>
      </w:r>
      <w:r>
        <w:rPr>
          <w:color w:val="000000"/>
        </w:rPr>
        <w:t xml:space="preserve">argument would disappear. Second, the Federal Rules expressly permit alternative and inconsistent claims. Fed. R. Civ. P. 8(d)(2)–(3). Any question of election or duplicative recovery can be addressed at judgment and provides no basis for summary judgment now. Third, the public policy supporting Count III is not limited to the federal whistleblower statutes. It also includes Colorado’s own criminal prohibition on money laundering, C.R.S. § 18-5-309, and the broader policy against requiring employees to be complicit in, or silent about, suspected financial crime. [</w:t>
      </w:r>
      <w:r>
        <w:rPr>
          <w:i/>
          <w:iCs/>
          <w:color w:val="000000"/>
        </w:rPr>
        <w:t xml:space="preserve">Drafting note: conform to the public-policy sources pleaded in the Complaint, ¶¶ 78–112.</w:t>
      </w:r>
      <w:r>
        <w:rPr>
          <w:color w:val="000000"/>
        </w:rPr>
        <w:t xml:space="preserve">] The Bank makes no argument that Ms. Vasquez cannot satisfy the elements of the</w:t>
      </w:r>
      <w:r>
        <w:rPr>
          <w:color w:val="000000"/>
        </w:rPr>
        <w:t xml:space="preserve"> </w:t>
      </w:r>
      <w:r>
        <w:rPr>
          <w:i/>
          <w:iCs/>
          <w:color w:val="000000"/>
        </w:rPr>
        <w:t xml:space="preserve">Martin Marietta</w:t>
      </w:r>
      <w:r>
        <w:rPr>
          <w:color w:val="000000"/>
        </w:rPr>
        <w:t xml:space="preserve"> </w:t>
      </w:r>
      <w:r>
        <w:rPr>
          <w:color w:val="000000"/>
        </w:rPr>
        <w:t xml:space="preserve">tort. Summary judgment on Count III should be denied.</w:t>
      </w:r>
    </w:p>
    <w:bookmarkEnd w:id="50"/>
    <w:bookmarkEnd w:id="51"/>
    <w:bookmarkEnd w:id="52"/>
    <w:bookmarkStart w:id="53" w:name="vi.-conclusion"/>
    <w:p>
      <w:pPr>
        <w:pStyle w:val="Heading1"/>
      </w:pPr>
      <w:r>
        <w:rPr>
          <w:color w:val="000000"/>
        </w:rPr>
        <w:t xml:space="preserve">VI. CONCLUSION</w:t>
      </w:r>
    </w:p>
    <w:p>
      <w:pPr>
        <w:pStyle w:val="FirstParagraph"/>
      </w:pPr>
      <w:r>
        <w:rPr>
          <w:color w:val="000000"/>
        </w:rPr>
        <w:t xml:space="preserve">The Bank’s General Counsel named Ms. Vasquez as the source of a federal regulatory inquiry and called for her to be</w:t>
      </w:r>
      <w:r>
        <w:rPr>
          <w:color w:val="000000"/>
        </w:rPr>
        <w:t xml:space="preserve"> </w:t>
      </w:r>
      <w:r>
        <w:rPr>
          <w:color w:val="000000"/>
        </w:rPr>
        <w:t xml:space="preserve">“</w:t>
      </w:r>
      <w:r>
        <w:rPr>
          <w:color w:val="000000"/>
        </w:rPr>
        <w:t xml:space="preserve">contain[ed].</w:t>
      </w:r>
      <w:r>
        <w:rPr>
          <w:color w:val="000000"/>
        </w:rPr>
        <w:t xml:space="preserve">”</w:t>
      </w:r>
      <w:r>
        <w:rPr>
          <w:color w:val="000000"/>
        </w:rPr>
        <w:t xml:space="preserve"> </w:t>
      </w:r>
      <w:r>
        <w:rPr>
          <w:color w:val="000000"/>
        </w:rPr>
        <w:t xml:space="preserve">The decision-maker replied,</w:t>
      </w:r>
      <w:r>
        <w:rPr>
          <w:color w:val="000000"/>
        </w:rPr>
        <w:t xml:space="preserve"> </w:t>
      </w:r>
      <w:r>
        <w:rPr>
          <w:color w:val="000000"/>
        </w:rPr>
        <w:t xml:space="preserve">“</w:t>
      </w:r>
      <w:r>
        <w:rPr>
          <w:color w:val="000000"/>
        </w:rPr>
        <w:t xml:space="preserve">Let me handle this,</w:t>
      </w:r>
      <w:r>
        <w:rPr>
          <w:color w:val="000000"/>
        </w:rPr>
        <w:t xml:space="preserve">”</w:t>
      </w:r>
      <w:r>
        <w:rPr>
          <w:color w:val="000000"/>
        </w:rPr>
        <w:t xml:space="preserve"> </w:t>
      </w:r>
      <w:r>
        <w:rPr>
          <w:color w:val="000000"/>
        </w:rPr>
        <w:t xml:space="preserve">and thirteen days later issued a PIP built on an invented target, loan files the Bank’s auditors had approved, and a complaint the client denies ever making. The Bank then fired the only other employee who had recommended SAR filing on Orion Gateway. A jury should decide why Ms. Vasquez was fired. Section 1514A covers the Bank by its express terms, and Congress preserved the state-law remedies the Bank says are preempted. Plaintiff respectfully requests that the Court deny Defendant’s Motion for Summary Judgment in its entirety.</w:t>
      </w:r>
    </w:p>
    <w:bookmarkEnd w:id="53"/>
    <w:p>
      <w:pPr>
        <w:keepNext/>
        <w:spacing w:after="240" w:line="240" w:lineRule="auto"/>
      </w:pPr>
      <w:r>
        <w:rPr>
          <w:b w:val="0"/>
          <w:i w:val="0"/>
        </w:rPr>
        <w:t>Dated: April 22, 2024</w:t>
      </w:r>
    </w:p>
    <w:p>
      <w:pPr>
        <w:keepNext/>
        <w:spacing w:after="240" w:line="240" w:lineRule="auto"/>
        <w:ind w:left="4680"/>
      </w:pPr>
      <w:r>
        <w:rPr>
          <w:b w:val="0"/>
          <w:i w:val="0"/>
        </w:rPr>
        <w:t>Respectfully submitted,</w:t>
      </w:r>
    </w:p>
    <w:p>
      <w:pPr>
        <w:keepNext/>
        <w:spacing w:after="480" w:line="240" w:lineRule="auto"/>
        <w:ind w:left="4680"/>
      </w:pPr>
      <w:r>
        <w:rPr>
          <w:b/>
          <w:i w:val="0"/>
        </w:rPr>
        <w:t>GARRITY &amp; LOWE LLP</w:t>
      </w:r>
    </w:p>
    <w:p>
      <w:pPr>
        <w:keepNext/>
        <w:spacing w:after="0" w:line="240" w:lineRule="auto"/>
        <w:ind w:left="4680"/>
      </w:pPr>
      <w:r>
        <w:rPr>
          <w:b w:val="0"/>
          <w:i w:val="0"/>
        </w:rPr>
        <w:t>s/ Margaret Garrity</w:t>
      </w:r>
    </w:p>
    <w:p>
      <w:pPr>
        <w:keepNext/>
        <w:spacing w:after="0" w:line="240" w:lineRule="auto"/>
        <w:ind w:left="4680"/>
      </w:pPr>
      <w:r>
        <w:rPr>
          <w:b w:val="0"/>
          <w:i w:val="0"/>
        </w:rPr>
        <w:t>Margaret Garrity</w:t>
      </w:r>
    </w:p>
    <w:p>
      <w:pPr>
        <w:keepNext/>
        <w:spacing w:after="0" w:line="240" w:lineRule="auto"/>
        <w:ind w:left="4680"/>
      </w:pPr>
      <w:r>
        <w:rPr>
          <w:b w:val="0"/>
          <w:i w:val="0"/>
        </w:rPr>
        <w:t>James Okafor</w:t>
      </w:r>
    </w:p>
    <w:p>
      <w:pPr>
        <w:keepNext/>
        <w:spacing w:after="0" w:line="240" w:lineRule="auto"/>
        <w:ind w:left="4680"/>
      </w:pPr>
      <w:r>
        <w:rPr>
          <w:b w:val="0"/>
          <w:i w:val="0"/>
        </w:rPr>
        <w:t>1600 Stout Street, Suite 1050</w:t>
      </w:r>
    </w:p>
    <w:p>
      <w:pPr>
        <w:keepNext/>
        <w:spacing w:after="0" w:line="240" w:lineRule="auto"/>
        <w:ind w:left="4680"/>
      </w:pPr>
      <w:r>
        <w:rPr>
          <w:b w:val="0"/>
          <w:i w:val="0"/>
        </w:rPr>
        <w:t>Denver, Colorado 80202</w:t>
      </w:r>
    </w:p>
    <w:p>
      <w:pPr>
        <w:keepNext/>
        <w:spacing w:after="0" w:line="240" w:lineRule="auto"/>
        <w:ind w:left="4680"/>
      </w:pPr>
      <w:r>
        <w:rPr>
          <w:b w:val="0"/>
          <w:i w:val="0"/>
        </w:rPr>
        <w:t>mgarrity@garritylowe.com</w:t>
      </w:r>
    </w:p>
    <w:p>
      <w:pPr>
        <w:keepNext/>
        <w:spacing w:after="0" w:line="240" w:lineRule="auto"/>
        <w:ind w:left="4680"/>
      </w:pPr>
      <w:r>
        <w:rPr>
          <w:b w:val="0"/>
          <w:i w:val="0"/>
        </w:rPr>
        <w:t>jokafor@garritylowe.com</w:t>
      </w:r>
    </w:p>
    <w:p>
      <w:pPr>
        <w:spacing w:after="120" w:line="240" w:lineRule="auto"/>
      </w:pPr>
    </w:p>
    <w:p>
      <w:pPr>
        <w:spacing w:after="240" w:line="240" w:lineRule="auto"/>
        <w:ind w:left="4680"/>
      </w:pPr>
      <w:r>
        <w:rPr>
          <w:b w:val="0"/>
          <w:i/>
        </w:rPr>
        <w:t>Attorneys for Plaintiff Elena Vasquez</w:t>
      </w:r>
    </w:p>
    <w:p>
      <w:pPr>
        <w:pageBreakBefore/>
        <w:spacing w:after="240" w:line="240" w:lineRule="auto"/>
        <w:jc w:val="center"/>
      </w:pPr>
      <w:r>
        <w:rPr>
          <w:b/>
          <w:i w:val="0"/>
        </w:rPr>
        <w:t>CERTIFICATE OF COMPLIANCE</w:t>
      </w:r>
    </w:p>
    <w:p>
      <w:pPr>
        <w:spacing w:after="480" w:line="240" w:lineRule="auto"/>
        <w:jc w:val="both"/>
      </w:pPr>
      <w:r>
        <w:rPr>
          <w:b w:val="0"/>
          <w:i w:val="0"/>
        </w:rPr>
        <w:t>I certify that this memorandum complies with the type-volume and formatting requirements of D.C.COLO.LCivR 7.1 and 10.1 and the applicable Civil Practice Standards of the presiding judge, or with any order granting leave to exceed page or word limits. [Insert word count/page count and reference to any order granting leave.]</w:t>
      </w:r>
    </w:p>
    <w:p>
      <w:pPr>
        <w:spacing w:after="240" w:line="240" w:lineRule="auto"/>
        <w:jc w:val="center"/>
      </w:pPr>
      <w:r>
        <w:rPr>
          <w:b/>
          <w:i w:val="0"/>
        </w:rPr>
        <w:t>CERTIFICATE OF SERVICE</w:t>
      </w:r>
    </w:p>
    <w:p>
      <w:pPr>
        <w:spacing w:after="240" w:line="240" w:lineRule="auto"/>
        <w:jc w:val="both"/>
      </w:pPr>
      <w:r>
        <w:rPr>
          <w:b w:val="0"/>
          <w:i w:val="0"/>
        </w:rPr>
        <w:t>I certify that on April 22, 2024, I electronically filed the foregoing, together with its exhibits, with the Clerk of Court using the CM/ECF system, which will send notification of the filing to all counsel of record, including:</w:t>
      </w:r>
    </w:p>
    <w:p>
      <w:pPr>
        <w:spacing w:after="0" w:line="240" w:lineRule="auto"/>
        <w:ind w:left="1440"/>
      </w:pPr>
      <w:r>
        <w:rPr>
          <w:b w:val="0"/>
          <w:i w:val="0"/>
        </w:rPr>
        <w:t>Patricia Nolan, Esq.</w:t>
      </w:r>
    </w:p>
    <w:p>
      <w:pPr>
        <w:spacing w:after="0" w:line="240" w:lineRule="auto"/>
        <w:ind w:left="1440"/>
      </w:pPr>
      <w:r>
        <w:rPr>
          <w:b w:val="0"/>
          <w:i w:val="0"/>
        </w:rPr>
        <w:t>Derek Fung, Esq.</w:t>
      </w:r>
    </w:p>
    <w:p>
      <w:pPr>
        <w:spacing w:after="0" w:line="240" w:lineRule="auto"/>
        <w:ind w:left="1440"/>
      </w:pPr>
      <w:r>
        <w:rPr>
          <w:b w:val="0"/>
          <w:i w:val="0"/>
        </w:rPr>
        <w:t>CRESTON, SHAW &amp; WHITMORE LLP</w:t>
      </w:r>
    </w:p>
    <w:p>
      <w:pPr>
        <w:spacing w:after="0" w:line="240" w:lineRule="auto"/>
        <w:ind w:left="1440"/>
      </w:pPr>
      <w:r>
        <w:rPr>
          <w:b w:val="0"/>
          <w:i w:val="0"/>
        </w:rPr>
        <w:t>1700 Lincoln Street, Suite 3200</w:t>
      </w:r>
    </w:p>
    <w:p>
      <w:pPr>
        <w:spacing w:after="0" w:line="240" w:lineRule="auto"/>
        <w:ind w:left="1440"/>
      </w:pPr>
      <w:r>
        <w:rPr>
          <w:b w:val="0"/>
          <w:i w:val="0"/>
        </w:rPr>
        <w:t>Denver, Colorado 80203</w:t>
      </w:r>
    </w:p>
    <w:p>
      <w:pPr>
        <w:spacing w:after="0" w:line="240" w:lineRule="auto"/>
        <w:ind w:left="1440"/>
      </w:pPr>
      <w:r>
        <w:rPr>
          <w:b w:val="0"/>
          <w:i w:val="0"/>
        </w:rPr>
        <w:t>pnolan@crestonshaw.com</w:t>
      </w:r>
    </w:p>
    <w:p>
      <w:pPr>
        <w:spacing w:after="0" w:line="240" w:lineRule="auto"/>
        <w:ind w:left="1440"/>
      </w:pPr>
      <w:r>
        <w:rPr>
          <w:b w:val="0"/>
          <w:i w:val="0"/>
        </w:rPr>
        <w:t>dfung@crestonshaw.com</w:t>
      </w:r>
    </w:p>
    <w:p>
      <w:pPr>
        <w:spacing w:after="480" w:line="240" w:lineRule="auto"/>
        <w:ind w:left="1440"/>
      </w:pPr>
      <w:r>
        <w:rPr>
          <w:b w:val="0"/>
          <w:i/>
        </w:rPr>
        <w:t>Attorneys for Defendant Ridgeline National Bank</w:t>
      </w:r>
    </w:p>
    <w:p>
      <w:pPr>
        <w:spacing w:after="0" w:line="240" w:lineRule="auto"/>
        <w:ind w:left="4680"/>
      </w:pPr>
      <w:r>
        <w:rPr>
          <w:b w:val="0"/>
          <w:i w:val="0"/>
        </w:rPr>
        <w:t>s/ Margaret Garrity</w:t>
      </w:r>
    </w:p>
    <w:p>
      <w:pPr>
        <w:spacing w:after="0" w:line="240" w:lineRule="auto"/>
        <w:ind w:left="4680"/>
      </w:pPr>
      <w:r>
        <w:rPr>
          <w:b w:val="0"/>
          <w:i w:val="0"/>
        </w:rPr>
        <w:t>Margaret Garrity</w:t>
      </w:r>
    </w:p>
    <w:sectPr>
      <w:foot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Plaintiff pleaded her BSA claim under 31 U.S.C. § 5328. Plaintiff notes that the Anti-Money Laundering Act of 2020 separately amended 31 U.S.C. § 5323(g) to protect employees who report suspected BSA violations internally, including to a supervisor or to a person with authority to investigate. The Bank concedes that it knew of Ms. Vasquez’s April 3 internal report. Br. at 2, 5. Plaintiff reserves the right to seek leave to amend to the extent the Court concludes that the pleaded theory does not reach the Bank’s retaliation for her internal reporting. [</w:t>
      </w:r>
      <w:r>
        <w:rPr>
          <w:i/>
          <w:iCs/>
        </w:rPr>
        <w:t xml:space="preserve">Drafting note: confirm the statutory text, the administrative-exhaustion requirements, and the timing before relying on this footnote.</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qFormat/>
    <w:pPr>
      <w:spacing w:after="0" w:before="0" w:line="480" w:lineRule="auto"/>
      <w:ind w:firstLine="720"/>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720"/>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40" w:before="0" w:line="240" w:lineRule="auto"/>
      <w:ind w:left="1440" w:right="1080" w:firstLine="0"/>
      <w:jc w:val="both"/>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120"/>
    </w:pPr>
    <w:rPr>
      <w:rFonts w:ascii="Times New Roman" w:hAnsi="Times New Roman" w:cs="Times New Roman" w:eastAsia="Times New Roman"/>
      <w:color w:val="000000"/>
      <w:sz w:val="2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2026-09-27T01:04:48Z</dcterms:created>
  <dcterms:modified xsi:type="dcterms:W3CDTF">2026-09-27T01:04:48Z</dcterms:modified>
</cp:coreProperties>
</file>

<file path=docProps/custom.xml><?xml version="1.0" encoding="utf-8"?>
<Properties xmlns="http://schemas.openxmlformats.org/officeDocument/2006/custom-properties" xmlns:vt="http://schemas.openxmlformats.org/officeDocument/2006/docPropsVTypes"/>
</file>