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40"/>
        <w:jc w:val="center"/>
      </w:pPr>
      <w:r>
        <w:rPr>
          <w:rFonts w:ascii="Times New Roman" w:hAnsi="Times New Roman"/>
          <w:b/>
          <w:sz w:val="24"/>
        </w:rPr>
        <w:t>UNITED STATES DISTRICT COURT</w:t>
      </w:r>
    </w:p>
    <w:p>
      <w:pPr>
        <w:spacing w:line="240" w:lineRule="auto" w:after="160"/>
        <w:jc w:val="center"/>
      </w:pPr>
      <w:r>
        <w:rPr>
          <w:rFonts w:ascii="Times New Roman" w:hAnsi="Times New Roman"/>
          <w:b/>
          <w:sz w:val="24"/>
        </w:rPr>
        <w:t>DISTRICT OF CONNECTICUT</w:t>
      </w:r>
    </w:p>
    <w:tbl>
      <w:tblPr>
        <w:tblW w:type="auto" w:w="0"/>
        <w:jc w:val="center"/>
        <w:tblLayout w:type="fixed"/>
        <w:tblLook w:firstColumn="1" w:firstRow="1" w:lastColumn="0" w:lastRow="0" w:noHBand="0" w:noVBand="1" w:val="04A0"/>
      </w:tblPr>
      <w:tblGrid>
        <w:gridCol w:w="5112"/>
        <w:gridCol w:w="4320"/>
      </w:tblGrid>
      <w:tr>
        <w:tc>
          <w:tcPr>
            <w:tcW w:type="dxa" w:w="4680"/>
            <w:vAlign w:val="center"/>
            <w:tcBorders>
              <w:top w:val="nil"/>
              <w:left w:val="nil"/>
              <w:bottom w:val="nil"/>
              <w:right w:val="nil"/>
              <w:insideH w:val="nil"/>
              <w:insideV w:val="nil"/>
            </w:tcBorders>
          </w:tcPr>
          <w:p>
            <w:pPr>
              <w:spacing w:line="240" w:lineRule="auto" w:after="20"/>
            </w:pPr>
            <w:r/>
            <w:r>
              <w:rPr>
                <w:b/>
              </w:rPr>
              <w:t>PINNACLE HOSPITALITY GROUP, INC.,</w:t>
            </w:r>
            <w:r>
              <w:br/>
              <w:t>Plaintiff,</w:t>
              <w:br/>
              <w:br/>
              <w:t>v.</w:t>
              <w:br/>
              <w:br/>
            </w:r>
            <w:r>
              <w:rPr>
                <w:b/>
              </w:rPr>
              <w:t>DENISE WHITAKER and LODESTAR CAPITAL PARTNERS LLC,</w:t>
            </w:r>
            <w:r>
              <w:br/>
              <w:t>Defendants.</w:t>
            </w:r>
          </w:p>
        </w:tc>
        <w:tc>
          <w:tcPr>
            <w:tcW w:type="dxa" w:w="4680"/>
            <w:vAlign w:val="center"/>
            <w:tcBorders>
              <w:top w:val="nil"/>
              <w:left w:val="nil"/>
              <w:bottom w:val="nil"/>
              <w:right w:val="nil"/>
              <w:insideH w:val="nil"/>
              <w:insideV w:val="nil"/>
            </w:tcBorders>
          </w:tcPr>
          <w:p>
            <w:pPr>
              <w:spacing w:line="240" w:lineRule="auto" w:after="20"/>
              <w:jc w:val="center"/>
            </w:pPr>
            <w:r/>
            <w:r>
              <w:t>Case No. 3:25-cv-00482-SRU</w:t>
              <w:br/>
              <w:br/>
            </w:r>
            <w:r>
              <w:rPr>
                <w:b/>
              </w:rPr>
              <w:t>PLAINTIFF’S MEMORANDUM OF LAW IN OPPOSITION TO DEFENDANTS’ JOINT MOTION TO DISMISS</w:t>
            </w:r>
            <w:r>
              <w:br/>
              <w:br/>
              <w:t>JURY TRIAL DEMANDED</w:t>
            </w:r>
          </w:p>
        </w:tc>
      </w:tr>
    </w:tbl>
    <w:p>
      <w:pPr>
        <w:jc w:val="center"/>
      </w:pPr>
    </w:p>
    <w:p>
      <w:pPr>
        <w:pStyle w:val="Heading1"/>
      </w:pPr>
      <w:r>
        <w:t>PRELIMINARY STATEMENT</w:t>
      </w:r>
    </w:p>
    <w:p>
      <w:r>
        <w:rPr>
          <w:b w:val="0"/>
          <w:i w:val="0"/>
        </w:rPr>
        <w:t>Defendants ask the Court to treat a concrete record of alleged misappropriation and targeted competition as a collection of harmless possibilities. The Complaint alleges that, four days before resigning, Pinnacle’s Chief Revenue Officer copied approximately 14,200 files from restricted company systems to a personal, unapproved USB drive. The files included the complete Platinum Client List, 186 pages of RevMaxPro specifications, strategic plans, and financial models for nine pending bids. Meridian’s forensic investigation corroborated the transfer through SharePoint audit logs, endpoint telemetry, Windows logs, and the corporate laptop. The Complaint further alleges that within weeks of Whitaker’s arrival at Lodestar, Lodestar targeted six named Pinnacle clients—three of which were referenced in the downloaded bid models—and Whitaker personally sent proposals to at least Northridge and Coastal Haven that reflected nonpublic knowledge of portfolio operations, contract timing, rates, and performance benchmarks. (Compl. ¶¶ 86–98, 115–28; Ex. B; Opp. Exs. A–B.)</w:t>
      </w:r>
    </w:p>
    <w:p>
      <w:r>
        <w:rPr>
          <w:b w:val="0"/>
          <w:i w:val="0"/>
        </w:rPr>
        <w:t>Those allegations do not depend on a client having already terminated a long-term agreement. They describe a completed transfer of protected information, current retention and threatened use, direct solicitation of identified clients, active evaluation of specific proposals, and present impairment of Pinnacle’s secrecy, competitive position, and client goodwill. The complaints’ factual detail is unusually substantial: it identifies the algorithm, its development, function, cost, specifications and security controls; the particular data fields and access restrictions of the client compilation; and the specific files and proposals linking the transfer to Lodestar’s outreach. Rule 12(b)(6) does not require Pinnacle to prove what discovery is designed to establish—what the USB now contains, who at Lodestar saw it, or every dollar of resulting loss.</w:t>
      </w:r>
    </w:p>
    <w:p>
      <w:r>
        <w:rPr>
          <w:b w:val="0"/>
          <w:i w:val="0"/>
        </w:rPr>
        <w:t>The motion’s principal premise—that Whitaker’s access to the files authorized her to transfer them to a personal device—confuses permission to access information for Pinnacle’s business with permission to remove it from Pinnacle’s security perimeter for a nonbusiness purpose. The Complaint and forensic report allege that Pinnacle expressly prohibited personal-device transfers absent written approval, that none was sought or granted, and that this was Whitaker’s first USB connection in the preceding year. (Compl. ¶¶ 86–98; Ex. B.) The DTSA and CUTSA reach both acquisition by improper means and unauthorized use or disclosure; they do not immunize a senior executive who had legitimate in-system access but allegedly copied restricted data in violation of a duty to maintain secrecy and limit use.</w:t>
      </w:r>
    </w:p>
    <w:p>
      <w:r>
        <w:rPr>
          <w:b w:val="0"/>
          <w:i w:val="0"/>
        </w:rPr>
        <w:t>Nor can Defendants recast Lodestar’s business as purely investment-side activity at this stage. Lodestar’s own press release describes its hospitality vertical as acquiring, repositioning, and actively managing hotel assets, and as deploying “institutional-grade management and revenue strategies.” It identifies Whitaker as the leader of that platform and says she brings “proprietary insights into hospitality revenue optimization.” (Defs.’ Ex. C; Compl. ¶¶ 103–12.) The Court need not treat the phrase “proprietary insights” as a confession of theft. In context, however, the release is consistent with the pleaded inference that Lodestar hired Whitaker for knowledge obtained at Pinnacle and then used that knowledge to pursue Pinnacle’s clients. The contemporaneous client communications add concrete detail: Northridge reported that Whitaker’s proposal referenced its portfolio, contract timing, and performance benchmarks; Coastal Haven reported specific rate structures and occupancy benchmarks and identified Whitaker as the author of the proposal. (Opp. Exs. A–B.)</w:t>
      </w:r>
    </w:p>
    <w:p>
      <w:r>
        <w:rPr>
          <w:b w:val="0"/>
          <w:i w:val="0"/>
        </w:rPr>
        <w:t>The RCA’s full nationwide reach may ultimately require careful application of Connecticut’s reasonableness factors. But that question does not dispose of Count I, which also pleads client nonsolicitation, employee nonsolicitation, confidentiality, and return-of-materials breaches. And even as to the non-compete, the alleged conduct is centered on Lodestar’s New York office and clients and properties within Pinnacle’s actual 14-state footprint; the parties expressly authorized minimum reformation in Section 8.5. The balance of the motion likewise asks the Court to weigh disputed inferences, demand proof of facts in Defendants’ exclusive possession, and decide whether customers will ultimately leave. That is not the Rule 12 task. The motion should be denied.</w:t>
      </w:r>
    </w:p>
    <w:p>
      <w:pPr>
        <w:pStyle w:val="Heading1"/>
      </w:pPr>
      <w:r>
        <w:t>RELEVANT FACTUAL ALLEGATIONS</w:t>
      </w:r>
    </w:p>
    <w:p>
      <w:r>
        <w:rPr>
          <w:b w:val="0"/>
          <w:i w:val="0"/>
        </w:rPr>
        <w:t>Pinnacle manages 47 boutique and lifestyle hotels in 14 states and generates approximately $312 million in annual revenue. Its long-term management agreements typically run five to ten years. Its top 20 ownership clients account for more than 60% of revenue. (Compl. ¶¶ 14–15, 30, 34–35.) Whitaker served as Chief Revenue Officer, reported directly to the CEO, led revenue strategy across the portfolio, participated in executive planning, and personally handled quarterly reviews, renewals, and strategic planning for Pinnacle’s major owner clients. (Id. ¶¶ 81–84.)</w:t>
      </w:r>
    </w:p>
    <w:p>
      <w:r>
        <w:rPr>
          <w:b w:val="0"/>
          <w:i w:val="0"/>
        </w:rPr>
        <w:t>Pinnacle alleges concrete secrecy and economic-value facts. RevMaxPro was developed over four years at a cost of approximately $3.8 million; it uses real-time market, historical occupancy, competitor-pricing, and client-preference data through a proprietary weighting methodology. Its 12 specification files span 186 pages and disclose its logic, inputs, weighting and calibration. Only nine employees could access complete specifications; documents carried a “PINNACLE CONFIDENTIAL—RESTRICTED” watermark and resided on protected systems. Pinnacle alleges RevMaxPro has supported portfolio RevPAR performance averaging 12% above industry benchmarks. (Id. ¶¶ 41–50.)</w:t>
      </w:r>
    </w:p>
    <w:p>
      <w:r>
        <w:rPr>
          <w:b w:val="0"/>
          <w:i w:val="0"/>
        </w:rPr>
        <w:t>The Platinum Client List is not alleged to be a list of names alone. It is a 2,200-contact compilation containing annual spend, booking value and trends, travel preferences, renewal dates, negotiated rates and discount tiers, booking patterns, relationship notes, and purchasing-authority designations. Only 11 of approximately 640 employees could read the Salesforce instance and only four could export the full database; role-based access, MFA, audit logging, IP restrictions, watermarks, and confidentiality acknowledgments protected it. (Id. ¶¶ 51–60.) The complaint separately identifies dynamic-pricing templates, 2024–2026 strategic plans, internal benchmarks, and nine pending-bid financial models containing proposed fees, returns, cost assumptions, and competitive positioning. (Id. ¶¶ 61–65; Ex. B.)</w:t>
      </w:r>
    </w:p>
    <w:p>
      <w:r>
        <w:rPr>
          <w:b w:val="0"/>
          <w:i w:val="0"/>
        </w:rPr>
        <w:t>On January 6, 2025, four days before Whitaker’s resignation, she connected a personal USB device and copied approximately 14,200 files from Pinnacle’s secure SharePoint environment. The forensic report identifies the complete client-list export, the RevMaxPro specifications, eight strategic-planning presentations, nine bid models, and thousands of additional reports, templates and analyses. Approximately 94.5% of the files bore a confidentiality designation. The USB device was personal, not on Pinnacle’s approved-device whitelist, and had never previously been connected to Whitaker’s corporate laptop. Pinnacle’s policy limited access to company business and prohibited personal-device transfer without prior written authorization; no request or authorization existed. (Id. ¶¶ 86–98; Ex. B.) The bid models included two Northridge files, one Coastal Haven file, and one Belmont file. (Ex. B.) Meridian could not inspect Whitaker’s personal USB or Lodestar’s systems and therefore could not determine whether the files were later transferred or used—information that is now within Defendants’ control. (Ex. B, § VII.)</w:t>
      </w:r>
    </w:p>
    <w:p>
      <w:r>
        <w:rPr>
          <w:b w:val="0"/>
          <w:i w:val="0"/>
        </w:rPr>
        <w:t>Lodestar announced Whitaker’s appointment as Managing Director and Head of Hospitality Strategy 24 days after her departure. Its release announced a platform to acquire, reposition, and actively manage boutique and lifestyle hotels across the United States, and described Whitaker as bringing “proprietary insights into hospitality revenue optimization.” (Compl. ¶¶ 103–12; Defs.’ Ex. C.) From February 10 through March 28, Lodestar approached six named Pinnacle top-20 clients representing approximately $41.3 million in annual Pinnacle revenue. Each had a multi-year management agreement; Whitaker had material contact with each. (Compl. ¶¶ 115–20.)</w:t>
      </w:r>
    </w:p>
    <w:p>
      <w:r>
        <w:rPr>
          <w:b w:val="0"/>
          <w:i w:val="0"/>
        </w:rPr>
        <w:t>The pleaded client communications are specific, not hypothetical. Northridge reported that Whitaker sent an unsolicited proposal referencing its Pinnacle-managed portfolio and details suggesting knowledge of contract timing and performance benchmarks not believed to be public; it was evaluating options, although no decision had been made and Pinnacle’s performance was satisfactory. (Compl. ¶¶ 122, 127; Opp. Ex. A.) Coastal Haven reported repeated outreach, a written proposal signed by Whitaker, and specific references to rate structures, occupancy benchmarks, and its upcoming review cycle; its board was evaluating options and requested a meeting with Pinnacle. (Compl. ¶¶ 123, 128; Opp. Ex. B.) Together, those clients account for $19.9 million in annual revenue. (Compl. ¶¶ 124, 145.) Lodestar also solicited Dr. Priya Ramachandran, Pinnacle’s VP of Data Analytics and a key RevMaxPro architect; she declined and remains employed. (Id. ¶¶ 136–42.)</w:t>
      </w:r>
    </w:p>
    <w:p>
      <w:pPr>
        <w:pStyle w:val="Heading1"/>
      </w:pPr>
      <w:r>
        <w:t>LEGAL STANDARD</w:t>
      </w:r>
    </w:p>
    <w:p>
      <w:r>
        <w:rPr>
          <w:b w:val="0"/>
          <w:i w:val="0"/>
        </w:rPr>
        <w:t>A complaint survives Rule 12(b)(6) when its well-pleaded facts, accepted as true and viewed with reasonable inferences in the plaintiff’s favor, state a facially plausible claim. Fed. R. Civ. P. 12(b)(6); Bell Atl. Corp. v. Twombly, 550 U.S. 544, 555–57, 570 (2007); Ashcroft v. Iqbal, 556 U.S. 662, 678–79 (2009). Plausibility is not probability; the Court does not resolve competing factual explanations or require proof at the pleading stage. The Court may consider the complaint and its exhibits, documents incorporated by reference, and documents integral to the complaint whose authenticity is not disputed. Chambers v. Time Warner, Inc., 282 F.3d 147, 152–53 (2d Cir. 2002).</w:t>
      </w:r>
    </w:p>
    <w:p>
      <w:r>
        <w:rPr>
          <w:b w:val="0"/>
          <w:i w:val="0"/>
        </w:rPr>
        <w:t>The RCA and Meridian report are attached to and incorporated in the Complaint; the Lodestar press release is referenced in and integral to the allegations concerning Whitaker’s role and Lodestar’s stated hospitality business. The Court may consider them without converting the motion. The Northridge and Coastal Haven emails are appended for convenience because the Complaint expressly alleges the communications and their substance. The Court need not consider those copies to deny dismissal: the Complaint itself alleges the clients’ evaluation, the nature of the proposals, and the use of nonpublic information. If the Court treats any appended email as material outside Rule 10(c), Rule 12(d) requires notice and a reasonable opportunity to present pertinent material; Pinnacle does not request conversion to summary judgment.</w:t>
      </w:r>
    </w:p>
    <w:p>
      <w:pPr>
        <w:pStyle w:val="Heading1"/>
      </w:pPr>
      <w:r>
        <w:t>ARGUMENT</w:t>
      </w:r>
    </w:p>
    <w:p>
      <w:pPr>
        <w:pStyle w:val="Heading2"/>
      </w:pPr>
      <w:r>
        <w:t>I. COUNT I PLAUSIBLY ALLEGES BREACH OF THE RCA; THE NON-COMPETE IS REASONABLE AS APPLIED, AND THE OTHER COVENANTS STAND INDEPENDENTLY.</w:t>
      </w:r>
    </w:p>
    <w:p>
      <w:r>
        <w:rPr>
          <w:b w:val="0"/>
          <w:i w:val="0"/>
        </w:rPr>
        <w:t>Connecticut evaluates restrictive covenants under the circumstances, considering the restriction’s duration and geographic area, the employer’s legitimate protection, the restraint on the employee, and the public interest. Scott v. Gen. Iron &amp; Welding Co., 171 Conn. 132, 137 (1976); New England Overall Co. v. Woltmann, 166 Conn. 352, 358 (1974); Robert S. Weiss &amp; Assocs., Inc. v. Wiederlight, 208 Conn. 525, 529 (1988). The inquiry is not the label “nationwide” in isolation; it is whether this restraint, applied to this executive and these alleged activities, reasonably protects Pinnacle without imposing an unnecessary restraint. At a minimum, that fact-sensitive inquiry cannot erase the separately pleaded and severable breaches of Sections 4.2, 4.3, and 5.</w:t>
      </w:r>
    </w:p>
    <w:p>
      <w:pPr>
        <w:pStyle w:val="Heading3"/>
      </w:pPr>
      <w:r>
        <w:t>A. The alleged competitive conduct is within Pinnacle’s actual market and within the RCA’s defined competition.</w:t>
      </w:r>
    </w:p>
    <w:p>
      <w:r>
        <w:rPr>
          <w:b w:val="0"/>
          <w:i w:val="0"/>
        </w:rPr>
        <w:t>Pinnacle does not seek to bar Whitaker from all employment or from every role touching hospitality. Section 4.1 addresses work for a “Competing Business,” defined as an enterprise engaged in or preparing to engage in hotel management, hotel revenue optimization, or hospitality asset management services. Lodestar’s own release says its new vertical will acquire, reposition, and “actively manag[e]” hotel assets, apply revenue-management strategies, and build an operating platform. The actual proposals offer “alternative management structures,” management solutions, revenue optimization, and fee comparisons to hotel owners. (Compl. ¶¶ 104, 115–21; Defs.’ Ex. C; Opp. Exs. A–B.) Those allegations plausibly put Lodestar within the RCA’s text. The motion’s characterization of Lodestar as an investor that “does not manage hotels” is contrary to the release and proposals it asks the Court to consider. At this stage, the Court must draw the reasonable inference in Pinnacle’s favor.</w:t>
      </w:r>
    </w:p>
    <w:p>
      <w:r>
        <w:rPr>
          <w:b w:val="0"/>
          <w:i w:val="0"/>
        </w:rPr>
        <w:t>The alleged work is also not geographically remote from Pinnacle’s interest. Pinnacle operates in 14 states, including New York, where Lodestar is headquartered and where Whitaker is based; the six targeted clients own properties in states within Pinnacle’s footprint. (Compl. ¶¶ 14, 19–20, 72–73, 116.) The challenged conduct therefore concerns Pinnacle’s existing business and clients—not hypothetical competition in a market where Pinnacle has no stake. Even if the full territorial language ultimately proves broader than necessary, the Complaint alleges a substantial, concrete application inside Pinnacle’s operating territory. The RCA expressly directs a court to reform an Article 4 restriction to the minimum necessary and to preserve the balance of the agreement. (RCA § 8.5.)</w:t>
      </w:r>
    </w:p>
    <w:p>
      <w:r>
        <w:rPr>
          <w:b w:val="0"/>
          <w:i w:val="0"/>
        </w:rPr>
        <w:t>The 24-month term is not facially invalid on these allegations. Connecticut requires a context-specific assessment, not a categorical 12-month ceiling. See Scott, 171 Conn. at 137. Whitaker had access to strategic plans extending through 2026, active bids, client renewal timing, and a proprietary algorithm; Pinnacle’s owner agreements commonly run five to ten years, and the Northridge and Coastal Haven renewals were alleged to be months away. (Compl. ¶¶ 34, 62, 127–28.) Those allegations support a reasonable inference that strategic and client information remained competitively sensitive after one year. Whether the information depreciated more quickly is a factual question, not a basis for dismissal.</w:t>
      </w:r>
    </w:p>
    <w:p>
      <w:r>
        <w:rPr>
          <w:b w:val="0"/>
          <w:i w:val="0"/>
        </w:rPr>
        <w:t>Defendants rely on the breadth of the defined territory—the United States plus countries where Pinnacle has business or active development. The Court can acknowledge that breadth without dismissing every contractual claim. The Complaint identifies the actual footprint and the New York location and pleads direct competition for existing Pinnacle clients in that footprint. (Compl. ¶¶ 14, 72–73, 116.) Section 8.5 gives the Court an express, bargained-for mechanism to narrow any Article 4 term it finds excessive. Connecticut law does not require a court to endorse every word of an overbroad covenant; nor does a possible later determination about the outer edge of Section 4.1 extinguish the distinct promises to refrain from soliciting protected clients and employees or using confidential information. See Deming v. Nationwide Mut. Ins. Co., 279 Conn. 745, 761–64 (2006) (applying the reasonableness factors to the covenant and its circumstances). The Court need not decide the ultimate scope of any injunction on this motion.</w:t>
      </w:r>
    </w:p>
    <w:p>
      <w:pPr>
        <w:pStyle w:val="Heading3"/>
      </w:pPr>
      <w:r>
        <w:t>B. At-will employment does not negate the RCA’s consideration or its continuing obligations.</w:t>
      </w:r>
    </w:p>
    <w:p>
      <w:r>
        <w:rPr>
          <w:b w:val="0"/>
          <w:i w:val="0"/>
        </w:rPr>
        <w:t>Whitaker executed the RCA as a condition of her initial employment, and the agreement identifies the offer of employment, access to protected information, specialized training, and professional development as consideration. (RCA §§ 2.3, 3.1; Compl. ¶¶ 67–69.) At-will status means either party could end the employment relationship; it does not nullify the bargained-for obligations that survive termination. The agreement itself states that the at-will relationship is unchanged and that the restrictions survive termination. (RCA § 2.2.) Nor does the absence of a newly signed RCA at promotion undo the original agreement: it remained in force as Whitaker’s duties and access expanded, as Section 2.1 contemplates. (Compl. ¶¶ 80–85.)</w:t>
      </w:r>
    </w:p>
    <w:p>
      <w:pPr>
        <w:pStyle w:val="Heading3"/>
      </w:pPr>
      <w:r>
        <w:t>C. Count I independently pleads client, employee, confidentiality, and return-of-materials breaches.</w:t>
      </w:r>
    </w:p>
    <w:p>
      <w:r>
        <w:rPr>
          <w:b w:val="0"/>
          <w:i w:val="0"/>
        </w:rPr>
        <w:t>The motion focuses on the non-compete, but Count I is not limited to Section 4.1. It alleges that Whitaker personally solicited protected clients, including by sending a written Northridge proposal and signing Coastal Haven’s proposal, during the 24-month restricted period. (Compl. ¶¶ 115–28, 162.) Section 4.2 covers soliciting or accepting competitive business from clients with whom Whitaker had material contact; the Complaint alleges direct, repeated contacts with all six clients. (RCA § 4.2; Compl. ¶¶ 83, 118.) No contract-term analysis is required to see that the pleaded direct solicitations fall within the covenant’s language.</w:t>
      </w:r>
    </w:p>
    <w:p>
      <w:r>
        <w:rPr>
          <w:b w:val="0"/>
          <w:i w:val="0"/>
        </w:rPr>
        <w:t>Count I also alleges that Whitaker facilitated the recruitment of Dr. Ramachandran, in violation of Section 4.3, and copied and retained Pinnacle information contrary to the confidentiality and return obligations. (RCA §§ 4.3, 5.1–5.2; Compl. ¶¶ 96, 102, 136–42, 164.) The verified complaint pleads the underlying conduct; any mistaken section-number reference in one paragraph is no ground to dismiss a claim whose operative facts and governing instrument are identified. These provisions are separable from the non-compete and are expressly preserved by Section 8.5. Even if Defendants’ facial challenge to some application of Section 4.1 were accepted, it would not warrant dismissal of Count I as a whole.</w:t>
      </w:r>
    </w:p>
    <w:p>
      <w:pPr>
        <w:pStyle w:val="Heading2"/>
      </w:pPr>
      <w:r>
        <w:t>II. COUNT II PLAUSIBLY STATES DTSA AND CUTSA MISAPPROPRIATION CLAIMS.</w:t>
      </w:r>
    </w:p>
    <w:p>
      <w:pPr>
        <w:pStyle w:val="Heading3"/>
      </w:pPr>
      <w:r>
        <w:t>A. Pinnacle identifies specific, economically valuable secrets and reasonable secrecy measures.</w:t>
      </w:r>
    </w:p>
    <w:p>
      <w:r>
        <w:rPr>
          <w:b w:val="0"/>
          <w:i w:val="0"/>
        </w:rPr>
        <w:t>The DTSA defines a trade secret as financial, business, scientific, technical, economic, or engineering information, including a compilation, if its owner takes reasonable measures to keep it secret and it derives independent economic value from not being generally known or readily ascertainable. 18 U.S.C. § 1839(3). CUTSA is materially parallel. Conn. Gen. Stat. § 35-51(d). The Complaint does not rely on labels such as “algorithm” or “client list” alone; it explains what each asset contains, how it works, why it provides value, and how access was controlled. (Compl. ¶¶ 41–65, 167–70.)</w:t>
      </w:r>
    </w:p>
    <w:p>
      <w:r>
        <w:rPr>
          <w:b w:val="0"/>
          <w:i w:val="0"/>
        </w:rPr>
        <w:t>RevMaxPro is identified by name, purpose, development period and cost; the complaint describes its data inputs, proprietary weighting methodology, output, 186-page specification set, performance advantage, and restricted access to nine employees. (Id. ¶¶ 41–50.) The Platinum Client List is described as a 2,200-record compilation with specified nonpublic financial, preference, contract, booking, relationship, and decision-maker fields—not merely a directory of names. (Id. ¶¶ 51–60.) The complaint also identifies nine pending-bid financial models, the data they contain, the secure site in which they resided, and the fact that files for Northridge, Coastal Haven, and Belmont were among those downloaded. (Id. ¶¶ 62–65; Ex. B.) The forensic report catalogs the files, their source collections, watermarks, transfer, access restrictions, and dates. (Ex. B, §§ IV.B, IV.D–E.)</w:t>
      </w:r>
    </w:p>
    <w:p>
      <w:r>
        <w:t>These allegations satisfy even the particularity formulation on which Defendants rely. See Lumen Sols. Holdings, Inc. v. Kraska, No. 3:20-cv-01378, 2021 WL 517488, at *5 (D. Conn. Feb. 11, 2021). A plaintiff must identify the subject matter sufficiently to distinguish it from general knowledge; it need not publish the algorithm’s weighting values or reproduce confidential client-level data in a public complaint. Requiring the secrets’ contents to be pleaded in full would defeat the secrecy the statutes protect. The pleaded descriptions give Defendants fair notice and allow the Court to assess secrecy, value, and alleged acquisition.</w:t>
      </w:r>
    </w:p>
    <w:p>
      <w:r>
        <w:rPr>
          <w:b w:val="0"/>
          <w:i w:val="0"/>
        </w:rPr>
        <w:t>The allegations of secrecy and value are equally concrete. Pinnacle limited read and export access, used role-based permissions, MFA, IP restrictions, audit logs, encryption, watermarks, training, confidentiality agreements, and annual acknowledgments. (Compl. ¶¶ 45, 55–60, 63, 65, 85, 169; Ex. B.) The algorithm’s development cost, documented performance advantage, client retention value, and years of curated confidential data plausibly establish independent economic value. (Id. ¶¶ 42, 47–49, 53–59.)</w:t>
      </w:r>
    </w:p>
    <w:p>
      <w:pPr>
        <w:pStyle w:val="Heading3"/>
      </w:pPr>
      <w:r>
        <w:t>B. The client compilation is not rendered public merely because some client names may be discoverable.</w:t>
      </w:r>
    </w:p>
    <w:p>
      <w:r>
        <w:rPr>
          <w:b w:val="0"/>
          <w:i w:val="0"/>
        </w:rPr>
        <w:t>Defendants attack a straw man by treating the Platinum Client List as a roster of hotel-owner names. It is a separate compilation of approximately 2,200 corporate travel contacts, with detailed spend histories, rate terms, preferences, renewal dates, booking patterns, relationship notes, and purchasing authority. (Compl. ¶¶ 51–54.) The Complaint expressly distinguishes potentially public client identities from this confidential compilation and alleges that the detailed data cannot be reconstructed from public sources. (Id. ¶ 54.)</w:t>
      </w:r>
    </w:p>
    <w:p>
      <w:r>
        <w:rPr>
          <w:b w:val="0"/>
          <w:i w:val="0"/>
        </w:rPr>
        <w:t>The statute expressly protects a “compilation” where its value derives from the information not being generally known or readily ascertainable. 18 U.S.C. § 1839(3). Public availability of isolated facts does not decide whether the compilation, its organization, or nonpublic data fields are secret. Here, only 11 employees could read the system, four could export it, exports were watermarked, and access was logged and protected. (Compl. ¶¶ 55–60.) Whether a competitor could independently compile some subset of names from public sources is a factual question; it does not defeat the pleaded trade-secret status of the confidential dataset. The client list is also only one of several independently identified trade secrets.</w:t>
      </w:r>
    </w:p>
    <w:p>
      <w:pPr>
        <w:pStyle w:val="Heading3"/>
      </w:pPr>
      <w:r>
        <w:t>C. The Complaint alleges improper acquisition and, separately, plausible use and disclosure.</w:t>
      </w:r>
    </w:p>
    <w:p>
      <w:r>
        <w:rPr>
          <w:b w:val="0"/>
          <w:i w:val="0"/>
        </w:rPr>
        <w:t>The DTSA defines misappropriation to include (1) acquisition of another’s trade secret by a person who knows or has reason to know it was acquired by improper means, or (2) unauthorized disclosure or use in specified circumstances. 18 U.S.C. § 1839(5). “Improper means” includes theft and breach or inducement of a breach of a duty to maintain secrecy; it excludes lawful independent derivation and reverse engineering. Id. § 1839(6). CUTSA likewise reaches acquisition by improper means and unauthorized disclosure or use. Conn. Gen. Stat. § 35-51(b).</w:t>
      </w:r>
    </w:p>
    <w:p>
      <w:r>
        <w:t>Whitaker’s right to read or export files within company systems for her assigned work did not authorize her to copy 14,200 files to a personal device. The Complaint alleges that the data was available only for Pinnacle business purposes, that personal-device transfer was expressly prohibited absent written approval, that no approval was requested or given, and that the USB was personal and unapproved. (Compl. ¶¶ 86–95; Ex. B, §§ IV.A, IV.D.) The timing—four days before resignation—the unprecedented USB use, the enormous batch transfer, the 53-day gap since ordinary access to the full client-list export, and the absence of any identified business justification support the reasonable inference of acquisition in breach of a duty to maintain secrecy and limit use. (Ex. B, §§ IV.B–D, VI.) Authorized access to view information for Pinnacle is not blanket consent to take it beyond Pinnacle’s security controls.</w:t>
      </w:r>
    </w:p>
    <w:p>
      <w:r>
        <w:rPr>
          <w:b w:val="0"/>
          <w:i w:val="0"/>
        </w:rPr>
        <w:t>In any event, Defendants’ “no use” argument ignores the independent acquisition theory and the specific circumstantial allegations of post-departure use. Within weeks of hiring Whitaker, Lodestar targeted six of Pinnacle’s top 20 owner clients. Four of those clients were referenced in the downloaded bid models, including two Northridge models and a Coastal Haven model. (Compl. ¶¶ 115–21; Ex. B, § IV.B.) Whitaker personally sent the Northridge proposal; the Coastal Haven proposal bore her signature. (Opp. Exs. A–B.) The client communications report specific portfolio, management-cycle, rate, occupancy, and performance information that Pinnacle alleges was nonpublic and was included in the files. (Compl. ¶¶ 119–28.) These are facts supporting use, not timing alone.</w:t>
      </w:r>
    </w:p>
    <w:p>
      <w:r>
        <w:rPr>
          <w:b w:val="0"/>
          <w:i w:val="0"/>
        </w:rPr>
        <w:t>The press release adds context, not a substitute for the pleaded facts. Lodestar publicly said Whitaker would bring “proprietary insights” into hospitality revenue optimization and lead a new platform deploying management and revenue strategies. (Defs.’ Ex. C.) Standing alone, that phrase would not establish misappropriation. Coupled with the extraordinary pre-departure transfer and the subsequent proposals’ specific overlap with information in the downloaded bid models, it supports an inference that Lodestar knew or had reason to know the information was proprietary and was being used in its hospitality business. The Complaint also pleads that Lodestar knowingly received and used information obtained through Whitaker. (Compl. ¶¶ 108–14, 171–75.)</w:t>
      </w:r>
    </w:p>
    <w:p>
      <w:r>
        <w:t>Meridian’s express limitation—that it could not inspect the personal USB or Lodestar systems and could not independently confirm onward transfer—does not negate these allegations. (Ex. B, § VII.) It explains why discovery is needed. Pinnacle does not represent that the report conclusively proves what is on Defendants’ systems; it alleges a forensically corroborated transfer, identifies the files, and pleads subsequent targeted proposals with details corresponding to those files. Whether the evidence ultimately proves dissemination is not decided under Rule 12(b)(6).</w:t>
      </w:r>
    </w:p>
    <w:p>
      <w:pPr>
        <w:pStyle w:val="Heading3"/>
      </w:pPr>
      <w:r>
        <w:t>D. The DTSA commerce requirement is satisfied by the pleaded multi-state services.</w:t>
      </w:r>
    </w:p>
    <w:p>
      <w:r>
        <w:rPr>
          <w:b w:val="0"/>
          <w:i w:val="0"/>
        </w:rPr>
        <w:t>The DTSA applies where a trade secret “is related to a product or service used in, or intended for use in, interstate or foreign commerce.” 18 U.S.C. § 1836(b)(1). The statutory text does not require the trade secret itself to be sold as a standalone product. Pinnacle alleges that it manages 47 hotels in 14 states; deploys RevMaxPro across that portfolio; provides management services from Connecticut to properties and hotel owners throughout the country; and uses the client compilation and pricing models to deliver those services. (Compl. ¶¶ 14–15, 30–34, 43, 51–54, 170.) The six targeted owners operate properties in multiple states, and Lodestar’s platform and Whitaker’s work are nationwide. (Id. ¶¶ 116–18; Defs.’ Ex. C.) The secrets are directly related to services used in interstate commerce. Defendants’ distinction between Pinnacle’s services and the internal tools by which Pinnacle provides them has no support in the statute and cannot overcome the pleaded facts.</w:t>
      </w:r>
    </w:p>
    <w:p>
      <w:pPr>
        <w:pStyle w:val="Heading3"/>
      </w:pPr>
      <w:r>
        <w:t>E. Congress expressly preserved state-law remedies; CUTSA is not displaced by the DTSA.</w:t>
      </w:r>
    </w:p>
    <w:p>
      <w:r>
        <w:t>Defendants’ preemption argument is foreclosed by Congress’s express instruction: “This chapter shall not be construed to preempt or displace any other remedies, whether civil or criminal, provided by the United States, any State, commonwealth, possession, or territory for the misappropriation of a trade secret.” 18 U.S.C. § 1838. The DTSA and CUTSA provide parallel federal and state causes of action; their factual overlap is not a ground for dismissal. Each statute supplies its own remedial basis, and Rule 8 permits alternative and cumulative theories subject to the prohibition on double recovery. The motion identifies no authority capable of overriding § 1838. The CUTSA claim should proceed alongside the DTSA claim.</w:t>
      </w:r>
    </w:p>
    <w:p>
      <w:pPr>
        <w:pStyle w:val="Heading2"/>
      </w:pPr>
      <w:r>
        <w:t>III. COUNT III PLAUSIBLY ALLEGES TORTIOUS INTERFERENCE WITH EXISTING AND PROSPECTIVE CLIENT RELATIONSHIPS.</w:t>
      </w:r>
    </w:p>
    <w:p>
      <w:r>
        <w:rPr>
          <w:b w:val="0"/>
          <w:i w:val="0"/>
        </w:rPr>
        <w:t>Connecticut recognizes tortious interference with both existing contractual relationships and prospective business expectancies. Hi-Ho Tower, Inc. v. Com-Tronics, Inc., 255 Conn. 20, 27–28 (2000); see also Restatement (Second) of Torts § 766B (1979). The plaintiff must plead a business relationship, the defendant’s knowledge, intentional interference, tortious conduct, and resulting loss. Bridgeport Harbor Place, Inc. v. Ganim, 303 Conn. 205, 213, 260–61 (2011). Pinnacle pleads each element with named counterparties, multi-year management relationships, a targeted course of outreach, alleged improper means, and resulting injury.</w:t>
      </w:r>
    </w:p>
    <w:p>
      <w:pPr>
        <w:pStyle w:val="Heading3"/>
      </w:pPr>
      <w:r>
        <w:t>A. The Complaint identifies the relationships and need not plead every term of each management agreement.</w:t>
      </w:r>
    </w:p>
    <w:p>
      <w:r>
        <w:rPr>
          <w:b w:val="0"/>
          <w:i w:val="0"/>
        </w:rPr>
        <w:t>The Complaint identifies six clients by name, quantifies their annual contribution, alleges multi-year management agreements, describes Pinnacle’s long-standing relationships and Whitaker’s material contacts, and identifies the specific competing proposals. (Compl. ¶¶ 34–35, 83, 115–29, 180.) That is more than a generalized allegation of an unidentified expectancy. The tort protects business relations and expectancies; it is not limited to a fully pleaded claim for breach of a particular contract. Hi-Ho Tower, 255 Conn. at 27–28; Restatement § 766B.</w:t>
      </w:r>
    </w:p>
    <w:p>
      <w:r>
        <w:rPr>
          <w:b w:val="0"/>
          <w:i w:val="0"/>
        </w:rPr>
        <w:t>Defendants’ demand that Pinnacle plead each agreement’s notice, termination, exclusivity, and renewal provisions improperly converts a motion to dismiss into contract discovery. The Complaint alleges multi-year agreements and specific renewal cycles for Northridge and Coastal Haven. (Compl. ¶¶ 34, 127–28.) Defendants speculate that the agreements may permit at-will exit; no such term appears in the pleadings or incorporated exhibits. The reasonable inference at this stage is that Lodestar targeted established, valuable relationships and sought to displace Pinnacle as manager. The proposal itself expressly offered alternative management structures relative to an incumbent arrangement. (Opp. Exs. A–B.)</w:t>
      </w:r>
    </w:p>
    <w:p>
      <w:pPr>
        <w:pStyle w:val="Heading3"/>
      </w:pPr>
      <w:r>
        <w:t>B. The pleaded means are plausibly improper; this is not a claim based on competition alone.</w:t>
      </w:r>
    </w:p>
    <w:p>
      <w:r>
        <w:rPr>
          <w:b w:val="0"/>
          <w:i w:val="0"/>
        </w:rPr>
        <w:t>Pinnacle does not contend that a competitor commits a tort merely by sending an unsolicited proposal. It alleges Lodestar did so using confidential information obtained through a pre-departure mass transfer by Pinnacle’s senior executive, including specific client financial and contract data, and while exploiting Whitaker’s duties and covenants. (Compl. ¶¶ 86–98, 119–26, 171–83.) The proposals allegedly reflected nonpublic rate structures, performance benchmarks, contract cycles, and portfolio details; the client emails describe those details and identify the timing and specificity that raised concern. (Opp. Exs. A–B.) Theft or misuse of trade secrets and inducement of a breach are not ordinary competitive means. The allegations therefore plausibly satisfy the tortious-conduct requirement recognized in Bridgeport Harbor Place, 303 Conn. at 260–61.</w:t>
      </w:r>
    </w:p>
    <w:p>
      <w:r>
        <w:rPr>
          <w:b w:val="0"/>
          <w:i w:val="0"/>
        </w:rPr>
        <w:t>The Complaint also pleads a purpose beyond fair competition: Lodestar allegedly hired Whitaker to obtain Pinnacle’s proprietary knowledge, used it to select and approach Pinnacle’s highest-value clients, and deployed the knowledge in bespoke proposals. (Compl. ¶¶ 105–14, 119–31.) Defendants may prove that the information was independently developed or public, that the proposals used only lawful sources, or that no agreement was breached. The Court cannot select those competing explanations over the Complaint’s plausible account on a motion to dismiss.</w:t>
      </w:r>
    </w:p>
    <w:p>
      <w:pPr>
        <w:pStyle w:val="Heading3"/>
      </w:pPr>
      <w:r>
        <w:t>C. Lodestar’s knowledge of the client relationships is pleaded; knowledge of the RCA is not an element of this client-interference theory.</w:t>
      </w:r>
    </w:p>
    <w:p>
      <w:r>
        <w:rPr>
          <w:b w:val="0"/>
          <w:i w:val="0"/>
        </w:rPr>
        <w:t>The Complaint alleges that Lodestar knew the targeted accounts were Pinnacle clients because its proposals addressed their existing management arrangements, Whitaker had served as Pinnacle’s CRO and personal point of contact, and the proposals allegedly used data about the relationships supplied by Whitaker or taken from Pinnacle. (Compl. ¶¶ 83, 115–21, 181–83.) Lodestar’s actual outreach to the named clients itself confirms knowledge of the relationships it sought to divert. That is sufficient to plead knowledge plausibly.</w:t>
      </w:r>
    </w:p>
    <w:p>
      <w:r>
        <w:rPr>
          <w:b w:val="0"/>
          <w:i w:val="0"/>
        </w:rPr>
        <w:t>Defendants focus on whether Lodestar knew the precise terms of Whitaker’s RCA. But Count III centers on Lodestar’s interference with Pinnacle’s client relationships, not a standalone claim that Lodestar breached the RCA. Knowledge of the client relationships is the relevant element. In any event, the Complaint alleges that restrictive covenants are customary for C-suite executives, that Lodestar is a sophisticated private-equity firm, that recruitment discussions likely preceded Whitaker’s departure, and that Lodestar touted her “proprietary insights.” (Compl. ¶¶ 108–14.) Those facts permit—but do not compel—the inference of knowledge or reason to know of her obligations. The issue is factual and not a basis to dismiss the count.</w:t>
      </w:r>
    </w:p>
    <w:p>
      <w:pPr>
        <w:pStyle w:val="Heading3"/>
      </w:pPr>
      <w:r>
        <w:t>D. The alleged loss is not defeated because no client has yet completed a termination.</w:t>
      </w:r>
    </w:p>
    <w:p>
      <w:r>
        <w:rPr>
          <w:b w:val="0"/>
          <w:i w:val="0"/>
        </w:rPr>
        <w:t>Pinnacle does not claim that all $41.3 million has already been lost. It alleges that this is the annual revenue associated with the six targeted relationships, that two clients representing $19.9 million are actively evaluating proposals, and that the proposals have caused present harm to goodwill, competitive position, and business opportunities. (Compl. ¶¶ 117, 124, 130, 143–53, 184.) It also pleads costs and diversion of resources to investigate and remediate the data incident. (Id. ¶ 151.) The two clients’ messages confirm that the risk is concrete: Northridge was evaluating an unsolicited, specific proposal, while Coastal Haven’s board was considering terms and sought a response from Pinnacle. (Opp. Exs. A–B.)</w:t>
      </w:r>
    </w:p>
    <w:p>
      <w:r>
        <w:rPr>
          <w:b w:val="0"/>
          <w:i w:val="0"/>
        </w:rPr>
        <w:t>A completed client termination is not a prerequisite to injunctive relief against ongoing interference or to pleading a present loss of goodwill, confidential advantage, and business opportunity. Nor must damages be calculated in a complaint. Bridgeport Harbor Place requires resulting loss, not a final judgment that a client has left; Pinnacle alleges current, identifiable harm and a threatened diversion supported by actual proposals and active client evaluation. At minimum, the allegations plausibly state a claim, with the amount and causal allocation of damages reserved for discovery and proof.</w:t>
      </w:r>
    </w:p>
    <w:p>
      <w:pPr>
        <w:pStyle w:val="Heading2"/>
      </w:pPr>
      <w:r>
        <w:t>IV. COUNT IV PLAUSIBLY ALLEGES A FIDUCIARY DUTY ARISING FROM WHITAKER’S SENIOR EXECUTIVE ROLE AND THE SPECIAL CIRCUMSTANCES PLEADED.</w:t>
      </w:r>
    </w:p>
    <w:p>
      <w:r>
        <w:rPr>
          <w:b w:val="0"/>
          <w:i w:val="0"/>
        </w:rPr>
        <w:t>Pinnacle does not assert that every at-will employee is a fiduciary. Connecticut asks whether special circumstances created a relationship of trust and confidence beyond ordinary employment. Elm City Cheese Co. v. Federico, 251 Conn. 59, 99 (1999); United Rentals, Inc. v. Pruett, 296 F. Supp. 2d 220, 228–29 (D. Conn. 2003). The Complaint alleges those circumstances: Whitaker was not an ordinary employee but Pinnacle’s CRO, one of its most senior executives, reporting directly to the CEO; she controlled revenue strategy for 47 properties; participated in executive and board-level planning; led the company’s relationships with its major owners; and was one of only four employees with export access to the Platinum Client List and one of nine with access to complete RevMaxPro specifications. (Compl. ¶¶ 39–40, 55, 81–85, 187.) These role-specific allegations plausibly establish the requisite trust, discretion, and opportunity for abuse.</w:t>
      </w:r>
    </w:p>
    <w:p>
      <w:r>
        <w:rPr>
          <w:b w:val="0"/>
          <w:i w:val="0"/>
        </w:rPr>
        <w:t>The alleged breach is not merely that Whitaker left for a competitor. While still employed, she allegedly used her position to make an unprecedented after-hours transfer of 14,200 restricted files to a personal device, concealed her plans to join a competitor, retained Pinnacle’s files, and then personally solicited Pinnacle’s clients using details unavailable to the public. (Compl. ¶¶ 86–102, 115–28, 187.) Connecticut recognizes an employee’s duty of loyalty during the agency relationship; an employee may prepare to compete but may not misuse the employer’s property or confidential information or act adversely while still employed. See Town &amp; Country House &amp; Home Serv., Inc. v. Newbery, 147 Conn. 405, 415 (1960). The alleged January 6 transfer occurred four days before resignation, when Whitaker’s duties of loyalty remained in force.</w:t>
      </w:r>
    </w:p>
    <w:p>
      <w:r>
        <w:rPr>
          <w:b w:val="0"/>
          <w:i w:val="0"/>
        </w:rPr>
        <w:t>At-will status addresses duration of employment, not whether an executive may exploit entrusted assets against the employer while still serving it. The Complaint’s allegations go well beyond the “access to proprietary information” and routine management responsibilities Defendants isolate: they plead a C-suite officer’s actual authority, unusual access, direct client responsibilities, pre-departure extraction, and subsequent solicitation. Whether Pinnacle’s evidence ultimately establishes formal officer status or a fiduciary relationship under the governing law is not properly resolved by rejecting the pleaded functional facts. Count IV should proceed.</w:t>
      </w:r>
    </w:p>
    <w:p>
      <w:pPr>
        <w:pStyle w:val="Heading2"/>
      </w:pPr>
      <w:r>
        <w:t>V. PINNACLE HAS ARTICLE III STANDING AND THE DISPUTE IS RIPE.</w:t>
      </w:r>
    </w:p>
    <w:p>
      <w:r>
        <w:rPr>
          <w:b w:val="0"/>
          <w:i w:val="0"/>
        </w:rPr>
        <w:t>Standing requires a concrete injury that is actual or imminent, fairly traceable to the challenged conduct, and likely redressable. Lujan v. Defenders of Wildlife, 504 U.S. 555, 560–61 (1992); Clapper v. Amnesty Int’l USA, 568 U.S. 398, 409 (2013). Pinnacle alleges completed injury, not a chain of conjecture: its restricted files were copied to a personal device without authorization; its secrecy and competitive advantage were compromised; Lodestar sent targeted proposals using information alleged to be nonpublic; and two named clients are evaluating those proposals. (Compl. ¶¶ 86–98, 115–28, 143–54.) These injuries are traceable to the alleged conduct and can be redressed through the requested return, non-use, and non-disclosure relief, as well as damages proven in discovery.</w:t>
      </w:r>
    </w:p>
    <w:p>
      <w:r>
        <w:rPr>
          <w:b w:val="0"/>
          <w:i w:val="0"/>
        </w:rPr>
        <w:t>The absence of a signed client termination does not eliminate standing. The injury includes the alleged misappropriation itself and the present threat that Defendants retain and use information whose value depends on secrecy. It also includes targeted solicitation and current client evaluation—not merely the possibility that a stranger might someday act. The Northridge communication describes an unsolicited proposal with nonpublic-seeming portfolio, timing, and performance details; Coastal Haven reports multiple contacts, a Whitaker-signed proposal, rate and occupancy information, and an active board review. (Opp. Exs. A–B.) The risk is concrete and particularized, not speculative. For damages, Pinnacle also alleges current investigation and remediation costs, lost opportunities, and impairment of goodwill; the exact amount need not be established at pleading. (Compl. ¶¶ 143–53.)</w:t>
      </w:r>
    </w:p>
    <w:p>
      <w:r>
        <w:rPr>
          <w:b w:val="0"/>
          <w:i w:val="0"/>
        </w:rPr>
        <w:t>The claims are ripe because the challenged acts have already occurred. Whitaker has joined a competing hospitality platform; the files were transferred; Lodestar has approached identified clients and a key employee; and clients are considering proposals now. (Compl. ¶¶ 86–98, 103–29, 136–42.) A ruling will determine existing contractual, statutory, and tort duties and can prevent ongoing or threatened use. The Court need not predict whether any owner ultimately terminates its management agreement to decide whether the past transfer and solicitation are actionable or whether trade secrets must be returned and protected. The motion’s contrary approach confuses the uncertainty of ultimate damages with the present existence of a live controversy. See Susan B. Anthony List v. Driehaus, 573 U.S. 149, 157–59 (2014).</w:t>
      </w:r>
    </w:p>
    <w:p>
      <w:r>
        <w:rPr>
          <w:b w:val="0"/>
          <w:i w:val="0"/>
        </w:rPr>
        <w:t>Nor does the timing of Pinnacle’s filing negate imminence. Pinnacle investigated the data transfer, retained a forensic examiner, and filed after identifying the scope of the alleged extraction and the client outreach. (Compl. ¶¶ 89–98, 103–28; Ex. B.) There is no rule that a plaintiff forfeits standing by investigating before filing or by seeking relief through a complaint rather than a temporary restraining order. Whether preliminary relief is warranted is a separate question; it does not determine whether the pleaded claims may be adjudicated.</w:t>
      </w:r>
    </w:p>
    <w:p>
      <w:pPr>
        <w:pStyle w:val="Heading1"/>
      </w:pPr>
      <w:r>
        <w:t>CONCLUSION</w:t>
      </w:r>
    </w:p>
    <w:p>
      <w:r>
        <w:rPr>
          <w:b w:val="0"/>
          <w:i w:val="0"/>
        </w:rPr>
        <w:t>For these reasons, Plaintiff Pinnacle Hospitality Group, Inc. respectfully requests that the Court deny Defendants’ joint motion to dismiss in its entirety. In the alternative, if the Court identifies any curable pleading deficiency, Pinnacle requests leave to amend under Federal Rule of Civil Procedure 15 rather than dismissal with prejudice.</w:t>
      </w:r>
    </w:p>
    <w:p>
      <w:pPr>
        <w:keepLines/>
        <w:spacing w:line="240" w:lineRule="auto" w:after="0" w:before="0"/>
        <w:jc w:val="left"/>
      </w:pPr>
      <w:r>
        <w:rPr>
          <w:rFonts w:ascii="Times New Roman" w:hAnsi="Times New Roman"/>
          <w:sz w:val="20"/>
        </w:rPr>
        <w:t>Respectfully submitted, PINNACLE HOSPITALITY GROUP, INC.</w:t>
        <w:br/>
        <w:t>By its attorneys, HARGROVE &amp; TILLMAN LLP</w:t>
      </w:r>
    </w:p>
    <w:p>
      <w:pPr>
        <w:keepLines/>
        <w:spacing w:line="240" w:lineRule="auto" w:after="0" w:before="0"/>
        <w:jc w:val="left"/>
      </w:pPr>
      <w:r>
        <w:rPr>
          <w:rFonts w:ascii="Times New Roman" w:hAnsi="Times New Roman"/>
          <w:sz w:val="20"/>
        </w:rPr>
        <w:t>/s/ Rachel Fontaine</w:t>
        <w:br/>
        <w:t>Rachel Fontaine (CT Bar No. 438712); Kyle Shimizu (CT Bar No. 441089)</w:t>
        <w:br/>
        <w:t>One State Street, Suite 2400, Hartford, Connecticut 06103</w:t>
        <w:br/>
        <w:t>Telephone: (860) 555-7200  |  rfontaine@hargrovetillman.com  |  kshimizu@hargrovetillman.com</w:t>
        <w:br/>
        <w:t>Attorneys for Plaintiff Pinnacle Hospitality Group, Inc.</w:t>
      </w:r>
    </w:p>
    <w:p>
      <w:pPr>
        <w:keepLines/>
        <w:spacing w:line="240" w:lineRule="auto" w:after="0" w:before="0"/>
      </w:pPr>
      <w:r>
        <w:rPr>
          <w:rFonts w:ascii="Times New Roman" w:hAnsi="Times New Roman"/>
          <w:sz w:val="20"/>
        </w:rPr>
        <w:t>Dated: June 9, 2025</w:t>
      </w:r>
    </w:p>
    <w:p>
      <w:r>
        <w:br w:type="page"/>
      </w:r>
    </w:p>
    <w:p>
      <w:pPr>
        <w:spacing w:line="240" w:lineRule="auto"/>
        <w:jc w:val="center"/>
      </w:pPr>
      <w:r>
        <w:rPr>
          <w:b/>
          <w:sz w:val="24"/>
        </w:rPr>
        <w:t>OPPOSITION EXHIBIT A</w:t>
      </w:r>
    </w:p>
    <w:p>
      <w:pPr>
        <w:spacing w:line="240" w:lineRule="auto"/>
        <w:jc w:val="center"/>
      </w:pPr>
      <w:r>
        <w:rPr>
          <w:b/>
        </w:rPr>
        <w:t>NORTHRIDGE RESORTS — MARCH 5, 2025 EMAIL AND FORWARDED PROPOSAL</w:t>
      </w:r>
    </w:p>
    <w:p>
      <w:pPr>
        <w:spacing w:line="240" w:lineRule="auto" w:after="40" w:before="0"/>
      </w:pPr>
      <w:r>
        <w:rPr>
          <w:rFonts w:ascii="Times New Roman" w:hAnsi="Times New Roman"/>
          <w:sz w:val="20"/>
        </w:rPr>
        <w:t>From: Gerald Harmon &lt;g.harmon@northridgeresorts.com&gt;</w:t>
        <w:br/>
        <w:t>To: Marcus Ellingham &lt;m.ellingham@pinnaclehospitality.com&gt;</w:t>
        <w:br/>
        <w:t>Cc: Sandra Okafor &lt;s.okafor@pinnaclehospitality.com&gt;</w:t>
        <w:br/>
        <w:t>Date: March 5, 2025, 10:17 AM</w:t>
        <w:br/>
        <w:t>Subject: Unsolicited Proposal from Lodestar Capital Partners — Forwarding for Your Awareness</w:t>
      </w:r>
    </w:p>
    <w:p>
      <w:pPr>
        <w:spacing w:line="240" w:lineRule="auto" w:after="40" w:before="0"/>
      </w:pPr>
      <w:r>
        <w:rPr>
          <w:rFonts w:ascii="Times New Roman" w:hAnsi="Times New Roman"/>
          <w:sz w:val="20"/>
        </w:rPr>
        <w:t>Marcus,</w:t>
      </w:r>
    </w:p>
    <w:p>
      <w:pPr>
        <w:spacing w:line="240" w:lineRule="auto" w:after="40" w:before="0"/>
      </w:pPr>
      <w:r>
        <w:rPr>
          <w:rFonts w:ascii="Times New Roman" w:hAnsi="Times New Roman"/>
          <w:sz w:val="20"/>
        </w:rPr>
        <w:t>I hope this message finds you well. I am writing to bring to your attention an unsolicited proposal that Northridge Resorts LLC recently received from Lodestar Capital Partners LLC. Given our longstanding management relationship with Pinnacle Hospitality Group—one that we have valued highly over the years—I felt it appropriate and indeed necessary to notify you directly.</w:t>
      </w:r>
    </w:p>
    <w:p>
      <w:pPr>
        <w:spacing w:line="240" w:lineRule="auto" w:after="40" w:before="0"/>
      </w:pPr>
      <w:r>
        <w:rPr>
          <w:rFonts w:ascii="Times New Roman" w:hAnsi="Times New Roman"/>
          <w:sz w:val="20"/>
        </w:rPr>
        <w:t>On or about February 24, 2025, Northridge received an unsolicited written proposal from Lodestar Capital Partners LLC’s hospitality investment vertical. The proposal was addressed directly to me and referenced Northridge’s specific portfolio of properties currently managed by Pinnacle. It offered what Lodestar described as “alternative management structures” and was accompanied by a detailed cover letter. This outreach was entirely unsolicited—Northridge did not reach out to Lodestar or invite any contact from them.</w:t>
      </w:r>
    </w:p>
    <w:p>
      <w:pPr>
        <w:spacing w:line="240" w:lineRule="auto" w:after="40" w:before="0"/>
      </w:pPr>
      <w:r>
        <w:rPr>
          <w:rFonts w:ascii="Times New Roman" w:hAnsi="Times New Roman"/>
          <w:sz w:val="20"/>
        </w:rPr>
        <w:t>What struck me about the Lodestar proposal was its specificity. The cover letter referenced details about our portfolio that suggested, to use their own language, “a deep understanding of your portfolio.” Frankly, the proposal appeared to be informed by detailed knowledge of Northridge’s operational profile and our relationship with Pinnacle, including references to contract timing and performance benchmarks that I do not believe are publicly available. I will leave it to you to draw your own conclusions about how Lodestar may have obtained this level of insight, but I thought you should be aware.</w:t>
      </w:r>
    </w:p>
    <w:p>
      <w:pPr>
        <w:spacing w:line="240" w:lineRule="auto" w:after="40" w:before="0"/>
      </w:pPr>
      <w:r>
        <w:rPr>
          <w:rFonts w:ascii="Times New Roman" w:hAnsi="Times New Roman"/>
          <w:sz w:val="20"/>
        </w:rPr>
        <w:t>As a matter of fiduciary responsibility to Northridge’s own stakeholders, we are obligated to evaluate any proposal that may offer material benefit to our ownership group. Northridge is evaluating its options, though I want to emphasize that no decision has been made and that Pinnacle’s management performance has been satisfactory. It is my sincere hope that this can be resolved without disruption to the existing relationship. I am forwarding the Lodestar cover letter below for your awareness. Please do not hesitate to contact me directly if you wish to discuss.</w:t>
      </w:r>
    </w:p>
    <w:p>
      <w:pPr>
        <w:spacing w:line="240" w:lineRule="auto" w:after="40" w:before="0"/>
      </w:pPr>
      <w:r>
        <w:rPr>
          <w:rFonts w:ascii="Times New Roman" w:hAnsi="Times New Roman"/>
          <w:sz w:val="20"/>
        </w:rPr>
        <w:t>With continued regard,</w:t>
        <w:br/>
        <w:t>Gerald Harmon</w:t>
        <w:br/>
        <w:t>President, Northridge Resorts LLC</w:t>
        <w:br/>
        <w:t>4500 Mountain Ridge Parkway, Suite 200</w:t>
        <w:br/>
        <w:t>Asheville, NC 28801</w:t>
        <w:br/>
        <w:t>Tel: (828) 555-0174</w:t>
      </w:r>
    </w:p>
    <w:p>
      <w:pPr>
        <w:spacing w:line="240" w:lineRule="auto" w:after="40" w:before="0"/>
      </w:pPr>
      <w:r>
        <w:rPr>
          <w:rFonts w:ascii="Times New Roman" w:hAnsi="Times New Roman"/>
          <w:sz w:val="20"/>
        </w:rPr>
        <w:t>---------- FORWARDED PROPOSAL ----------</w:t>
        <w:br/>
        <w:t>From: Denise Whitaker &lt;d.whitaker@lodestarcapital.com&gt;</w:t>
        <w:br/>
        <w:t>To: Gerald Harmon &lt;g.harmon@northridgeresorts.com&gt;</w:t>
        <w:br/>
        <w:t>Date: February 24, 2025</w:t>
        <w:br/>
        <w:t>Subject: Hospitality Management Alternatives — Confidential Proposal for Northridge Resorts</w:t>
      </w:r>
    </w:p>
    <w:p>
      <w:pPr>
        <w:spacing w:line="240" w:lineRule="auto" w:after="40" w:before="0"/>
      </w:pPr>
      <w:r>
        <w:rPr>
          <w:rFonts w:ascii="Times New Roman" w:hAnsi="Times New Roman"/>
          <w:sz w:val="20"/>
        </w:rPr>
        <w:t>Dear Mr. Harmon,</w:t>
      </w:r>
    </w:p>
    <w:p>
      <w:pPr>
        <w:spacing w:line="240" w:lineRule="auto" w:after="40" w:before="0"/>
      </w:pPr>
      <w:r>
        <w:rPr>
          <w:rFonts w:ascii="Times New Roman" w:hAnsi="Times New Roman"/>
          <w:sz w:val="20"/>
        </w:rPr>
        <w:t>My name is Denise Whitaker, and I serve as Managing Director and Head of Hospitality Strategy at Lodestar Capital Partners LLC. Lodestar has recently launched a dedicated hospitality investment vertical, and we are uniquely positioned to offer Northridge Resorts tailored management solutions based on deep understanding of your portfolio.</w:t>
      </w:r>
    </w:p>
    <w:p>
      <w:pPr>
        <w:spacing w:line="240" w:lineRule="auto" w:after="40" w:before="0"/>
      </w:pPr>
      <w:r>
        <w:rPr>
          <w:rFonts w:ascii="Times New Roman" w:hAnsi="Times New Roman"/>
          <w:sz w:val="20"/>
        </w:rPr>
        <w:t>Lodestar Capital Partners manages approximately $4.2 billion in assets under management, and our commitment to the hospitality sector represents a significant strategic expansion. We are reaching out to select hotel ownership groups whose portfolios we believe would benefit from our alternative management structures.</w:t>
      </w:r>
    </w:p>
    <w:p>
      <w:pPr>
        <w:spacing w:line="240" w:lineRule="auto" w:after="40" w:before="0"/>
      </w:pPr>
      <w:r>
        <w:rPr>
          <w:rFonts w:ascii="Times New Roman" w:hAnsi="Times New Roman"/>
          <w:sz w:val="20"/>
        </w:rPr>
        <w:t>Northridge’s portfolio—spanning multiple properties across key geographic markets—presents an exceptional fit for Lodestar’s platform. We believe we can deliver enhanced revenue optimization and more favorable fee structures relative to incumbent management arrangements. Our approach leverages advanced analytics and revenue-optimization frameworks designed to maximize property-level performance and owner returns.</w:t>
      </w:r>
    </w:p>
    <w:p>
      <w:pPr>
        <w:spacing w:line="240" w:lineRule="auto" w:after="40" w:before="0"/>
      </w:pPr>
      <w:r>
        <w:rPr>
          <w:rFonts w:ascii="Times New Roman" w:hAnsi="Times New Roman"/>
          <w:sz w:val="20"/>
        </w:rPr>
        <w:t>We also understand the current management cycle for Northridge’s properties and believe the timing is opportune to explore alternatives that could meaningfully improve financial outcomes for your ownership group. I would welcome the opportunity to schedule a meeting at your convenience to discuss this proposal in greater detail. I can be reached directly at the contact information below.</w:t>
        <w:br/>
        <w:t>Sincerely,</w:t>
        <w:br/>
        <w:t>Denise Whitaker</w:t>
        <w:br/>
        <w:t>Managing Director &amp; Head of Hospitality Strategy</w:t>
        <w:br/>
        <w:t>Lodestar Capital Partners LLC</w:t>
        <w:br/>
        <w:t>1200 Avenue of the Americas, Suite 3200</w:t>
        <w:br/>
        <w:t>New York, NY 10036</w:t>
        <w:br/>
        <w:t>Tel: (212) 555-0391</w:t>
        <w:br/>
        <w:t>d.whitaker@lodestarcapital.com</w:t>
      </w:r>
    </w:p>
    <w:p>
      <w:pPr>
        <w:spacing w:line="240" w:lineRule="auto" w:after="40" w:before="0"/>
      </w:pPr>
      <w:r>
        <w:rPr>
          <w:rFonts w:ascii="Times New Roman" w:hAnsi="Times New Roman"/>
          <w:sz w:val="20"/>
        </w:rPr>
      </w:r>
    </w:p>
    <w:p>
      <w:r>
        <w:br w:type="page"/>
      </w:r>
    </w:p>
    <w:p>
      <w:pPr>
        <w:spacing w:line="240" w:lineRule="auto"/>
        <w:jc w:val="center"/>
      </w:pPr>
      <w:r>
        <w:rPr>
          <w:b/>
          <w:sz w:val="24"/>
        </w:rPr>
        <w:t>OPPOSITION EXHIBIT B</w:t>
      </w:r>
    </w:p>
    <w:p>
      <w:pPr>
        <w:spacing w:line="240" w:lineRule="auto"/>
        <w:jc w:val="center"/>
      </w:pPr>
      <w:r>
        <w:rPr>
          <w:b/>
        </w:rPr>
        <w:t>COASTAL HAVEN — MARCH 20, 2025 EMAIL AND FORWARDED PROPOSAL</w:t>
      </w:r>
    </w:p>
    <w:p>
      <w:pPr>
        <w:spacing w:line="240" w:lineRule="auto" w:after="40" w:before="0"/>
      </w:pPr>
      <w:r>
        <w:rPr>
          <w:rFonts w:ascii="Times New Roman" w:hAnsi="Times New Roman"/>
          <w:sz w:val="20"/>
        </w:rPr>
        <w:t>From: Tamara Voss &lt;t.voss@coastalhavenproperties.com&gt;</w:t>
        <w:br/>
        <w:t>To: Marcus Ellingham &lt;m.ellingham@pinnaclehospitality.com&gt;</w:t>
        <w:br/>
        <w:t>Date: March 20, 2025, 3:42 PM EST</w:t>
        <w:br/>
        <w:t>Subject: RE: Lodestar Capital — Proposal Received / Requesting Discussion</w:t>
      </w:r>
    </w:p>
    <w:p>
      <w:pPr>
        <w:spacing w:line="240" w:lineRule="auto" w:after="40" w:before="0"/>
      </w:pPr>
      <w:r>
        <w:rPr>
          <w:rFonts w:ascii="Times New Roman" w:hAnsi="Times New Roman"/>
          <w:sz w:val="20"/>
        </w:rPr>
        <w:t>Mr. Ellingham,</w:t>
      </w:r>
    </w:p>
    <w:p>
      <w:pPr>
        <w:spacing w:line="240" w:lineRule="auto" w:after="40" w:before="0"/>
      </w:pPr>
      <w:r>
        <w:rPr>
          <w:rFonts w:ascii="Times New Roman" w:hAnsi="Times New Roman"/>
          <w:sz w:val="20"/>
        </w:rPr>
        <w:t>I am writing regarding an approach that Coastal Haven Properties LP received from Lodestar Capital Partners LLC. This is now the second such outreach—the first being an initial phone call in late February, followed by a formal written proposal dated March 10, 2025. Given the nature and content of these communications, I believe this warrants your immediate attention.</w:t>
      </w:r>
    </w:p>
    <w:p>
      <w:pPr>
        <w:spacing w:line="240" w:lineRule="auto" w:after="40" w:before="0"/>
      </w:pPr>
      <w:r>
        <w:rPr>
          <w:rFonts w:ascii="Times New Roman" w:hAnsi="Times New Roman"/>
          <w:sz w:val="20"/>
        </w:rPr>
        <w:t>The initial outreach came via telephone from a representative of Lodestar’s hospitality vertical, who referenced Coastal Haven’s specific properties by name and location. The caller indicated that Lodestar had recently brought on a “senior hospitality executive” with extensive knowledge of Coastal Haven’s management arrangements. While the caller did not identify this executive by name during the phone conversation, the subsequent written proposal was signed by Denise Whitaker. I recognized Ms. Whitaker’s name immediately—she had been Coastal Haven’s primary point of contact at Pinnacle for revenue strategy matters during her tenure as your Chief Revenue Officer.</w:t>
      </w:r>
    </w:p>
    <w:p>
      <w:pPr>
        <w:spacing w:line="240" w:lineRule="auto" w:after="40" w:before="0"/>
      </w:pPr>
      <w:r>
        <w:rPr>
          <w:rFonts w:ascii="Times New Roman" w:hAnsi="Times New Roman"/>
          <w:sz w:val="20"/>
        </w:rPr>
        <w:t>The written proposal contained surprisingly detailed references to Coastal Haven’s operational metrics and portfolio composition. The cover letter used language about providing “tailored management solutions based on deep understanding of your portfolio” and referenced specific rate structures and occupancy benchmarks for our properties that I do not believe are publicly available. Frankly, the level of detail in the proposal gave us pause. Some of the information referenced appears to be drawn from our confidential management agreements with Pinnacle.</w:t>
      </w:r>
    </w:p>
    <w:p>
      <w:pPr>
        <w:spacing w:line="240" w:lineRule="auto" w:after="40" w:before="0"/>
      </w:pPr>
      <w:r>
        <w:rPr>
          <w:rFonts w:ascii="Times New Roman" w:hAnsi="Times New Roman"/>
          <w:sz w:val="20"/>
        </w:rPr>
        <w:t>Coastal Haven’s board is evaluating its options. I want to be straightforward with you: we have no desire to terminate our relationship with Pinnacle precipitously, but the Lodestar proposal offers certain financial terms that the board has a fiduciary responsibility to consider. I would like to request a meeting with you within the next two weeks to discuss how Pinnacle intends to respond to this competitive threat and whether Pinnacle is in a position to offer enhanced terms.</w:t>
      </w:r>
    </w:p>
    <w:p>
      <w:pPr>
        <w:spacing w:line="240" w:lineRule="auto" w:after="40" w:before="0"/>
      </w:pPr>
      <w:r>
        <w:rPr>
          <w:rFonts w:ascii="Times New Roman" w:hAnsi="Times New Roman"/>
          <w:sz w:val="20"/>
        </w:rPr>
        <w:t>I also want to raise a concern directly. Given that the Lodestar proposal appears to reflect confidential information from Pinnacle’s files, I must ask: has Pinnacle experienced any recent departures of key personnel, and what steps is Pinnacle taking to protect client confidential information? Our board takes data security seriously, and we need assurance that our proprietary operational data is being safeguarded.</w:t>
      </w:r>
    </w:p>
    <w:p>
      <w:pPr>
        <w:spacing w:line="240" w:lineRule="auto" w:after="40" w:before="0"/>
      </w:pPr>
      <w:r>
        <w:rPr>
          <w:rFonts w:ascii="Times New Roman" w:hAnsi="Times New Roman"/>
          <w:sz w:val="20"/>
        </w:rPr>
        <w:t>I would appreciate your prompt response. I am available throughout next week. The forwarded Lodestar cover letter follows below.</w:t>
        <w:br/>
        <w:br/>
        <w:t>Regards,</w:t>
        <w:br/>
        <w:t>Tamara Voss</w:t>
        <w:br/>
        <w:t>Chief Operating Officer, Coastal Haven Properties LP</w:t>
        <w:br/>
        <w:t>2100 Oceanfront Boulevard, Suite 400</w:t>
        <w:br/>
        <w:t>Jacksonville, FL 32250</w:t>
        <w:br/>
        <w:t>Tel: (904) 555-0263</w:t>
      </w:r>
    </w:p>
    <w:p>
      <w:pPr>
        <w:spacing w:line="240" w:lineRule="auto" w:after="40" w:before="0"/>
      </w:pPr>
      <w:r>
        <w:rPr>
          <w:rFonts w:ascii="Times New Roman" w:hAnsi="Times New Roman"/>
          <w:sz w:val="20"/>
        </w:rPr>
        <w:t>---------- FORWARDED PROPOSAL ----------</w:t>
        <w:br/>
        <w:t>From: Denise Whitaker &lt;d.whitaker@lodestarcapital.com&gt;</w:t>
        <w:br/>
        <w:t>To: Tamara Voss &lt;t.voss@coastalhavenproperties.com&gt;</w:t>
        <w:br/>
        <w:t>Date: March 10, 2025</w:t>
        <w:br/>
        <w:t>Subject: Strategic Management Proposal — Coastal Haven Properties Portfolio</w:t>
      </w:r>
    </w:p>
    <w:p>
      <w:pPr>
        <w:spacing w:line="240" w:lineRule="auto" w:after="40" w:before="0"/>
      </w:pPr>
      <w:r>
        <w:rPr>
          <w:rFonts w:ascii="Times New Roman" w:hAnsi="Times New Roman"/>
          <w:sz w:val="20"/>
        </w:rPr>
        <w:t>Dear Ms. Voss,</w:t>
      </w:r>
    </w:p>
    <w:p>
      <w:pPr>
        <w:spacing w:line="240" w:lineRule="auto" w:after="40" w:before="0"/>
      </w:pPr>
      <w:r>
        <w:rPr>
          <w:rFonts w:ascii="Times New Roman" w:hAnsi="Times New Roman"/>
          <w:sz w:val="20"/>
        </w:rPr>
        <w:t>My name is Denise Whitaker, and I serve as Managing Director and Head of Hospitality Strategy at Lodestar Capital Partners LLC. Lodestar has recently launched a dedicated hospitality investment vertical, and we are reaching out to select hotel ownership groups to present tailored management solutions based on deep understanding of your portfolio.</w:t>
      </w:r>
    </w:p>
    <w:p>
      <w:pPr>
        <w:spacing w:line="240" w:lineRule="auto" w:after="40" w:before="0"/>
      </w:pPr>
      <w:r>
        <w:rPr>
          <w:rFonts w:ascii="Times New Roman" w:hAnsi="Times New Roman"/>
          <w:sz w:val="20"/>
        </w:rPr>
        <w:t>With approximately $4.2 billion in assets under management, Lodestar brings substantial financial resources and operational expertise to the hospitality sector. Our hospitality vertical is designed to deliver institutional-quality management capabilities with the flexibility and alignment of interests that hotel ownership groups require.</w:t>
      </w:r>
    </w:p>
    <w:p>
      <w:pPr>
        <w:spacing w:line="240" w:lineRule="auto" w:after="40" w:before="0"/>
      </w:pPr>
      <w:r>
        <w:rPr>
          <w:rFonts w:ascii="Times New Roman" w:hAnsi="Times New Roman"/>
          <w:sz w:val="20"/>
        </w:rPr>
        <w:t>Coastal Haven’s portfolio of coastal and resort properties is precisely the type of high-quality, geographically strategic collection that Lodestar’s platform is built to serve. We are prepared to deliver optimized revenue performance through proprietary analytics and dynamic pricing strategies tailored to each property’s competitive set and demand profile. Our models are designed to capture incremental rate and occupancy gains that we believe are achievable within Coastal Haven’s current portfolio.</w:t>
      </w:r>
    </w:p>
    <w:p>
      <w:pPr>
        <w:spacing w:line="240" w:lineRule="auto" w:after="40" w:before="0"/>
      </w:pPr>
      <w:r>
        <w:rPr>
          <w:rFonts w:ascii="Times New Roman" w:hAnsi="Times New Roman"/>
          <w:sz w:val="20"/>
        </w:rPr>
        <w:t>We understand that Coastal Haven’s upcoming management review cycle presents a natural opportunity to evaluate alternative structures. In that context, we have prepared a preliminary fee structure comparison that we believe demonstrates Lodestar’s ability to deliver management services at significantly more competitive rates while maintaining or improving property-level performance. I would welcome the opportunity to schedule a meeting or call at your earliest convenience to walk through our proposal in detail. Please do not hesitate to reach out directly.</w:t>
        <w:br/>
        <w:br/>
        <w:t>Sincerely,</w:t>
        <w:br/>
        <w:t>Denise Whitaker</w:t>
        <w:br/>
        <w:t>Managing Director &amp; Head of Hospitality Strategy</w:t>
        <w:br/>
        <w:t>Lodestar Capital Partners LLC</w:t>
        <w:br/>
        <w:t>1200 Avenue of the Americas, Suite 3200</w:t>
        <w:br/>
        <w:t>New York, NY 10036</w:t>
        <w:br/>
        <w:t>Tel: (212) 555-0391</w:t>
        <w:br/>
        <w:t>d.whitaker@lodestarcapital.com</w:t>
      </w:r>
    </w:p>
    <w:p>
      <w:pPr>
        <w:spacing w:line="240" w:lineRule="auto" w:after="40" w:before="0"/>
      </w:pPr>
      <w:r>
        <w:rPr>
          <w:rFonts w:ascii="Times New Roman" w:hAnsi="Times New Roman"/>
          <w:sz w:val="20"/>
        </w:rPr>
      </w:r>
    </w:p>
    <w:sectPr w:rsidR="00FC693F" w:rsidRPr="0006063C" w:rsidSect="00034616">
      <w:headerReference w:type="default" r:id="rId9"/>
      <w:footerReference w:type="default" r:id="rId10"/>
      <w:pgSz w:w="12240" w:h="15840"/>
      <w:pgMar w:top="1224"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PLAINTIFF’S OPPOSITION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PINNACLE HOSPITALITY GROUP, INC. v. WHITAKER et al.  |  No. 3:25-cv-00482-SRU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8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eastAsia="Times New Roman"/>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jc w:val="center"/>
    </w:pPr>
    <w:rPr>
      <w:rFonts w:asciiTheme="majorHAnsi" w:eastAsiaTheme="majorEastAsia" w:hAnsiTheme="majorHAnsi" w:cstheme="majorBidi" w:ascii="Times New Roman" w:hAnsi="Times New Roman" w:eastAsia="Times New Roman"/>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Plaintiff's Memorandum of Law in Opposition to Defendants' Joint Motion to Dismiss</dc:title>
  <dc:subject>Pinnacle Hospitality Group, Inc. v. Whitaker et al., Case No. 3:25-cv-00482-SRU</dc:subject>
  <dc:creator>Hargrove &amp; Tillman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