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UNITED STATES DISTRICT COURT</w:t>
      </w:r>
      <w:r>
        <w:br/>
      </w:r>
      <w:r>
        <w:t xml:space="preserve">DISTRICT OF CONNECTICUT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PINNACLE HOSPITALITY GROUP, INC.,</w:t>
            </w:r>
            <w:r>
              <w:t xml:space="preserve"> </w:t>
            </w:r>
            <w:r>
              <w:t xml:space="preserve">Plaintiff,</w:t>
            </w:r>
          </w:p>
        </w:tc>
        <w:tc>
          <w:tcPr/>
          <w:p>
            <w:pPr>
              <w:pStyle w:val="Compact"/>
              <w:jc w:val="left"/>
            </w:pPr>
            <w:r>
              <w:rPr>
                <w:b/>
                <w:bCs/>
              </w:rPr>
              <w:t xml:space="preserve">Case No. 3:25-cv-00482-SRU</w:t>
            </w:r>
          </w:p>
        </w:tc>
      </w:tr>
      <w:tr>
        <w:tc>
          <w:tcPr/>
          <w:p>
            <w:pPr>
              <w:pStyle w:val="Compact"/>
              <w:jc w:val="left"/>
            </w:pPr>
            <w:r>
              <w:t xml:space="preserve">v.</w:t>
            </w:r>
          </w:p>
        </w:tc>
        <w:tc>
          <w:tcPr/>
          <w:p>
            <w:pPr>
              <w:pStyle w:val="Compact"/>
            </w:pPr>
          </w:p>
        </w:tc>
      </w:tr>
      <w:tr>
        <w:tc>
          <w:tcPr/>
          <w:p>
            <w:pPr>
              <w:pStyle w:val="Compact"/>
              <w:jc w:val="left"/>
            </w:pPr>
            <w:r>
              <w:rPr>
                <w:b/>
                <w:bCs/>
              </w:rPr>
              <w:t xml:space="preserve">DENISE WHITAKER</w:t>
            </w:r>
            <w:r>
              <w:t xml:space="preserve"> </w:t>
            </w:r>
            <w:r>
              <w:t xml:space="preserve">and</w:t>
            </w:r>
            <w:r>
              <w:t xml:space="preserve"> </w:t>
            </w:r>
            <w:r>
              <w:rPr>
                <w:b/>
                <w:bCs/>
              </w:rPr>
              <w:t xml:space="preserve">LODESTAR CAPITAL PARTNERS LLC,</w:t>
            </w:r>
            <w:r>
              <w:t xml:space="preserve"> </w:t>
            </w:r>
            <w:r>
              <w:t xml:space="preserve">Defendants.</w:t>
            </w:r>
          </w:p>
        </w:tc>
        <w:tc>
          <w:tcPr/>
          <w:p>
            <w:pPr>
              <w:pStyle w:val="Compact"/>
              <w:jc w:val="left"/>
            </w:pPr>
            <w:r>
              <w:rPr>
                <w:b/>
                <w:bCs/>
              </w:rPr>
              <w:t xml:space="preserve">June 9, 2025</w:t>
            </w:r>
          </w:p>
        </w:tc>
      </w:tr>
    </w:tbl>
    <w:p>
      <w:pPr>
        <w:pStyle w:val="Title"/>
      </w:pPr>
      <w:r>
        <w:t xml:space="preserve">PLAINTIFF PINNACLE HOSPITALITY GROUP, INC.’S MEMORANDUM OF LAW IN OPPOSITION TO DEFENDANTS’ JOINT MOTION TO DISMISS PURSUANT TO FED. R. CIV. P. 12(b)(6)</w:t>
      </w:r>
    </w:p>
    <w:bookmarkStart w:id="20" w:name="table-of-contents"/>
    <w:p>
      <w:pPr>
        <w:pStyle w:val="Heading1"/>
      </w:pPr>
      <w:r>
        <w:t xml:space="preserve">TABLE OF CONTENTS</w:t>
      </w:r>
    </w:p>
    <w:p>
      <w:pPr>
        <w:pStyle w:val="FirstParagraph"/>
      </w:pPr>
      <w:r>
        <w:t xml:space="preserve">I. PRELIMINARY STATEMENT</w:t>
      </w:r>
    </w:p>
    <w:p>
      <w:pPr>
        <w:pStyle w:val="Compact"/>
        <w:numPr>
          <w:ilvl w:val="0"/>
          <w:numId w:val="1001"/>
        </w:numPr>
      </w:pPr>
      <w:r>
        <w:t xml:space="preserve">STATEMENT OF FACTS</w:t>
      </w:r>
    </w:p>
    <w:p>
      <w:pPr>
        <w:pStyle w:val="Compact"/>
        <w:numPr>
          <w:ilvl w:val="0"/>
          <w:numId w:val="1002"/>
        </w:numPr>
      </w:pPr>
      <w:r>
        <w:t xml:space="preserve">A. Pinnacle, Its Trade Secrets, and Its Security Measures</w:t>
      </w:r>
    </w:p>
    <w:p>
      <w:pPr>
        <w:pStyle w:val="Compact"/>
        <w:numPr>
          <w:ilvl w:val="0"/>
          <w:numId w:val="1002"/>
        </w:numPr>
      </w:pPr>
      <w:r>
        <w:t xml:space="preserve">B. Whitaker’s Role and the Restrictive Covenant Agreement</w:t>
      </w:r>
    </w:p>
    <w:p>
      <w:pPr>
        <w:pStyle w:val="Compact"/>
        <w:numPr>
          <w:ilvl w:val="0"/>
          <w:numId w:val="1002"/>
        </w:numPr>
      </w:pPr>
      <w:r>
        <w:t xml:space="preserve">C. The January 6, 2025 Mass Download</w:t>
      </w:r>
    </w:p>
    <w:p>
      <w:pPr>
        <w:pStyle w:val="Compact"/>
        <w:numPr>
          <w:ilvl w:val="0"/>
          <w:numId w:val="1002"/>
        </w:numPr>
      </w:pPr>
      <w:r>
        <w:t xml:space="preserve">D. Lodestar Hires Whitaker for Her</w:t>
      </w:r>
      <w:r>
        <w:t xml:space="preserve"> </w:t>
      </w:r>
      <w:r>
        <w:t xml:space="preserve">“</w:t>
      </w:r>
      <w:r>
        <w:t xml:space="preserve">Proprietary Insights</w:t>
      </w:r>
      <w:r>
        <w:t xml:space="preserve">”</w:t>
      </w:r>
    </w:p>
    <w:p>
      <w:pPr>
        <w:pStyle w:val="Compact"/>
        <w:numPr>
          <w:ilvl w:val="0"/>
          <w:numId w:val="1002"/>
        </w:numPr>
      </w:pPr>
      <w:r>
        <w:t xml:space="preserve">E. Targeted Solicitation of Pinnacle’s Clients and Personnel</w:t>
      </w:r>
    </w:p>
    <w:p>
      <w:pPr>
        <w:numPr>
          <w:ilvl w:val="0"/>
          <w:numId w:val="1003"/>
        </w:numPr>
      </w:pPr>
      <w:r>
        <w:t xml:space="preserve">LEGAL STANDARD</w:t>
      </w:r>
    </w:p>
    <w:p>
      <w:pPr>
        <w:numPr>
          <w:ilvl w:val="0"/>
          <w:numId w:val="1003"/>
        </w:numPr>
      </w:pPr>
      <w:r>
        <w:t xml:space="preserve">ARGUMENT</w:t>
      </w:r>
    </w:p>
    <w:p>
      <w:pPr>
        <w:pStyle w:val="Compact"/>
        <w:numPr>
          <w:ilvl w:val="0"/>
          <w:numId w:val="1004"/>
        </w:numPr>
      </w:pPr>
      <w:r>
        <w:t xml:space="preserve">A. Count I States a Claim for Breach of the RCA</w:t>
      </w:r>
    </w:p>
    <w:p>
      <w:pPr>
        <w:pStyle w:val="Compact"/>
        <w:numPr>
          <w:ilvl w:val="1"/>
          <w:numId w:val="1005"/>
        </w:numPr>
      </w:pPr>
    </w:p>
    <w:p>
      <w:pPr>
        <w:pStyle w:val="Compact"/>
        <w:numPr>
          <w:ilvl w:val="2"/>
          <w:numId w:val="1006"/>
        </w:numPr>
      </w:pPr>
      <w:r>
        <w:t xml:space="preserve">Defendants Do Not Challenge the Non-Solicitation, Confidentiality, and Return-of-Materials Breaches, Which Independently Sustain Count I</w:t>
      </w:r>
    </w:p>
    <w:p>
      <w:pPr>
        <w:pStyle w:val="Compact"/>
        <w:numPr>
          <w:ilvl w:val="1"/>
          <w:numId w:val="1005"/>
        </w:numPr>
      </w:pPr>
    </w:p>
    <w:p>
      <w:pPr>
        <w:pStyle w:val="Compact"/>
        <w:numPr>
          <w:ilvl w:val="2"/>
          <w:numId w:val="1007"/>
        </w:numPr>
      </w:pPr>
      <w:r>
        <w:t xml:space="preserve">Reasonableness of the Non-Compete Is a Fact-Intensive Inquiry Not Suited to a Motion to Dismiss</w:t>
      </w:r>
    </w:p>
    <w:p>
      <w:pPr>
        <w:pStyle w:val="Compact"/>
        <w:numPr>
          <w:ilvl w:val="1"/>
          <w:numId w:val="1005"/>
        </w:numPr>
      </w:pPr>
    </w:p>
    <w:p>
      <w:pPr>
        <w:pStyle w:val="Compact"/>
        <w:numPr>
          <w:ilvl w:val="2"/>
          <w:numId w:val="1008"/>
        </w:numPr>
      </w:pPr>
      <w:r>
        <w:t xml:space="preserve">As Applied, the Territorial Restriction Is Reasonable</w:t>
      </w:r>
    </w:p>
    <w:p>
      <w:pPr>
        <w:pStyle w:val="Compact"/>
        <w:numPr>
          <w:ilvl w:val="1"/>
          <w:numId w:val="1005"/>
        </w:numPr>
      </w:pPr>
    </w:p>
    <w:p>
      <w:pPr>
        <w:pStyle w:val="Compact"/>
        <w:numPr>
          <w:ilvl w:val="2"/>
          <w:numId w:val="1009"/>
        </w:numPr>
      </w:pPr>
      <w:r>
        <w:t xml:space="preserve">The 24-Month Duration Is Reasonable for a C-Suite Executive with Multi-Year Strategic Information</w:t>
      </w:r>
    </w:p>
    <w:p>
      <w:pPr>
        <w:pStyle w:val="Compact"/>
        <w:numPr>
          <w:ilvl w:val="1"/>
          <w:numId w:val="1005"/>
        </w:numPr>
      </w:pPr>
    </w:p>
    <w:p>
      <w:pPr>
        <w:pStyle w:val="Compact"/>
        <w:numPr>
          <w:ilvl w:val="2"/>
          <w:numId w:val="1010"/>
        </w:numPr>
      </w:pPr>
      <w:r>
        <w:t xml:space="preserve">Lodestar Is a</w:t>
      </w:r>
      <w:r>
        <w:t xml:space="preserve"> </w:t>
      </w:r>
      <w:r>
        <w:t xml:space="preserve">“</w:t>
      </w:r>
      <w:r>
        <w:t xml:space="preserve">Competing Business</w:t>
      </w:r>
      <w:r>
        <w:t xml:space="preserve">”</w:t>
      </w:r>
      <w:r>
        <w:t xml:space="preserve"> </w:t>
      </w:r>
      <w:r>
        <w:t xml:space="preserve">on the Face of the Complaint and Defendants’ Own Exhibit</w:t>
      </w:r>
    </w:p>
    <w:p>
      <w:pPr>
        <w:pStyle w:val="Compact"/>
        <w:numPr>
          <w:ilvl w:val="1"/>
          <w:numId w:val="1005"/>
        </w:numPr>
      </w:pPr>
    </w:p>
    <w:p>
      <w:pPr>
        <w:pStyle w:val="Compact"/>
        <w:numPr>
          <w:ilvl w:val="2"/>
          <w:numId w:val="1011"/>
        </w:numPr>
      </w:pPr>
      <w:r>
        <w:t xml:space="preserve">Section 8.5 and Connecticut Law Authorize Modification Rather Than Dismissal</w:t>
      </w:r>
    </w:p>
    <w:p>
      <w:pPr>
        <w:pStyle w:val="Compact"/>
        <w:numPr>
          <w:ilvl w:val="1"/>
          <w:numId w:val="1005"/>
        </w:numPr>
      </w:pPr>
    </w:p>
    <w:p>
      <w:pPr>
        <w:pStyle w:val="Compact"/>
        <w:numPr>
          <w:ilvl w:val="2"/>
          <w:numId w:val="1012"/>
        </w:numPr>
      </w:pPr>
      <w:r>
        <w:t xml:space="preserve">The RCA Is Supported by Consideration and Was Not Adhesive on This Record</w:t>
      </w:r>
    </w:p>
    <w:p>
      <w:pPr>
        <w:pStyle w:val="Compact"/>
        <w:numPr>
          <w:ilvl w:val="0"/>
          <w:numId w:val="1004"/>
        </w:numPr>
      </w:pPr>
      <w:r>
        <w:t xml:space="preserve">B. Count II States Claims Under the DTSA and CUTSA</w:t>
      </w:r>
    </w:p>
    <w:p>
      <w:pPr>
        <w:pStyle w:val="Compact"/>
        <w:numPr>
          <w:ilvl w:val="1"/>
          <w:numId w:val="1013"/>
        </w:numPr>
      </w:pPr>
    </w:p>
    <w:p>
      <w:pPr>
        <w:pStyle w:val="Compact"/>
        <w:numPr>
          <w:ilvl w:val="2"/>
          <w:numId w:val="1014"/>
        </w:numPr>
      </w:pPr>
      <w:r>
        <w:t xml:space="preserve">The Trade Secrets Are Identified with Ample Particularity</w:t>
      </w:r>
    </w:p>
    <w:p>
      <w:pPr>
        <w:pStyle w:val="Compact"/>
        <w:numPr>
          <w:ilvl w:val="1"/>
          <w:numId w:val="1013"/>
        </w:numPr>
      </w:pPr>
    </w:p>
    <w:p>
      <w:pPr>
        <w:pStyle w:val="Compact"/>
        <w:numPr>
          <w:ilvl w:val="2"/>
          <w:numId w:val="1015"/>
        </w:numPr>
      </w:pPr>
      <w:r>
        <w:t xml:space="preserve">The Platinum Client List Is a Protectable Compilation</w:t>
      </w:r>
    </w:p>
    <w:p>
      <w:pPr>
        <w:pStyle w:val="Compact"/>
        <w:numPr>
          <w:ilvl w:val="1"/>
          <w:numId w:val="1013"/>
        </w:numPr>
      </w:pPr>
    </w:p>
    <w:p>
      <w:pPr>
        <w:pStyle w:val="Compact"/>
        <w:numPr>
          <w:ilvl w:val="2"/>
          <w:numId w:val="1016"/>
        </w:numPr>
      </w:pPr>
      <w:r>
        <w:t xml:space="preserve">Misappropriation Is Plausibly Alleged by Acquisition, Use, and Disclosure</w:t>
      </w:r>
    </w:p>
    <w:p>
      <w:pPr>
        <w:pStyle w:val="Compact"/>
        <w:numPr>
          <w:ilvl w:val="1"/>
          <w:numId w:val="1013"/>
        </w:numPr>
      </w:pPr>
    </w:p>
    <w:p>
      <w:pPr>
        <w:pStyle w:val="Compact"/>
        <w:numPr>
          <w:ilvl w:val="2"/>
          <w:numId w:val="1017"/>
        </w:numPr>
      </w:pPr>
      <w:r>
        <w:t xml:space="preserve">The Interstate-Commerce Nexus Is Pleaded</w:t>
      </w:r>
    </w:p>
    <w:p>
      <w:pPr>
        <w:pStyle w:val="Compact"/>
        <w:numPr>
          <w:ilvl w:val="1"/>
          <w:numId w:val="1013"/>
        </w:numPr>
      </w:pPr>
    </w:p>
    <w:p>
      <w:pPr>
        <w:pStyle w:val="Compact"/>
        <w:numPr>
          <w:ilvl w:val="2"/>
          <w:numId w:val="1018"/>
        </w:numPr>
      </w:pPr>
      <w:r>
        <w:t xml:space="preserve">The DTSA Expressly Does Not Preempt CUTSA</w:t>
      </w:r>
    </w:p>
    <w:p>
      <w:pPr>
        <w:pStyle w:val="Compact"/>
        <w:numPr>
          <w:ilvl w:val="0"/>
          <w:numId w:val="1004"/>
        </w:numPr>
      </w:pPr>
      <w:r>
        <w:t xml:space="preserve">C. Count III States a Claim for Tortious Interference</w:t>
      </w:r>
    </w:p>
    <w:p>
      <w:pPr>
        <w:pStyle w:val="Compact"/>
        <w:numPr>
          <w:ilvl w:val="0"/>
          <w:numId w:val="1004"/>
        </w:numPr>
      </w:pPr>
      <w:r>
        <w:t xml:space="preserve">D. Count IV States a Claim for Breach of Fiduciary Duty</w:t>
      </w:r>
    </w:p>
    <w:p>
      <w:pPr>
        <w:pStyle w:val="Compact"/>
        <w:numPr>
          <w:ilvl w:val="0"/>
          <w:numId w:val="1004"/>
        </w:numPr>
      </w:pPr>
      <w:r>
        <w:t xml:space="preserve">E. Pinnacle Has Standing, and Its Claims Are Ripe</w:t>
      </w:r>
    </w:p>
    <w:p>
      <w:pPr>
        <w:pStyle w:val="Compact"/>
        <w:numPr>
          <w:ilvl w:val="0"/>
          <w:numId w:val="1004"/>
        </w:numPr>
      </w:pPr>
      <w:r>
        <w:t xml:space="preserve">F. Alternatively, Pinnacle Should Be Granted Leave to Amend</w:t>
      </w:r>
    </w:p>
    <w:p>
      <w:pPr>
        <w:pStyle w:val="FirstParagraph"/>
      </w:pPr>
      <w:r>
        <w:t xml:space="preserve">V. CONCLUSION</w:t>
      </w:r>
    </w:p>
    <w:bookmarkEnd w:id="20"/>
    <w:bookmarkStart w:id="21" w:name="table-of-authorities"/>
    <w:p>
      <w:pPr>
        <w:pStyle w:val="Heading1"/>
      </w:pPr>
      <w:r>
        <w:t xml:space="preserve">TABLE OF AUTHORITIES</w:t>
      </w:r>
    </w:p>
    <w:p>
      <w:pPr>
        <w:pStyle w:val="FirstParagraph"/>
      </w:pPr>
      <w:r>
        <w:rPr>
          <w:b/>
          <w:bCs/>
        </w:rPr>
        <w:t xml:space="preserve">Cases</w:t>
      </w:r>
    </w:p>
    <w:p>
      <w:pPr>
        <w:pStyle w:val="BodyText"/>
      </w:pPr>
      <w:r>
        <w:rPr>
          <w:i/>
          <w:iCs/>
        </w:rPr>
        <w:t xml:space="preserve">Anderson News, L.L.C. v. Am. Media, Inc.</w:t>
      </w:r>
      <w:r>
        <w:t xml:space="preserve">, 680 F.3d 162 (2d Cir. 2012)</w:t>
      </w:r>
    </w:p>
    <w:p>
      <w:pPr>
        <w:pStyle w:val="BodyText"/>
      </w:pPr>
      <w:r>
        <w:rPr>
          <w:i/>
          <w:iCs/>
        </w:rPr>
        <w:t xml:space="preserve">Arista Records, LLC v. Doe 3</w:t>
      </w:r>
      <w:r>
        <w:t xml:space="preserve">, 604 F.3d 110 (2d Cir. 2010)</w:t>
      </w:r>
    </w:p>
    <w:p>
      <w:pPr>
        <w:pStyle w:val="BodyText"/>
      </w:pPr>
      <w:r>
        <w:rPr>
          <w:i/>
          <w:iCs/>
        </w:rPr>
        <w:t xml:space="preserve">Ashcroft v. Iqbal</w:t>
      </w:r>
      <w:r>
        <w:t xml:space="preserve">, 556 U.S. 662 (2009)</w:t>
      </w:r>
    </w:p>
    <w:p>
      <w:pPr>
        <w:pStyle w:val="BodyText"/>
      </w:pPr>
      <w:r>
        <w:rPr>
          <w:i/>
          <w:iCs/>
        </w:rPr>
        <w:t xml:space="preserve">Beit v. Beit</w:t>
      </w:r>
      <w:r>
        <w:t xml:space="preserve">, 135 Conn. 195 (1948)</w:t>
      </w:r>
    </w:p>
    <w:p>
      <w:pPr>
        <w:pStyle w:val="BodyText"/>
      </w:pPr>
      <w:r>
        <w:rPr>
          <w:i/>
          <w:iCs/>
        </w:rPr>
        <w:t xml:space="preserve">Bell Atl. Corp. v. Twombly</w:t>
      </w:r>
      <w:r>
        <w:t xml:space="preserve">, 550 U.S. 544 (2007)</w:t>
      </w:r>
    </w:p>
    <w:p>
      <w:pPr>
        <w:pStyle w:val="BodyText"/>
      </w:pPr>
      <w:r>
        <w:rPr>
          <w:i/>
          <w:iCs/>
        </w:rPr>
        <w:t xml:space="preserve">Blake v. Levy</w:t>
      </w:r>
      <w:r>
        <w:t xml:space="preserve">, 191 Conn. 257 (1983)</w:t>
      </w:r>
    </w:p>
    <w:p>
      <w:pPr>
        <w:pStyle w:val="BodyText"/>
      </w:pPr>
      <w:r>
        <w:rPr>
          <w:i/>
          <w:iCs/>
        </w:rPr>
        <w:t xml:space="preserve">Carter v. HealthPort Techs., LLC</w:t>
      </w:r>
      <w:r>
        <w:t xml:space="preserve">, 822 F.3d 47 (2d Cir. 2016)</w:t>
      </w:r>
    </w:p>
    <w:p>
      <w:pPr>
        <w:pStyle w:val="BodyText"/>
      </w:pPr>
      <w:r>
        <w:rPr>
          <w:i/>
          <w:iCs/>
        </w:rPr>
        <w:t xml:space="preserve">Chambers v. Time Warner, Inc.</w:t>
      </w:r>
      <w:r>
        <w:t xml:space="preserve">, 282 F.3d 147 (2d Cir. 2002)</w:t>
      </w:r>
    </w:p>
    <w:p>
      <w:pPr>
        <w:pStyle w:val="BodyText"/>
      </w:pPr>
      <w:r>
        <w:rPr>
          <w:i/>
          <w:iCs/>
        </w:rPr>
        <w:t xml:space="preserve">Clapper v. Amnesty Int’l USA</w:t>
      </w:r>
      <w:r>
        <w:t xml:space="preserve">, 568 U.S. 398 (2013)</w:t>
      </w:r>
    </w:p>
    <w:p>
      <w:pPr>
        <w:pStyle w:val="BodyText"/>
      </w:pPr>
      <w:r>
        <w:rPr>
          <w:i/>
          <w:iCs/>
        </w:rPr>
        <w:t xml:space="preserve">Dunham v. Dunham</w:t>
      </w:r>
      <w:r>
        <w:t xml:space="preserve">, 204 Conn. 303 (1987)</w:t>
      </w:r>
    </w:p>
    <w:p>
      <w:pPr>
        <w:pStyle w:val="BodyText"/>
      </w:pPr>
      <w:r>
        <w:rPr>
          <w:i/>
          <w:iCs/>
        </w:rPr>
        <w:t xml:space="preserve">Elm City Cheese Co. v. Federico</w:t>
      </w:r>
      <w:r>
        <w:t xml:space="preserve">, 251 Conn. 59 (1999)</w:t>
      </w:r>
    </w:p>
    <w:p>
      <w:pPr>
        <w:pStyle w:val="BodyText"/>
      </w:pPr>
      <w:r>
        <w:rPr>
          <w:i/>
          <w:iCs/>
        </w:rPr>
        <w:t xml:space="preserve">Faiveley Transp. Malmo AB v. Wabtec Corp.</w:t>
      </w:r>
      <w:r>
        <w:t xml:space="preserve">, 559 F.3d 110 (2d Cir. 2009)</w:t>
      </w:r>
    </w:p>
    <w:p>
      <w:pPr>
        <w:pStyle w:val="BodyText"/>
      </w:pPr>
      <w:r>
        <w:rPr>
          <w:i/>
          <w:iCs/>
        </w:rPr>
        <w:t xml:space="preserve">Foman v. Davis</w:t>
      </w:r>
      <w:r>
        <w:t xml:space="preserve">, 371 U.S. 178 (1962)</w:t>
      </w:r>
    </w:p>
    <w:p>
      <w:pPr>
        <w:pStyle w:val="BodyText"/>
      </w:pPr>
      <w:r>
        <w:rPr>
          <w:i/>
          <w:iCs/>
        </w:rPr>
        <w:t xml:space="preserve">Gantler v. Stephens</w:t>
      </w:r>
      <w:r>
        <w:t xml:space="preserve">, 965 A.2d 695 (Del. 2009)</w:t>
      </w:r>
    </w:p>
    <w:p>
      <w:pPr>
        <w:pStyle w:val="BodyText"/>
      </w:pPr>
      <w:r>
        <w:rPr>
          <w:i/>
          <w:iCs/>
        </w:rPr>
        <w:t xml:space="preserve">Goldman v. Belden</w:t>
      </w:r>
      <w:r>
        <w:t xml:space="preserve">, 754 F.2d 1059 (2d Cir. 1985)</w:t>
      </w:r>
    </w:p>
    <w:p>
      <w:pPr>
        <w:pStyle w:val="BodyText"/>
      </w:pPr>
      <w:r>
        <w:rPr>
          <w:i/>
          <w:iCs/>
        </w:rPr>
        <w:t xml:space="preserve">Hi-Ho Tower, Inc. v. Com-Tronics, Inc.</w:t>
      </w:r>
      <w:r>
        <w:t xml:space="preserve">, 255 Conn. 20 (2000)</w:t>
      </w:r>
    </w:p>
    <w:p>
      <w:pPr>
        <w:pStyle w:val="BodyText"/>
      </w:pPr>
      <w:r>
        <w:rPr>
          <w:i/>
          <w:iCs/>
        </w:rPr>
        <w:t xml:space="preserve">Lujan v. Defs. of Wildlife</w:t>
      </w:r>
      <w:r>
        <w:t xml:space="preserve">, 504 U.S. 555 (1992)</w:t>
      </w:r>
    </w:p>
    <w:p>
      <w:pPr>
        <w:pStyle w:val="BodyText"/>
      </w:pPr>
      <w:r>
        <w:rPr>
          <w:i/>
          <w:iCs/>
        </w:rPr>
        <w:t xml:space="preserve">N. Atl. Instruments, Inc. v. Haber</w:t>
      </w:r>
      <w:r>
        <w:t xml:space="preserve">, 188 F.3d 38 (2d Cir. 1999)</w:t>
      </w:r>
    </w:p>
    <w:p>
      <w:pPr>
        <w:pStyle w:val="BodyText"/>
      </w:pPr>
      <w:r>
        <w:rPr>
          <w:i/>
          <w:iCs/>
        </w:rPr>
        <w:t xml:space="preserve">New England Overall Co. v. Woltmann</w:t>
      </w:r>
      <w:r>
        <w:t xml:space="preserve">, 166 Conn. 352 (1974)</w:t>
      </w:r>
    </w:p>
    <w:p>
      <w:pPr>
        <w:pStyle w:val="BodyText"/>
      </w:pPr>
      <w:r>
        <w:rPr>
          <w:i/>
          <w:iCs/>
        </w:rPr>
        <w:t xml:space="preserve">Robert S. Weiss &amp; Assocs., Inc. v. Wiederlight</w:t>
      </w:r>
      <w:r>
        <w:t xml:space="preserve">, 208 Conn. 525 (1988)</w:t>
      </w:r>
    </w:p>
    <w:p>
      <w:pPr>
        <w:pStyle w:val="BodyText"/>
      </w:pPr>
      <w:r>
        <w:rPr>
          <w:i/>
          <w:iCs/>
        </w:rPr>
        <w:t xml:space="preserve">Scott v. Gen. Iron &amp; Welding Co.</w:t>
      </w:r>
      <w:r>
        <w:t xml:space="preserve">, 171 Conn. 132 (1976)</w:t>
      </w:r>
    </w:p>
    <w:p>
      <w:pPr>
        <w:pStyle w:val="BodyText"/>
      </w:pPr>
      <w:r>
        <w:rPr>
          <w:i/>
          <w:iCs/>
        </w:rPr>
        <w:t xml:space="preserve">Susan B. Anthony List v. Driehaus</w:t>
      </w:r>
      <w:r>
        <w:t xml:space="preserve">, 573 U.S. 149 (2014)</w:t>
      </w:r>
    </w:p>
    <w:p>
      <w:pPr>
        <w:pStyle w:val="BodyText"/>
      </w:pPr>
      <w:r>
        <w:rPr>
          <w:b/>
          <w:bCs/>
        </w:rPr>
        <w:t xml:space="preserve">Statutes and Rules</w:t>
      </w:r>
    </w:p>
    <w:p>
      <w:pPr>
        <w:pStyle w:val="BodyText"/>
      </w:pPr>
      <w:r>
        <w:t xml:space="preserve">18 U.S.C. § 1836</w:t>
      </w:r>
    </w:p>
    <w:p>
      <w:pPr>
        <w:pStyle w:val="BodyText"/>
      </w:pPr>
      <w:r>
        <w:t xml:space="preserve">18 U.S.C. § 1838</w:t>
      </w:r>
    </w:p>
    <w:p>
      <w:pPr>
        <w:pStyle w:val="BodyText"/>
      </w:pPr>
      <w:r>
        <w:t xml:space="preserve">18 U.S.C. § 1839</w:t>
      </w:r>
    </w:p>
    <w:p>
      <w:pPr>
        <w:pStyle w:val="BodyText"/>
      </w:pPr>
      <w:r>
        <w:t xml:space="preserve">Conn. Gen. Stat. § 35-50</w:t>
      </w:r>
      <w:r>
        <w:t xml:space="preserve"> </w:t>
      </w:r>
      <w:r>
        <w:rPr>
          <w:i/>
          <w:iCs/>
        </w:rPr>
        <w:t xml:space="preserve">et seq.</w:t>
      </w:r>
    </w:p>
    <w:p>
      <w:pPr>
        <w:pStyle w:val="BodyText"/>
      </w:pPr>
      <w:r>
        <w:t xml:space="preserve">Fed. R. Civ. P. 10(c), 12(b)(1), 12(b)(6), 12(d), 15(a)(2)</w:t>
      </w:r>
    </w:p>
    <w:p>
      <w:pPr>
        <w:pStyle w:val="BodyText"/>
      </w:pPr>
      <w:r>
        <w:rPr>
          <w:b/>
          <w:bCs/>
        </w:rPr>
        <w:t xml:space="preserve">Other Authorities</w:t>
      </w:r>
    </w:p>
    <w:p>
      <w:pPr>
        <w:pStyle w:val="BodyText"/>
      </w:pPr>
      <w:r>
        <w:t xml:space="preserve">Restatement (Second) of Torts § 766B (1979)</w:t>
      </w:r>
    </w:p>
    <w:p>
      <w:pPr>
        <w:pStyle w:val="BodyText"/>
      </w:pPr>
      <w:r>
        <w:t xml:space="preserve">Restatement (Third) of Agency §§ 8.02, 8.04, 8.05 (2006)</w:t>
      </w:r>
    </w:p>
    <w:bookmarkEnd w:id="21"/>
    <w:bookmarkStart w:id="22" w:name="i.-preliminary-statement"/>
    <w:p>
      <w:pPr>
        <w:pStyle w:val="Heading1"/>
      </w:pPr>
      <w:r>
        <w:t xml:space="preserve">I. PRELIMINARY STATEMENT</w:t>
      </w:r>
    </w:p>
    <w:p>
      <w:pPr>
        <w:pStyle w:val="FirstParagraph"/>
      </w:pPr>
      <w:r>
        <w:t xml:space="preserve">Four days before she resigned as Chief Revenue Officer of Plaintiff Pinnacle Hospitality Group, Inc. (</w:t>
      </w:r>
      <w:r>
        <w:t xml:space="preserve">“</w:t>
      </w:r>
      <w:r>
        <w:t xml:space="preserve">Pinnacle</w:t>
      </w:r>
      <w:r>
        <w:t xml:space="preserve">”</w:t>
      </w:r>
      <w:r>
        <w:t xml:space="preserve">), Defendant Denise Whitaker plugged a personal flash drive labeled</w:t>
      </w:r>
      <w:r>
        <w:t xml:space="preserve"> </w:t>
      </w:r>
      <w:r>
        <w:t xml:space="preserve">“</w:t>
      </w:r>
      <w:r>
        <w:t xml:space="preserve">DW_PERSONAL</w:t>
      </w:r>
      <w:r>
        <w:t xml:space="preserve">”</w:t>
      </w:r>
      <w:r>
        <w:t xml:space="preserve"> </w:t>
      </w:r>
      <w:r>
        <w:t xml:space="preserve">into her company laptop at 7:38 on a Monday evening and, over the next three and a half hours, downloaded approximately 14,200 files from Pinnacle’s restricted systems. Those files included the complete export of Pinnacle’s Platinum Client List, all twelve specification documents for its $3.8 million RevMaxPro pricing algorithm, its 2024–2026 strategic plans, and its financial models for nine pending management bids. (Compl. ¶¶ 86–87; Compl. Ex. B (</w:t>
      </w:r>
      <w:r>
        <w:t xml:space="preserve">“</w:t>
      </w:r>
      <w:r>
        <w:t xml:space="preserve">Meridian Report</w:t>
      </w:r>
      <w:r>
        <w:t xml:space="preserve">”</w:t>
      </w:r>
      <w:r>
        <w:t xml:space="preserve">) §§ IV.A–B.) She had never before connected a USB storage device to that laptop. (Meridian Report § IV.A.) Twenty-four days after resigning, she became Managing Director and Head of Hospitality Strategy at Defendant Lodestar Capital Partners LLC (</w:t>
      </w:r>
      <w:r>
        <w:t xml:space="preserve">“</w:t>
      </w:r>
      <w:r>
        <w:t xml:space="preserve">Lodestar</w:t>
      </w:r>
      <w:r>
        <w:t xml:space="preserve">”</w:t>
      </w:r>
      <w:r>
        <w:t xml:space="preserve">). In announcing the hire, Lodestar said she brought</w:t>
      </w:r>
      <w:r>
        <w:t xml:space="preserve"> </w:t>
      </w:r>
      <w:r>
        <w:t xml:space="preserve">“</w:t>
      </w:r>
      <w:r>
        <w:t xml:space="preserve">proprietary insights into hospitality revenue optimization</w:t>
      </w:r>
      <w:r>
        <w:t xml:space="preserve">”</w:t>
      </w:r>
      <w:r>
        <w:t xml:space="preserve"> </w:t>
      </w:r>
      <w:r>
        <w:t xml:space="preserve">and a</w:t>
      </w:r>
      <w:r>
        <w:t xml:space="preserve"> </w:t>
      </w:r>
      <w:r>
        <w:t xml:space="preserve">“</w:t>
      </w:r>
      <w:r>
        <w:t xml:space="preserve">unique understanding of revenue management, client relationships, and asset performance.</w:t>
      </w:r>
      <w:r>
        <w:t xml:space="preserve">”</w:t>
      </w:r>
      <w:r>
        <w:t xml:space="preserve"> </w:t>
      </w:r>
      <w:r>
        <w:t xml:space="preserve">(Compl. ¶¶ 103–106; Defs.’ Ex. C.) Within a week of her start date, Lodestar began sending</w:t>
      </w:r>
      <w:r>
        <w:t xml:space="preserve"> </w:t>
      </w:r>
      <w:r>
        <w:t xml:space="preserve">“</w:t>
      </w:r>
      <w:r>
        <w:t xml:space="preserve">management-transition proposals</w:t>
      </w:r>
      <w:r>
        <w:t xml:space="preserve">”</w:t>
      </w:r>
      <w:r>
        <w:t xml:space="preserve"> </w:t>
      </w:r>
      <w:r>
        <w:t xml:space="preserve">to six of Pinnacle’s top-20 clients. Every one of them was a client Whitaker had personally managed. The proposals referenced non-public contract timing, rate structures, and performance benchmarks. (Compl. ¶¶ 115–128.)</w:t>
      </w:r>
    </w:p>
    <w:p>
      <w:pPr>
        <w:pStyle w:val="BodyText"/>
      </w:pPr>
      <w:r>
        <w:t xml:space="preserve">Defendants’ motion does not engage with those allegations. It rests instead on a different complaint, one that supposedly alleges</w:t>
      </w:r>
      <w:r>
        <w:t xml:space="preserve"> </w:t>
      </w:r>
      <w:r>
        <w:t xml:space="preserve">“</w:t>
      </w:r>
      <w:r>
        <w:t xml:space="preserve">mere downloading,</w:t>
      </w:r>
      <w:r>
        <w:t xml:space="preserve">”</w:t>
      </w:r>
      <w:r>
        <w:t xml:space="preserve"> </w:t>
      </w:r>
      <w:r>
        <w:t xml:space="preserve">contains</w:t>
      </w:r>
      <w:r>
        <w:t xml:space="preserve"> </w:t>
      </w:r>
      <w:r>
        <w:t xml:space="preserve">“</w:t>
      </w:r>
      <w:r>
        <w:t xml:space="preserve">no allegation</w:t>
      </w:r>
      <w:r>
        <w:t xml:space="preserve">”</w:t>
      </w:r>
      <w:r>
        <w:t xml:space="preserve"> </w:t>
      </w:r>
      <w:r>
        <w:t xml:space="preserve">of use or disclosure, never alleges that Lodestar knew of the RCA, and concerns a private-equity firm that</w:t>
      </w:r>
      <w:r>
        <w:t xml:space="preserve"> </w:t>
      </w:r>
      <w:r>
        <w:t xml:space="preserve">“</w:t>
      </w:r>
      <w:r>
        <w:t xml:space="preserve">does not manage hotels.</w:t>
      </w:r>
      <w:r>
        <w:t xml:space="preserve">”</w:t>
      </w:r>
      <w:r>
        <w:t xml:space="preserve"> </w:t>
      </w:r>
      <w:r>
        <w:t xml:space="preserve">(Defs.’ Mem. at §§ II.C, IV.B.3, IV.C.3.) The Verified Complaint says the opposite on every one of those points. (</w:t>
      </w:r>
      <w:r>
        <w:rPr>
          <w:i/>
          <w:iCs/>
        </w:rPr>
        <w:t xml:space="preserve">See, e.g.</w:t>
      </w:r>
      <w:r>
        <w:t xml:space="preserve">, Compl. ¶¶ 97–98, 107–113, 119–126, 171–172.) Defendants’ own Exhibit C also contradicts them: the complete press release describes a vertical that will focus on</w:t>
      </w:r>
      <w:r>
        <w:t xml:space="preserve"> </w:t>
      </w:r>
      <w:r>
        <w:t xml:space="preserve">“</w:t>
      </w:r>
      <w:r>
        <w:t xml:space="preserve">acquiring, repositioning, and</w:t>
      </w:r>
      <w:r>
        <w:t xml:space="preserve"> </w:t>
      </w:r>
      <w:r>
        <w:rPr>
          <w:b/>
          <w:bCs/>
        </w:rPr>
        <w:t xml:space="preserve">actively managing</w:t>
      </w:r>
      <w:r>
        <w:t xml:space="preserve"> </w:t>
      </w:r>
      <w:r>
        <w:t xml:space="preserve">boutique and lifestyle hotel assets across the United States.</w:t>
      </w:r>
      <w:r>
        <w:t xml:space="preserve">”</w:t>
      </w:r>
      <w:r>
        <w:t xml:space="preserve"> </w:t>
      </w:r>
      <w:r>
        <w:t xml:space="preserve">(Defs.’ Ex. C (emphasis added).) The rest of the motion asks the Court to decide contested facts in Defendants’ favor, including how reasonable a restrictive covenant is in context, how public Pinnacle’s client data is, and whether two clients who are</w:t>
      </w:r>
      <w:r>
        <w:t xml:space="preserve"> </w:t>
      </w:r>
      <w:r>
        <w:t xml:space="preserve">“</w:t>
      </w:r>
      <w:r>
        <w:t xml:space="preserve">evaluating</w:t>
      </w:r>
      <w:r>
        <w:t xml:space="preserve">”</w:t>
      </w:r>
      <w:r>
        <w:t xml:space="preserve"> </w:t>
      </w:r>
      <w:r>
        <w:t xml:space="preserve">Lodestar’s proposals are actually at risk. Rule 12(b)(6) does not permit that.</w:t>
      </w:r>
    </w:p>
    <w:p>
      <w:pPr>
        <w:pStyle w:val="BodyText"/>
      </w:pPr>
      <w:r>
        <w:t xml:space="preserve">Each count is well pleaded:</w:t>
      </w:r>
    </w:p>
    <w:p>
      <w:pPr>
        <w:pStyle w:val="Compact"/>
        <w:numPr>
          <w:ilvl w:val="0"/>
          <w:numId w:val="1019"/>
        </w:numPr>
      </w:pPr>
      <w:r>
        <w:rPr>
          <w:b/>
          <w:bCs/>
        </w:rPr>
        <w:t xml:space="preserve">Count I</w:t>
      </w:r>
      <w:r>
        <w:t xml:space="preserve"> </w:t>
      </w:r>
      <w:r>
        <w:t xml:space="preserve">is not limited to the non-compete. It also alleges breaches of the client and employee non-solicitation covenants, the confidentiality covenant, and the return-of-materials obligation (Compl. ¶¶ 162–164, 102), and the motion does not challenge any of those. The non-compete’s reasonableness is a fact question. As applied here, it is plainly reasonable: Whitaker went to a New York–based competitor and targeted Pinnacle’s own clients in Pinnacle’s own states. If any part of the covenant is overbroad, Section 8.5 and Connecticut law call for modification, not dismissal.</w:t>
      </w:r>
    </w:p>
    <w:p>
      <w:pPr>
        <w:pStyle w:val="Compact"/>
        <w:numPr>
          <w:ilvl w:val="0"/>
          <w:numId w:val="1019"/>
        </w:numPr>
      </w:pPr>
      <w:r>
        <w:rPr>
          <w:b/>
          <w:bCs/>
        </w:rPr>
        <w:t xml:space="preserve">Count II</w:t>
      </w:r>
      <w:r>
        <w:t xml:space="preserve"> </w:t>
      </w:r>
      <w:r>
        <w:t xml:space="preserve">identifies specific, named, documented trade secrets. It alleges acquisition by improper means in breach of express confidentiality duties, and it alleges use and disclosure with detailed circumstantial facts. The DTSA expressly preserves the parallel CUTSA claim. 18 U.S.C. § 1838.</w:t>
      </w:r>
    </w:p>
    <w:p>
      <w:pPr>
        <w:pStyle w:val="Compact"/>
        <w:numPr>
          <w:ilvl w:val="0"/>
          <w:numId w:val="1019"/>
        </w:numPr>
      </w:pPr>
      <w:r>
        <w:rPr>
          <w:b/>
          <w:bCs/>
        </w:rPr>
        <w:t xml:space="preserve">Count III</w:t>
      </w:r>
      <w:r>
        <w:t xml:space="preserve"> </w:t>
      </w:r>
      <w:r>
        <w:t xml:space="preserve">names six clients, their revenue, their properties, and their renewal dates. It alleges interference by improper means, namely misappropriated trade secrets and inducement of Whitaker’s contractual breaches.</w:t>
      </w:r>
    </w:p>
    <w:p>
      <w:pPr>
        <w:pStyle w:val="Compact"/>
        <w:numPr>
          <w:ilvl w:val="0"/>
          <w:numId w:val="1019"/>
        </w:numPr>
      </w:pPr>
      <w:r>
        <w:rPr>
          <w:b/>
          <w:bCs/>
        </w:rPr>
        <w:t xml:space="preserve">Count IV</w:t>
      </w:r>
      <w:r>
        <w:t xml:space="preserve"> </w:t>
      </w:r>
      <w:r>
        <w:t xml:space="preserve">alleges that Whitaker, as a C-suite executive and one of four people entrusted with export rights to Pinnacle’s crown-jewel data, took that data while still employed. That is a breach of the duty of loyalty.</w:t>
      </w:r>
    </w:p>
    <w:p>
      <w:pPr>
        <w:pStyle w:val="Compact"/>
        <w:numPr>
          <w:ilvl w:val="0"/>
          <w:numId w:val="1019"/>
        </w:numPr>
      </w:pPr>
      <w:r>
        <w:rPr>
          <w:b/>
          <w:bCs/>
        </w:rPr>
        <w:t xml:space="preserve">Standing and ripeness</w:t>
      </w:r>
      <w:r>
        <w:t xml:space="preserve"> </w:t>
      </w:r>
      <w:r>
        <w:t xml:space="preserve">are satisfied by the breaches and misappropriation that have already occurred and by the certainly impending loss of at least $19.9 million in annual revenue.</w:t>
      </w:r>
    </w:p>
    <w:p>
      <w:pPr>
        <w:pStyle w:val="FirstParagraph"/>
      </w:pPr>
      <w:r>
        <w:t xml:space="preserve">The motion should be denied in its entirety.</w:t>
      </w:r>
    </w:p>
    <w:bookmarkEnd w:id="22"/>
    <w:bookmarkStart w:id="30" w:name="ii.-statement-of-facts"/>
    <w:p>
      <w:pPr>
        <w:pStyle w:val="Heading1"/>
      </w:pPr>
      <w:r>
        <w:t xml:space="preserve">II. STATEMENT OF FACTS</w:t>
      </w:r>
    </w:p>
    <w:p>
      <w:pPr>
        <w:pStyle w:val="FirstParagraph"/>
      </w:pPr>
      <w:r>
        <w:t xml:space="preserve">The following facts are drawn from the Verified Complaint (Dkt. 1) and its Exhibits A (the Restrictive Covenant Agreement,</w:t>
      </w:r>
      <w:r>
        <w:t xml:space="preserve"> </w:t>
      </w:r>
      <w:r>
        <w:t xml:space="preserve">“</w:t>
      </w:r>
      <w:r>
        <w:t xml:space="preserve">RCA</w:t>
      </w:r>
      <w:r>
        <w:t xml:space="preserve">”</w:t>
      </w:r>
      <w:r>
        <w:t xml:space="preserve">) and B (the Meridian Report). They must be accepted as true for purposes of this motion.</w:t>
      </w:r>
      <w:r>
        <w:rPr>
          <w:rStyle w:val="FootnoteReference"/>
        </w:rPr>
        <w:footnoteReference w:id="23"/>
      </w:r>
    </w:p>
    <w:bookmarkStart w:id="24" w:name="Xf9db0383b02da302de8de0ba7964e7da730d607"/>
    <w:p>
      <w:pPr>
        <w:pStyle w:val="Heading2"/>
      </w:pPr>
      <w:r>
        <w:t xml:space="preserve">A. Pinnacle, Its Trade Secrets, and Its Security Measures</w:t>
      </w:r>
    </w:p>
    <w:p>
      <w:pPr>
        <w:pStyle w:val="FirstParagraph"/>
      </w:pPr>
      <w:r>
        <w:t xml:space="preserve">Pinnacle manages forty-seven boutique and lifestyle hotels in fourteen states stretching from Connecticut to California. It employs approximately 640 people and generated approximately $312 million in revenue in fiscal year 2023. (Compl. ¶¶ 1, 14–15, 30, 72.) Its management agreements run five to ten years. (</w:t>
      </w:r>
      <w:r>
        <w:rPr>
          <w:i/>
          <w:iCs/>
        </w:rPr>
        <w:t xml:space="preserve">Id.</w:t>
      </w:r>
      <w:r>
        <w:t xml:space="preserve"> </w:t>
      </w:r>
      <w:r>
        <w:t xml:space="preserve">¶ 34.) Its top-20 clients account for more than 60% of its revenue. (</w:t>
      </w:r>
      <w:r>
        <w:rPr>
          <w:i/>
          <w:iCs/>
        </w:rPr>
        <w:t xml:space="preserve">Id.</w:t>
      </w:r>
      <w:r>
        <w:t xml:space="preserve"> </w:t>
      </w:r>
      <w:r>
        <w:t xml:space="preserve">¶ 35.)</w:t>
      </w:r>
    </w:p>
    <w:p>
      <w:pPr>
        <w:pStyle w:val="BodyText"/>
      </w:pPr>
      <w:r>
        <w:t xml:space="preserve">Pinnacle’s competitive position depends on three categories of proprietary assets.</w:t>
      </w:r>
    </w:p>
    <w:p>
      <w:pPr>
        <w:pStyle w:val="BodyText"/>
      </w:pPr>
      <w:r>
        <w:rPr>
          <w:b/>
          <w:bCs/>
        </w:rPr>
        <w:t xml:space="preserve">RevMaxPro.</w:t>
      </w:r>
      <w:r>
        <w:t xml:space="preserve"> </w:t>
      </w:r>
      <w:r>
        <w:t xml:space="preserve">RevMaxPro is a revenue-management algorithm that Pinnacle developed from 2017 to 2021 at a cost of approximately $3.8 million. That figure includes $1.4 million in developer salaries, $1.1 million in data licensing, $0.9 million in consultants, and $0.4 million in infrastructure. (</w:t>
      </w:r>
      <w:r>
        <w:rPr>
          <w:i/>
          <w:iCs/>
        </w:rPr>
        <w:t xml:space="preserve">Id.</w:t>
      </w:r>
      <w:r>
        <w:t xml:space="preserve"> </w:t>
      </w:r>
      <w:r>
        <w:t xml:space="preserve">¶¶ 41–42.) The algorithm processes dozens of inputs through a</w:t>
      </w:r>
      <w:r>
        <w:t xml:space="preserve"> </w:t>
      </w:r>
      <w:r>
        <w:t xml:space="preserve">“</w:t>
      </w:r>
      <w:r>
        <w:t xml:space="preserve">proprietary weighting methodology.</w:t>
      </w:r>
      <w:r>
        <w:t xml:space="preserve">”</w:t>
      </w:r>
      <w:r>
        <w:t xml:space="preserve"> </w:t>
      </w:r>
      <w:r>
        <w:t xml:space="preserve">(</w:t>
      </w:r>
      <w:r>
        <w:rPr>
          <w:i/>
          <w:iCs/>
        </w:rPr>
        <w:t xml:space="preserve">Id.</w:t>
      </w:r>
      <w:r>
        <w:t xml:space="preserve"> </w:t>
      </w:r>
      <w:r>
        <w:t xml:space="preserve">¶ 43.) Its twelve specification documents total 186 pages and set out its core logic, input parameters, weighting methodologies, calibration standards, and integration protocols. (</w:t>
      </w:r>
      <w:r>
        <w:rPr>
          <w:i/>
          <w:iCs/>
        </w:rPr>
        <w:t xml:space="preserve">Id.</w:t>
      </w:r>
      <w:r>
        <w:t xml:space="preserve"> </w:t>
      </w:r>
      <w:r>
        <w:t xml:space="preserve">¶ 46.) Since 2021, RevMaxPro has helped Pinnacle’s portfolio exceed industry RevPAR benchmarks by an average of 12%. (</w:t>
      </w:r>
      <w:r>
        <w:rPr>
          <w:i/>
          <w:iCs/>
        </w:rPr>
        <w:t xml:space="preserve">Id.</w:t>
      </w:r>
      <w:r>
        <w:t xml:space="preserve"> </w:t>
      </w:r>
      <w:r>
        <w:t xml:space="preserve">¶ 47.) Only nine employees can access the complete specifications. (</w:t>
      </w:r>
      <w:r>
        <w:rPr>
          <w:i/>
          <w:iCs/>
        </w:rPr>
        <w:t xml:space="preserve">Id.</w:t>
      </w:r>
      <w:r>
        <w:t xml:space="preserve"> </w:t>
      </w:r>
      <w:r>
        <w:t xml:space="preserve">¶ 45.)</w:t>
      </w:r>
    </w:p>
    <w:p>
      <w:pPr>
        <w:pStyle w:val="BodyText"/>
      </w:pPr>
      <w:r>
        <w:rPr>
          <w:b/>
          <w:bCs/>
        </w:rPr>
        <w:t xml:space="preserve">The Platinum Client List.</w:t>
      </w:r>
      <w:r>
        <w:t xml:space="preserve"> </w:t>
      </w:r>
      <w:r>
        <w:t xml:space="preserve">This is a curated Salesforce database of approximately 2,200 corporate-travel contacts. For each contact, it records spending profiles, travel preferences, contract renewal dates, negotiated rate structures and discount tiers, historical booking patterns, relationship notes, and purchasing-authority designations. (</w:t>
      </w:r>
      <w:r>
        <w:rPr>
          <w:i/>
          <w:iCs/>
        </w:rPr>
        <w:t xml:space="preserve">Id.</w:t>
      </w:r>
      <w:r>
        <w:t xml:space="preserve"> </w:t>
      </w:r>
      <w:r>
        <w:t xml:space="preserve">¶¶ 51–52.) Only eleven of Pinnacle’s 640 employees have read access. Only four, including Whitaker, had export privileges. (</w:t>
      </w:r>
      <w:r>
        <w:rPr>
          <w:i/>
          <w:iCs/>
        </w:rPr>
        <w:t xml:space="preserve">Id.</w:t>
      </w:r>
      <w:r>
        <w:t xml:space="preserve"> </w:t>
      </w:r>
      <w:r>
        <w:t xml:space="preserve">¶ 55; Meridian Report § III.B.) Access is protected by role-based permissions reviewed quarterly, multi-factor authentication, IP restrictions, and seven-year audit logging. (Compl. ¶ 56.)</w:t>
      </w:r>
    </w:p>
    <w:p>
      <w:pPr>
        <w:pStyle w:val="BodyText"/>
      </w:pPr>
      <w:r>
        <w:rPr>
          <w:b/>
          <w:bCs/>
        </w:rPr>
        <w:t xml:space="preserve">Pricing templates, strategic plans, and bid models.</w:t>
      </w:r>
      <w:r>
        <w:t xml:space="preserve"> </w:t>
      </w:r>
      <w:r>
        <w:t xml:space="preserve">Pinnacle’s property-specific dynamic pricing templates, its 2024–2026 strategic plans, and its financial models for pending bids, which contain proposed fee structures and competitive positioning, are also confidential. (</w:t>
      </w:r>
      <w:r>
        <w:rPr>
          <w:i/>
          <w:iCs/>
        </w:rPr>
        <w:t xml:space="preserve">Id.</w:t>
      </w:r>
      <w:r>
        <w:t xml:space="preserve"> </w:t>
      </w:r>
      <w:r>
        <w:t xml:space="preserve">¶¶ 61–64.)</w:t>
      </w:r>
    </w:p>
    <w:p>
      <w:pPr>
        <w:pStyle w:val="BodyText"/>
      </w:pPr>
      <w:r>
        <w:t xml:space="preserve">All of these materials carry the</w:t>
      </w:r>
      <w:r>
        <w:t xml:space="preserve"> </w:t>
      </w:r>
      <w:r>
        <w:t xml:space="preserve">“</w:t>
      </w:r>
      <w:r>
        <w:t xml:space="preserve">PINNACLE CONFIDENTIAL — RESTRICTED</w:t>
      </w:r>
      <w:r>
        <w:t xml:space="preserve">”</w:t>
      </w:r>
      <w:r>
        <w:t xml:space="preserve"> </w:t>
      </w:r>
      <w:r>
        <w:t xml:space="preserve">watermark. They are maintained on secure systems and are governed by an Acceptable Use Policy (</w:t>
      </w:r>
      <w:r>
        <w:t xml:space="preserve">“</w:t>
      </w:r>
      <w:r>
        <w:t xml:space="preserve">AUP</w:t>
      </w:r>
      <w:r>
        <w:t xml:space="preserve">”</w:t>
      </w:r>
      <w:r>
        <w:t xml:space="preserve">) that limits access to</w:t>
      </w:r>
      <w:r>
        <w:t xml:space="preserve"> </w:t>
      </w:r>
      <w:r>
        <w:t xml:space="preserve">“</w:t>
      </w:r>
      <w:r>
        <w:t xml:space="preserve">legitimate business purposes</w:t>
      </w:r>
      <w:r>
        <w:t xml:space="preserve">”</w:t>
      </w:r>
      <w:r>
        <w:t xml:space="preserve"> </w:t>
      </w:r>
      <w:r>
        <w:t xml:space="preserve">and prohibits transfer to personal devices without written authorization. (</w:t>
      </w:r>
      <w:r>
        <w:rPr>
          <w:i/>
          <w:iCs/>
        </w:rPr>
        <w:t xml:space="preserve">Id.</w:t>
      </w:r>
      <w:r>
        <w:t xml:space="preserve"> </w:t>
      </w:r>
      <w:r>
        <w:t xml:space="preserve">¶¶ 45, 57, 63, 65, 94; Meridian Report § IV.D.)</w:t>
      </w:r>
    </w:p>
    <w:bookmarkEnd w:id="24"/>
    <w:bookmarkStart w:id="25" w:name="X66cd5b8af0f817384ff7bd3ffd8f7dbbc0093d6"/>
    <w:p>
      <w:pPr>
        <w:pStyle w:val="Heading2"/>
      </w:pPr>
      <w:r>
        <w:t xml:space="preserve">B. Whitaker’s Role and the Restrictive Covenant Agreement</w:t>
      </w:r>
    </w:p>
    <w:p>
      <w:pPr>
        <w:pStyle w:val="FirstParagraph"/>
      </w:pPr>
      <w:r>
        <w:t xml:space="preserve">Whitaker joined Pinnacle on March 4, 2019. She signed the RCA that day, having received it before her start date and having had an opportunity to review it. (Compl. ¶¶ 66–67.) In the RCA, she acknowledged that she had the</w:t>
      </w:r>
      <w:r>
        <w:t xml:space="preserve"> </w:t>
      </w:r>
      <w:r>
        <w:t xml:space="preserve">“</w:t>
      </w:r>
      <w:r>
        <w:t xml:space="preserve">opportunity to consult with independent counsel prior to execution.</w:t>
      </w:r>
      <w:r>
        <w:t xml:space="preserve">”</w:t>
      </w:r>
      <w:r>
        <w:t xml:space="preserve"> </w:t>
      </w:r>
      <w:r>
        <w:t xml:space="preserve">(RCA § 3.2.) The RCA recites its consideration: initial employment, access to Confidential Information, and specialized training, including on RevMaxPro. (Compl. ¶¶ 68–69; RCA § 3.1.)</w:t>
      </w:r>
    </w:p>
    <w:p>
      <w:pPr>
        <w:pStyle w:val="BodyText"/>
      </w:pPr>
      <w:r>
        <w:t xml:space="preserve">The covenants at issue are:</w:t>
      </w:r>
    </w:p>
    <w:p>
      <w:pPr>
        <w:pStyle w:val="Compact"/>
        <w:numPr>
          <w:ilvl w:val="0"/>
          <w:numId w:val="1020"/>
        </w:numPr>
      </w:pPr>
      <w:r>
        <w:rPr>
          <w:b/>
          <w:bCs/>
        </w:rPr>
        <w:t xml:space="preserve">Non-compete (§ 4.1).</w:t>
      </w:r>
      <w:r>
        <w:t xml:space="preserve"> </w:t>
      </w:r>
      <w:r>
        <w:t xml:space="preserve">For twenty-four months, Whitaker may not</w:t>
      </w:r>
      <w:r>
        <w:t xml:space="preserve"> </w:t>
      </w:r>
      <w:r>
        <w:t xml:space="preserve">“</w:t>
      </w:r>
      <w:r>
        <w:t xml:space="preserve">engage in, own, manage, operate, consult for, be employed by, or participate in any Competing Business within the Restricted Territory.</w:t>
      </w:r>
      <w:r>
        <w:t xml:space="preserve">”</w:t>
      </w:r>
      <w:r>
        <w:t xml:space="preserve"> </w:t>
      </w:r>
      <w:r>
        <w:t xml:space="preserve">(RCA § 4.1.)</w:t>
      </w:r>
    </w:p>
    <w:p>
      <w:pPr>
        <w:pStyle w:val="Compact"/>
        <w:numPr>
          <w:ilvl w:val="0"/>
          <w:numId w:val="1020"/>
        </w:numPr>
      </w:pPr>
      <w:r>
        <w:rPr>
          <w:b/>
          <w:bCs/>
        </w:rPr>
        <w:t xml:space="preserve">Competing Business (§ 1.3).</w:t>
      </w:r>
      <w:r>
        <w:t xml:space="preserve"> </w:t>
      </w:r>
      <w:r>
        <w:t xml:space="preserve">An enterprise</w:t>
      </w:r>
      <w:r>
        <w:t xml:space="preserve"> </w:t>
      </w:r>
      <w:r>
        <w:t xml:space="preserve">“</w:t>
      </w:r>
      <w:r>
        <w:t xml:space="preserve">engaged in, or … preparing to engage in, hotel management, hotel revenue optimization, or hospitality asset management services.</w:t>
      </w:r>
      <w:r>
        <w:t xml:space="preserve">”</w:t>
      </w:r>
      <w:r>
        <w:t xml:space="preserve"> </w:t>
      </w:r>
      <w:r>
        <w:t xml:space="preserve">(RCA § 1.3.)</w:t>
      </w:r>
    </w:p>
    <w:p>
      <w:pPr>
        <w:pStyle w:val="Compact"/>
        <w:numPr>
          <w:ilvl w:val="0"/>
          <w:numId w:val="1020"/>
        </w:numPr>
      </w:pPr>
      <w:r>
        <w:rPr>
          <w:b/>
          <w:bCs/>
        </w:rPr>
        <w:t xml:space="preserve">Client non-solicitation (§ 4.2).</w:t>
      </w:r>
      <w:r>
        <w:t xml:space="preserve"> </w:t>
      </w:r>
      <w:r>
        <w:t xml:space="preserve">This covenant is limited to Clients with whom Whitaker had</w:t>
      </w:r>
      <w:r>
        <w:t xml:space="preserve"> </w:t>
      </w:r>
      <w:r>
        <w:t xml:space="preserve">“</w:t>
      </w:r>
      <w:r>
        <w:t xml:space="preserve">Material Contact</w:t>
      </w:r>
      <w:r>
        <w:t xml:space="preserve">”</w:t>
      </w:r>
      <w:r>
        <w:t xml:space="preserve"> </w:t>
      </w:r>
      <w:r>
        <w:t xml:space="preserve">during her final twenty-four months. It applies whether or not the client actually leaves. (RCA §§ 1.5, 4.2.)</w:t>
      </w:r>
    </w:p>
    <w:p>
      <w:pPr>
        <w:pStyle w:val="Compact"/>
        <w:numPr>
          <w:ilvl w:val="0"/>
          <w:numId w:val="1020"/>
        </w:numPr>
      </w:pPr>
      <w:r>
        <w:rPr>
          <w:b/>
          <w:bCs/>
        </w:rPr>
        <w:t xml:space="preserve">Employee non-solicitation (§ 4.3).</w:t>
      </w:r>
      <w:r>
        <w:t xml:space="preserve"> </w:t>
      </w:r>
      <w:r>
        <w:t xml:space="preserve">(RCA § 4.3.)</w:t>
      </w:r>
    </w:p>
    <w:p>
      <w:pPr>
        <w:pStyle w:val="Compact"/>
        <w:numPr>
          <w:ilvl w:val="0"/>
          <w:numId w:val="1020"/>
        </w:numPr>
      </w:pPr>
      <w:r>
        <w:rPr>
          <w:b/>
          <w:bCs/>
        </w:rPr>
        <w:t xml:space="preserve">Confidentiality and return of materials (§§ 5.1–5.2).</w:t>
      </w:r>
      <w:r>
        <w:t xml:space="preserve"> </w:t>
      </w:r>
      <w:r>
        <w:t xml:space="preserve">(RCA §§ 5.1–5.2.)</w:t>
      </w:r>
    </w:p>
    <w:p>
      <w:pPr>
        <w:pStyle w:val="Compact"/>
        <w:numPr>
          <w:ilvl w:val="0"/>
          <w:numId w:val="1020"/>
        </w:numPr>
      </w:pPr>
      <w:r>
        <w:rPr>
          <w:b/>
          <w:bCs/>
        </w:rPr>
        <w:t xml:space="preserve">Reformation (§ 8.5).</w:t>
      </w:r>
      <w:r>
        <w:t xml:space="preserve"> </w:t>
      </w:r>
      <w:r>
        <w:t xml:space="preserve">The parties</w:t>
      </w:r>
      <w:r>
        <w:t xml:space="preserve"> </w:t>
      </w:r>
      <w:r>
        <w:t xml:space="preserve">“</w:t>
      </w:r>
      <w:r>
        <w:t xml:space="preserve">expressly authorize and request</w:t>
      </w:r>
      <w:r>
        <w:t xml:space="preserve">”</w:t>
      </w:r>
      <w:r>
        <w:t xml:space="preserve"> </w:t>
      </w:r>
      <w:r>
        <w:t xml:space="preserve">that a court</w:t>
      </w:r>
      <w:r>
        <w:t xml:space="preserve"> </w:t>
      </w:r>
      <w:r>
        <w:t xml:space="preserve">“</w:t>
      </w:r>
      <w:r>
        <w:t xml:space="preserve">reform or modify</w:t>
      </w:r>
      <w:r>
        <w:t xml:space="preserve">”</w:t>
      </w:r>
      <w:r>
        <w:t xml:space="preserve"> </w:t>
      </w:r>
      <w:r>
        <w:t xml:space="preserve">any overbroad restrictive covenant</w:t>
      </w:r>
      <w:r>
        <w:t xml:space="preserve"> </w:t>
      </w:r>
      <w:r>
        <w:t xml:space="preserve">“</w:t>
      </w:r>
      <w:r>
        <w:t xml:space="preserve">to the minimum extent necessary to render it valid and enforceable.</w:t>
      </w:r>
      <w:r>
        <w:t xml:space="preserve">”</w:t>
      </w:r>
      <w:r>
        <w:t xml:space="preserve"> </w:t>
      </w:r>
      <w:r>
        <w:t xml:space="preserve">(RCA § 8.5; Compl. ¶ 79.)</w:t>
      </w:r>
    </w:p>
    <w:p>
      <w:pPr>
        <w:pStyle w:val="FirstParagraph"/>
      </w:pPr>
      <w:r>
        <w:t xml:space="preserve">Whitaker was promoted to Senior Vice President in July 2021 and to Chief Revenue Officer on January 2, 2023. (Compl. ¶¶ 80–81.) As CRO she reported directly to the CEO, sat on the executive leadership team, participated in board presentations, and had authority over revenue strategy for all forty-seven properties. (</w:t>
      </w:r>
      <w:r>
        <w:rPr>
          <w:i/>
          <w:iCs/>
        </w:rPr>
        <w:t xml:space="preserve">Id.</w:t>
      </w:r>
      <w:r>
        <w:t xml:space="preserve"> </w:t>
      </w:r>
      <w:r>
        <w:t xml:space="preserve">¶¶ 82, 187.) She personally led quarterly business reviews, renewal discussions, and strategic planning with each of the six clients later solicited by Lodestar. (</w:t>
      </w:r>
      <w:r>
        <w:rPr>
          <w:i/>
          <w:iCs/>
        </w:rPr>
        <w:t xml:space="preserve">Id.</w:t>
      </w:r>
      <w:r>
        <w:t xml:space="preserve"> </w:t>
      </w:r>
      <w:r>
        <w:t xml:space="preserve">¶ 83.) Her total compensation averaged about $512,000. (</w:t>
      </w:r>
      <w:r>
        <w:rPr>
          <w:i/>
          <w:iCs/>
        </w:rPr>
        <w:t xml:space="preserve">Id.</w:t>
      </w:r>
      <w:r>
        <w:t xml:space="preserve"> </w:t>
      </w:r>
      <w:r>
        <w:t xml:space="preserve">¶ 84.) Every year from 2020 through 2024, she signed a written confidentiality acknowledgment reaffirming her obligations, including her obligation to return all Confidential Information when her employment ended. (</w:t>
      </w:r>
      <w:r>
        <w:rPr>
          <w:i/>
          <w:iCs/>
        </w:rPr>
        <w:t xml:space="preserve">Id.</w:t>
      </w:r>
      <w:r>
        <w:t xml:space="preserve"> </w:t>
      </w:r>
      <w:r>
        <w:t xml:space="preserve">¶¶ 60, 85; Meridian Report § IV.E.)</w:t>
      </w:r>
    </w:p>
    <w:bookmarkEnd w:id="25"/>
    <w:bookmarkStart w:id="26" w:name="c.-the-january-6-2025-mass-download"/>
    <w:p>
      <w:pPr>
        <w:pStyle w:val="Heading2"/>
      </w:pPr>
      <w:r>
        <w:t xml:space="preserve">C. The January 6, 2025 Mass Download</w:t>
      </w:r>
    </w:p>
    <w:p>
      <w:pPr>
        <w:pStyle w:val="FirstParagraph"/>
      </w:pPr>
      <w:r>
        <w:t xml:space="preserve">On the evening of Monday, January 6, 2025, Whitaker connected a personal SanDisk flash drive labeled</w:t>
      </w:r>
      <w:r>
        <w:t xml:space="preserve"> </w:t>
      </w:r>
      <w:r>
        <w:t xml:space="preserve">“</w:t>
      </w:r>
      <w:r>
        <w:t xml:space="preserve">DW_PERSONAL</w:t>
      </w:r>
      <w:r>
        <w:t xml:space="preserve">”</w:t>
      </w:r>
      <w:r>
        <w:t xml:space="preserve"> </w:t>
      </w:r>
      <w:r>
        <w:t xml:space="preserve">to her Pinnacle laptop. The device was not on Pinnacle’s whitelist of approved devices. Between 7:42 and 11:18 p.m., she downloaded approximately 14,200 files to it. (Compl. ¶¶ 86, 91; Meridian Report §§ II, IV.A–B.) The files included:</w:t>
      </w:r>
    </w:p>
    <w:p>
      <w:pPr>
        <w:pStyle w:val="Compact"/>
        <w:numPr>
          <w:ilvl w:val="0"/>
          <w:numId w:val="1021"/>
        </w:numPr>
      </w:pPr>
      <w:r>
        <w:t xml:space="preserve">the complete Platinum Client List export;</w:t>
      </w:r>
    </w:p>
    <w:p>
      <w:pPr>
        <w:pStyle w:val="Compact"/>
        <w:numPr>
          <w:ilvl w:val="0"/>
          <w:numId w:val="1021"/>
        </w:numPr>
      </w:pPr>
      <w:r>
        <w:t xml:space="preserve">all twelve RevMaxPro specification documents;</w:t>
      </w:r>
    </w:p>
    <w:p>
      <w:pPr>
        <w:pStyle w:val="Compact"/>
        <w:numPr>
          <w:ilvl w:val="0"/>
          <w:numId w:val="1021"/>
        </w:numPr>
      </w:pPr>
      <w:r>
        <w:t xml:space="preserve">eight strategic-planning presentations; and</w:t>
      </w:r>
    </w:p>
    <w:p>
      <w:pPr>
        <w:pStyle w:val="Compact"/>
        <w:numPr>
          <w:ilvl w:val="0"/>
          <w:numId w:val="1021"/>
        </w:numPr>
      </w:pPr>
      <w:r>
        <w:t xml:space="preserve">nine pending-bid financial models. Four of those models concern Northridge, Coastal Haven, and Belmont, three of the clients Lodestar later solicited.</w:t>
      </w:r>
    </w:p>
    <w:p>
      <w:pPr>
        <w:pStyle w:val="FirstParagraph"/>
      </w:pPr>
      <w:r>
        <w:t xml:space="preserve">(Compl. ¶ 87; Meridian Report § IV.B.) Approximately 94.5% of the files bore confidentiality markings. (Meridian Report § IV.E.)</w:t>
      </w:r>
    </w:p>
    <w:p>
      <w:pPr>
        <w:pStyle w:val="BodyText"/>
      </w:pPr>
      <w:r>
        <w:t xml:space="preserve">The activity was unprecedented. No external storage device had been connected to Whitaker’s laptop in the prior twelve months. Her baseline download rate was about six files per day. Excluding January 6, her downloads in the pre-resignation month were consistent with that baseline. (</w:t>
      </w:r>
      <w:r>
        <w:rPr>
          <w:i/>
          <w:iCs/>
        </w:rPr>
        <w:t xml:space="preserve">Id.</w:t>
      </w:r>
      <w:r>
        <w:t xml:space="preserve"> </w:t>
      </w:r>
      <w:r>
        <w:t xml:space="preserve">§ IV.C; Compl. ¶ 88.) She had not accessed the Platinum Client List in fifty-three days, and her calendar, email metadata, and workflow records show no business reason for doing so that night. (Meridian Report § IV.B.) The Information Security Officer has confirmed that she never requested, and was never given, authorization to transfer data to a personal device. (</w:t>
      </w:r>
      <w:r>
        <w:rPr>
          <w:i/>
          <w:iCs/>
        </w:rPr>
        <w:t xml:space="preserve">Id.</w:t>
      </w:r>
      <w:r>
        <w:t xml:space="preserve"> </w:t>
      </w:r>
      <w:r>
        <w:t xml:space="preserve">§ IV.D; Compl. ¶ 94.)</w:t>
      </w:r>
    </w:p>
    <w:p>
      <w:pPr>
        <w:pStyle w:val="BodyText"/>
      </w:pPr>
      <w:r>
        <w:t xml:space="preserve">Whitaker resigned effective immediately on January 10, saying only that she was</w:t>
      </w:r>
      <w:r>
        <w:t xml:space="preserve"> </w:t>
      </w:r>
      <w:r>
        <w:t xml:space="preserve">“</w:t>
      </w:r>
      <w:r>
        <w:t xml:space="preserve">pursuing other opportunities.</w:t>
      </w:r>
      <w:r>
        <w:t xml:space="preserve">”</w:t>
      </w:r>
      <w:r>
        <w:t xml:space="preserve"> </w:t>
      </w:r>
      <w:r>
        <w:t xml:space="preserve">She did not disclose her new employer. (Compl. ¶¶ 99–101.) She did not return the downloaded files, did not certify compliance with the RCA, and has not responded to Pinnacle’s demands. (</w:t>
      </w:r>
      <w:r>
        <w:rPr>
          <w:i/>
          <w:iCs/>
        </w:rPr>
        <w:t xml:space="preserve">Id.</w:t>
      </w:r>
      <w:r>
        <w:t xml:space="preserve"> </w:t>
      </w:r>
      <w:r>
        <w:t xml:space="preserve">¶¶ 96, 102.)</w:t>
      </w:r>
    </w:p>
    <w:bookmarkEnd w:id="26"/>
    <w:bookmarkStart w:id="28" w:name="Xe3db24a815a90468a073efa21f5ebc532ea145e"/>
    <w:p>
      <w:pPr>
        <w:pStyle w:val="Heading2"/>
      </w:pPr>
      <w:r>
        <w:t xml:space="preserve">D. Lodestar Hires Whitaker for Her</w:t>
      </w:r>
      <w:r>
        <w:t xml:space="preserve"> </w:t>
      </w:r>
      <w:r>
        <w:t xml:space="preserve">“</w:t>
      </w:r>
      <w:r>
        <w:t xml:space="preserve">Proprietary Insights</w:t>
      </w:r>
      <w:r>
        <w:t xml:space="preserve">”</w:t>
      </w:r>
    </w:p>
    <w:p>
      <w:pPr>
        <w:pStyle w:val="FirstParagraph"/>
      </w:pPr>
      <w:r>
        <w:t xml:space="preserve">Lodestar is a private-equity firm with $4.2 billion under management. On February 3, 2025, it announced the launch of a hospitality vertical and Whitaker’s appointment to lead it. (Compl. ¶¶ 18–20, 103–104.) The complete release, which Defendants attach as Exhibit C, states:</w:t>
      </w:r>
    </w:p>
    <w:p>
      <w:pPr>
        <w:pStyle w:val="Compact"/>
        <w:numPr>
          <w:ilvl w:val="0"/>
          <w:numId w:val="1022"/>
        </w:numPr>
      </w:pPr>
      <w:r>
        <w:t xml:space="preserve">the vertical will focus on</w:t>
      </w:r>
      <w:r>
        <w:t xml:space="preserve"> </w:t>
      </w:r>
      <w:r>
        <w:t xml:space="preserve">“</w:t>
      </w:r>
      <w:r>
        <w:t xml:space="preserve">acquiring, repositioning, and actively managing boutique and lifestyle hotel assets across the United States,</w:t>
      </w:r>
      <w:r>
        <w:t xml:space="preserve">”</w:t>
      </w:r>
      <w:r>
        <w:t xml:space="preserve"> </w:t>
      </w:r>
      <w:r>
        <w:t xml:space="preserve">which is Pinnacle’s own market segment;</w:t>
      </w:r>
    </w:p>
    <w:p>
      <w:pPr>
        <w:pStyle w:val="Compact"/>
        <w:numPr>
          <w:ilvl w:val="0"/>
          <w:numId w:val="1022"/>
        </w:numPr>
      </w:pPr>
      <w:r>
        <w:t xml:space="preserve">Whitaker</w:t>
      </w:r>
      <w:r>
        <w:t xml:space="preserve"> </w:t>
      </w:r>
      <w:r>
        <w:t xml:space="preserve">“</w:t>
      </w:r>
      <w:r>
        <w:t xml:space="preserve">brings deep operational expertise and proprietary insights into hospitality revenue optimization</w:t>
      </w:r>
      <w:r>
        <w:t xml:space="preserve">”</w:t>
      </w:r>
      <w:r>
        <w:t xml:space="preserve">; and</w:t>
      </w:r>
    </w:p>
    <w:p>
      <w:pPr>
        <w:pStyle w:val="Compact"/>
        <w:numPr>
          <w:ilvl w:val="0"/>
          <w:numId w:val="1022"/>
        </w:numPr>
      </w:pPr>
      <w:r>
        <w:t xml:space="preserve">her</w:t>
      </w:r>
      <w:r>
        <w:t xml:space="preserve"> </w:t>
      </w:r>
      <w:r>
        <w:t xml:space="preserve">“</w:t>
      </w:r>
      <w:r>
        <w:t xml:space="preserve">unique understanding of revenue management, client relationships, and asset performance positions us to move decisively.</w:t>
      </w:r>
      <w:r>
        <w:t xml:space="preserve">”</w:t>
      </w:r>
    </w:p>
    <w:p>
      <w:pPr>
        <w:pStyle w:val="FirstParagraph"/>
      </w:pPr>
      <w:r>
        <w:t xml:space="preserve">(Defs.’ Ex. C; Compl. ¶¶ 104–106.)</w:t>
      </w:r>
      <w:r>
        <w:rPr>
          <w:rStyle w:val="FootnoteReference"/>
        </w:rPr>
        <w:footnoteReference w:id="27"/>
      </w:r>
    </w:p>
    <w:p>
      <w:pPr>
        <w:pStyle w:val="BodyText"/>
      </w:pPr>
      <w:r>
        <w:t xml:space="preserve">The Complaint alleges that Lodestar knew of Whitaker’s restrictive covenants and pleads the specific bases for that allegation. (Compl. ¶¶ 108–113.) First, such covenants are standard for C-suite hospitality executives, and a firm of Lodestar’s sophistication either investigated or deliberately chose not to (</w:t>
      </w:r>
      <w:r>
        <w:rPr>
          <w:i/>
          <w:iCs/>
        </w:rPr>
        <w:t xml:space="preserve">id.</w:t>
      </w:r>
      <w:r>
        <w:t xml:space="preserve"> </w:t>
      </w:r>
      <w:r>
        <w:t xml:space="preserve">¶¶ 109–110). Second, the 24-day interval between resignation and start date shows that Lodestar negotiated with Whitaker while she was still Pinnacle’s CRO (</w:t>
      </w:r>
      <w:r>
        <w:rPr>
          <w:i/>
          <w:iCs/>
        </w:rPr>
        <w:t xml:space="preserve">id.</w:t>
      </w:r>
      <w:r>
        <w:t xml:space="preserve"> </w:t>
      </w:r>
      <w:r>
        <w:t xml:space="preserve">¶ 111). Third, Lodestar publicly touted her</w:t>
      </w:r>
      <w:r>
        <w:t xml:space="preserve"> </w:t>
      </w:r>
      <w:r>
        <w:t xml:space="preserve">“</w:t>
      </w:r>
      <w:r>
        <w:t xml:space="preserve">proprietary insights</w:t>
      </w:r>
      <w:r>
        <w:t xml:space="preserve">”</w:t>
      </w:r>
      <w:r>
        <w:t xml:space="preserve"> </w:t>
      </w:r>
      <w:r>
        <w:t xml:space="preserve">(</w:t>
      </w:r>
      <w:r>
        <w:rPr>
          <w:i/>
          <w:iCs/>
        </w:rPr>
        <w:t xml:space="preserve">id.</w:t>
      </w:r>
      <w:r>
        <w:t xml:space="preserve"> </w:t>
      </w:r>
      <w:r>
        <w:t xml:space="preserve">¶ 112).</w:t>
      </w:r>
    </w:p>
    <w:bookmarkEnd w:id="28"/>
    <w:bookmarkStart w:id="29" w:name="Xc0a69c5e06796c99951b2f27233583d99279b05"/>
    <w:p>
      <w:pPr>
        <w:pStyle w:val="Heading2"/>
      </w:pPr>
      <w:r>
        <w:t xml:space="preserve">E. Targeted Solicitation of Pinnacle’s Clients and Personnel</w:t>
      </w:r>
    </w:p>
    <w:p>
      <w:pPr>
        <w:pStyle w:val="FirstParagraph"/>
      </w:pPr>
      <w:r>
        <w:t xml:space="preserve">Between February 10 and March 28, 2025, Lodestar sent unsolicited</w:t>
      </w:r>
      <w:r>
        <w:t xml:space="preserve"> </w:t>
      </w:r>
      <w:r>
        <w:t xml:space="preserve">“</w:t>
      </w:r>
      <w:r>
        <w:t xml:space="preserve">alternative management structure</w:t>
      </w:r>
      <w:r>
        <w:t xml:space="preserve">”</w:t>
      </w:r>
      <w:r>
        <w:t xml:space="preserve"> </w:t>
      </w:r>
      <w:r>
        <w:t xml:space="preserve">proposals to six of Pinnacle’s top-20 clients: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Client</w:t>
            </w:r>
          </w:p>
        </w:tc>
        <w:tc>
          <w:tcPr/>
          <w:p>
            <w:pPr>
              <w:pStyle w:val="Compact"/>
              <w:jc w:val="left"/>
            </w:pPr>
            <w:r>
              <w:t xml:space="preserve">Annual revenue to Pinnacle</w:t>
            </w:r>
          </w:p>
        </w:tc>
      </w:tr>
      <w:tr>
        <w:tc>
          <w:tcPr/>
          <w:p>
            <w:pPr>
              <w:pStyle w:val="Compact"/>
              <w:jc w:val="left"/>
            </w:pPr>
            <w:r>
              <w:t xml:space="preserve">Northridge Resorts LLC</w:t>
            </w:r>
          </w:p>
        </w:tc>
        <w:tc>
          <w:tcPr/>
          <w:p>
            <w:pPr>
              <w:pStyle w:val="Compact"/>
              <w:jc w:val="left"/>
            </w:pPr>
            <w:r>
              <w:t xml:space="preserve">$11.2M</w:t>
            </w:r>
          </w:p>
        </w:tc>
      </w:tr>
      <w:tr>
        <w:tc>
          <w:tcPr/>
          <w:p>
            <w:pPr>
              <w:pStyle w:val="Compact"/>
              <w:jc w:val="left"/>
            </w:pPr>
            <w:r>
              <w:t xml:space="preserve">Coastal Haven Properties LP</w:t>
            </w:r>
          </w:p>
        </w:tc>
        <w:tc>
          <w:tcPr/>
          <w:p>
            <w:pPr>
              <w:pStyle w:val="Compact"/>
              <w:jc w:val="left"/>
            </w:pPr>
            <w:r>
              <w:t xml:space="preserve">$8.7M</w:t>
            </w:r>
          </w:p>
        </w:tc>
      </w:tr>
      <w:tr>
        <w:tc>
          <w:tcPr/>
          <w:p>
            <w:pPr>
              <w:pStyle w:val="Compact"/>
              <w:jc w:val="left"/>
            </w:pPr>
            <w:r>
              <w:t xml:space="preserve">Belmont Hospitality Trust</w:t>
            </w:r>
          </w:p>
        </w:tc>
        <w:tc>
          <w:tcPr/>
          <w:p>
            <w:pPr>
              <w:pStyle w:val="Compact"/>
              <w:jc w:val="left"/>
            </w:pPr>
            <w:r>
              <w:t xml:space="preserve">$7.1M</w:t>
            </w:r>
          </w:p>
        </w:tc>
      </w:tr>
      <w:tr>
        <w:tc>
          <w:tcPr/>
          <w:p>
            <w:pPr>
              <w:pStyle w:val="Compact"/>
              <w:jc w:val="left"/>
            </w:pPr>
            <w:r>
              <w:t xml:space="preserve">Edgewater Partners LLC</w:t>
            </w:r>
          </w:p>
        </w:tc>
        <w:tc>
          <w:tcPr/>
          <w:p>
            <w:pPr>
              <w:pStyle w:val="Compact"/>
              <w:jc w:val="left"/>
            </w:pPr>
            <w:r>
              <w:t xml:space="preserve">$6.4M</w:t>
            </w:r>
          </w:p>
        </w:tc>
      </w:tr>
      <w:tr>
        <w:tc>
          <w:tcPr/>
          <w:p>
            <w:pPr>
              <w:pStyle w:val="Compact"/>
              <w:jc w:val="left"/>
            </w:pPr>
            <w:r>
              <w:t xml:space="preserve">Summit View Holdings Inc.</w:t>
            </w:r>
          </w:p>
        </w:tc>
        <w:tc>
          <w:tcPr/>
          <w:p>
            <w:pPr>
              <w:pStyle w:val="Compact"/>
              <w:jc w:val="left"/>
            </w:pPr>
            <w:r>
              <w:t xml:space="preserve">$4.8M</w:t>
            </w:r>
          </w:p>
        </w:tc>
      </w:tr>
      <w:tr>
        <w:tc>
          <w:tcPr/>
          <w:p>
            <w:pPr>
              <w:pStyle w:val="Compact"/>
              <w:jc w:val="left"/>
            </w:pPr>
            <w:r>
              <w:t xml:space="preserve">Clarion Beach Ventures LLC</w:t>
            </w:r>
          </w:p>
        </w:tc>
        <w:tc>
          <w:tcPr/>
          <w:p>
            <w:pPr>
              <w:pStyle w:val="Compact"/>
              <w:jc w:val="left"/>
            </w:pPr>
            <w:r>
              <w:t xml:space="preserve">$3.1M</w:t>
            </w:r>
          </w:p>
        </w:tc>
      </w:tr>
      <w:tr>
        <w:tc>
          <w:tcPr/>
          <w:p>
            <w:pPr>
              <w:pStyle w:val="Compact"/>
              <w:jc w:val="left"/>
            </w:pPr>
            <w:r>
              <w:rPr>
                <w:b/>
                <w:bCs/>
              </w:rPr>
              <w:t xml:space="preserve">Total</w:t>
            </w:r>
          </w:p>
        </w:tc>
        <w:tc>
          <w:tcPr/>
          <w:p>
            <w:pPr>
              <w:pStyle w:val="Compact"/>
              <w:jc w:val="left"/>
            </w:pPr>
            <w:r>
              <w:rPr>
                <w:b/>
                <w:bCs/>
              </w:rPr>
              <w:t xml:space="preserve">$41.3M</w:t>
            </w:r>
          </w:p>
        </w:tc>
      </w:tr>
    </w:tbl>
    <w:p>
      <w:pPr>
        <w:pStyle w:val="BodyText"/>
      </w:pPr>
      <w:r>
        <w:t xml:space="preserve">(Compl. ¶¶ 115–117.) Whitaker had Material Contact with every one of these clients. (</w:t>
      </w:r>
      <w:r>
        <w:rPr>
          <w:i/>
          <w:iCs/>
        </w:rPr>
        <w:t xml:space="preserve">Id.</w:t>
      </w:r>
      <w:r>
        <w:t xml:space="preserve"> </w:t>
      </w:r>
      <w:r>
        <w:t xml:space="preserve">¶¶ 83, 118, 133.) The proposals promised</w:t>
      </w:r>
      <w:r>
        <w:t xml:space="preserve"> </w:t>
      </w:r>
      <w:r>
        <w:t xml:space="preserve">“</w:t>
      </w:r>
      <w:r>
        <w:t xml:space="preserve">tailored management solutions based on deep understanding of your portfolio</w:t>
      </w:r>
      <w:r>
        <w:t xml:space="preserve">”</w:t>
      </w:r>
      <w:r>
        <w:t xml:space="preserve"> </w:t>
      </w:r>
      <w:r>
        <w:t xml:space="preserve">and referenced the clients’ fee structures, performance metrics, and renewal timelines, which are not public. (</w:t>
      </w:r>
      <w:r>
        <w:rPr>
          <w:i/>
          <w:iCs/>
        </w:rPr>
        <w:t xml:space="preserve">Id.</w:t>
      </w:r>
      <w:r>
        <w:t xml:space="preserve"> </w:t>
      </w:r>
      <w:r>
        <w:t xml:space="preserve">¶¶ 119–121, 125–126.) Northridge’s contact expressed</w:t>
      </w:r>
      <w:r>
        <w:t xml:space="preserve"> </w:t>
      </w:r>
      <w:r>
        <w:t xml:space="preserve">“</w:t>
      </w:r>
      <w:r>
        <w:t xml:space="preserve">surprise at the specificity and timing</w:t>
      </w:r>
      <w:r>
        <w:t xml:space="preserve">”</w:t>
      </w:r>
      <w:r>
        <w:t xml:space="preserve"> </w:t>
      </w:r>
      <w:r>
        <w:t xml:space="preserve">of Lodestar’s approach, which arrived shortly before a scheduled contract review. Northridge’s agreement is up for renewal in September 2025. (</w:t>
      </w:r>
      <w:r>
        <w:rPr>
          <w:i/>
          <w:iCs/>
        </w:rPr>
        <w:t xml:space="preserve">Id.</w:t>
      </w:r>
      <w:r>
        <w:t xml:space="preserve"> </w:t>
      </w:r>
      <w:r>
        <w:t xml:space="preserve">¶¶ 122, 127.) Coastal Haven reported that Lodestar’s proposal</w:t>
      </w:r>
      <w:r>
        <w:t xml:space="preserve"> </w:t>
      </w:r>
      <w:r>
        <w:t xml:space="preserve">“</w:t>
      </w:r>
      <w:r>
        <w:t xml:space="preserve">referenced performance benchmarks and rate structures that closely tracked Coastal Haven’s actual experience with Pinnacle.</w:t>
      </w:r>
      <w:r>
        <w:t xml:space="preserve">”</w:t>
      </w:r>
      <w:r>
        <w:t xml:space="preserve"> </w:t>
      </w:r>
      <w:r>
        <w:t xml:space="preserve">Its agreement is up for renewal in November 2025. (</w:t>
      </w:r>
      <w:r>
        <w:rPr>
          <w:i/>
          <w:iCs/>
        </w:rPr>
        <w:t xml:space="preserve">Id.</w:t>
      </w:r>
      <w:r>
        <w:t xml:space="preserve"> </w:t>
      </w:r>
      <w:r>
        <w:t xml:space="preserve">¶¶ 123, 128.) Both clients are</w:t>
      </w:r>
      <w:r>
        <w:t xml:space="preserve"> </w:t>
      </w:r>
      <w:r>
        <w:t xml:space="preserve">“</w:t>
      </w:r>
      <w:r>
        <w:t xml:space="preserve">evaluating [their] options,</w:t>
      </w:r>
      <w:r>
        <w:t xml:space="preserve">”</w:t>
      </w:r>
      <w:r>
        <w:t xml:space="preserve"> </w:t>
      </w:r>
      <w:r>
        <w:t xml:space="preserve">which puts $19.9 million in annual revenue at imminent risk. (</w:t>
      </w:r>
      <w:r>
        <w:rPr>
          <w:i/>
          <w:iCs/>
        </w:rPr>
        <w:t xml:space="preserve">Id.</w:t>
      </w:r>
      <w:r>
        <w:t xml:space="preserve"> </w:t>
      </w:r>
      <w:r>
        <w:t xml:space="preserve">¶¶ 122–124.)</w:t>
      </w:r>
    </w:p>
    <w:p>
      <w:pPr>
        <w:pStyle w:val="BodyText"/>
      </w:pPr>
      <w:r>
        <w:t xml:space="preserve">On March 15, 2025, a recruiter acting for Lodestar offered a</w:t>
      </w:r>
      <w:r>
        <w:t xml:space="preserve"> </w:t>
      </w:r>
      <w:r>
        <w:t xml:space="preserve">“</w:t>
      </w:r>
      <w:r>
        <w:t xml:space="preserve">Director of Hospitality Analytics</w:t>
      </w:r>
      <w:r>
        <w:t xml:space="preserve">”</w:t>
      </w:r>
      <w:r>
        <w:t xml:space="preserve"> </w:t>
      </w:r>
      <w:r>
        <w:t xml:space="preserve">position to Dr. Priya Ramachandran, Pinnacle’s VP of Data Analytics and a key architect of RevMaxPro. Whitaker had worked closely with her. Dr. Ramachandran declined. (</w:t>
      </w:r>
      <w:r>
        <w:rPr>
          <w:i/>
          <w:iCs/>
        </w:rPr>
        <w:t xml:space="preserve">Id.</w:t>
      </w:r>
      <w:r>
        <w:t xml:space="preserve"> </w:t>
      </w:r>
      <w:r>
        <w:t xml:space="preserve">¶¶ 136–139.) Pinnacle seeks preliminary and permanent injunctive relief, damages, and other remedies. (</w:t>
      </w:r>
      <w:r>
        <w:rPr>
          <w:i/>
          <w:iCs/>
        </w:rPr>
        <w:t xml:space="preserve">Id.</w:t>
      </w:r>
      <w:r>
        <w:t xml:space="preserve"> </w:t>
      </w:r>
      <w:r>
        <w:t xml:space="preserve">¶¶ 12, 155; Prayer for Relief.)</w:t>
      </w:r>
    </w:p>
    <w:bookmarkEnd w:id="29"/>
    <w:bookmarkEnd w:id="30"/>
    <w:bookmarkStart w:id="31" w:name="iii.-legal-standard"/>
    <w:p>
      <w:pPr>
        <w:pStyle w:val="Heading1"/>
      </w:pPr>
      <w:r>
        <w:t xml:space="preserve">III. LEGAL STANDARD</w:t>
      </w:r>
    </w:p>
    <w:p>
      <w:pPr>
        <w:pStyle w:val="FirstParagraph"/>
      </w:pPr>
      <w:r>
        <w:t xml:space="preserve">To survive a Rule 12(b)(6) motion, a complaint need only</w:t>
      </w:r>
      <w:r>
        <w:t xml:space="preserve"> </w:t>
      </w:r>
      <w:r>
        <w:t xml:space="preserve">“</w:t>
      </w:r>
      <w:r>
        <w:t xml:space="preserve">contain sufficient factual matter, accepted as true, to</w:t>
      </w:r>
      <w:r>
        <w:t xml:space="preserve"> </w:t>
      </w:r>
      <w:r>
        <w:t xml:space="preserve">‘</w:t>
      </w:r>
      <w:r>
        <w:t xml:space="preserve">state a claim to relief that is plausible on its face.</w:t>
      </w:r>
      <w:r>
        <w:t xml:space="preserve">’</w:t>
      </w:r>
      <w:r>
        <w:t xml:space="preserv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Plausibility</w:t>
      </w:r>
      <w:r>
        <w:t xml:space="preserve"> </w:t>
      </w:r>
      <w:r>
        <w:t xml:space="preserve">“</w:t>
      </w:r>
      <w:r>
        <w:t xml:space="preserve">is not akin to a</w:t>
      </w:r>
      <w:r>
        <w:t xml:space="preserve"> </w:t>
      </w:r>
      <w:r>
        <w:t xml:space="preserve">‘</w:t>
      </w:r>
      <w:r>
        <w:t xml:space="preserve">probability requirement.</w:t>
      </w:r>
      <w:r>
        <w:t xml:space="preserve">’</w:t>
      </w:r>
      <w:r>
        <w:t xml:space="preserve">”</w:t>
      </w:r>
      <w:r>
        <w:t xml:space="preserve"> </w:t>
      </w:r>
      <w:r>
        <w:rPr>
          <w:i/>
          <w:iCs/>
        </w:rPr>
        <w:t xml:space="preserve">Id.</w:t>
      </w:r>
      <w:r>
        <w:t xml:space="preserve"> </w:t>
      </w:r>
      <w:r>
        <w:t xml:space="preserve">The Court accepts all well-pleaded facts as true and draws all reasonable inferences in the plaintiff’s favor. The motion tests only</w:t>
      </w:r>
      <w:r>
        <w:t xml:space="preserve"> </w:t>
      </w:r>
      <w:r>
        <w:t xml:space="preserve">“</w:t>
      </w:r>
      <w:r>
        <w:t xml:space="preserve">the legal feasibility of the complaint, not … the weight of the evidence which might be offered in support thereof.</w:t>
      </w:r>
      <w:r>
        <w:t xml:space="preserve">”</w:t>
      </w:r>
      <w:r>
        <w:t xml:space="preserve"> </w:t>
      </w:r>
      <w:r>
        <w:rPr>
          <w:i/>
          <w:iCs/>
        </w:rPr>
        <w:t xml:space="preserve">Goldman v. Belden</w:t>
      </w:r>
      <w:r>
        <w:t xml:space="preserve">, 754 F.2d 1059, 1067 (2d Cir. 1985). The Court may not choose between competing plausible inferences at this stage.</w:t>
      </w:r>
      <w:r>
        <w:t xml:space="preserve"> </w:t>
      </w:r>
      <w:r>
        <w:rPr>
          <w:i/>
          <w:iCs/>
        </w:rPr>
        <w:t xml:space="preserve">Anderson News, L.L.C. v. Am. Media, Inc.</w:t>
      </w:r>
      <w:r>
        <w:t xml:space="preserve">, 680 F.3d 162, 185 (2d Cir. 2012).</w:t>
      </w:r>
      <w:r>
        <w:t xml:space="preserve"> </w:t>
      </w:r>
      <w:r>
        <w:rPr>
          <w:i/>
          <w:iCs/>
        </w:rPr>
        <w:t xml:space="preserve">Twombly</w:t>
      </w:r>
      <w:r>
        <w:t xml:space="preserve"> </w:t>
      </w:r>
      <w:r>
        <w:t xml:space="preserve">also permits allegations on information and belief</w:t>
      </w:r>
      <w:r>
        <w:t xml:space="preserve"> </w:t>
      </w:r>
      <w:r>
        <w:t xml:space="preserve">“</w:t>
      </w:r>
      <w:r>
        <w:t xml:space="preserve">where the facts are peculiarly within the possession and control of the defendant.</w:t>
      </w:r>
      <w:r>
        <w:t xml:space="preserve">”</w:t>
      </w:r>
      <w:r>
        <w:t xml:space="preserve"> </w:t>
      </w:r>
      <w:r>
        <w:rPr>
          <w:i/>
          <w:iCs/>
        </w:rPr>
        <w:t xml:space="preserve">Arista Records, LLC v. Doe 3</w:t>
      </w:r>
      <w:r>
        <w:t xml:space="preserve">, 604 F.3d 110, 120 (2d Cir. 2010). That is true here: what Whitaker did with the flash drive, and what Lodestar did with its contents, is known only to Defendants. (</w:t>
      </w:r>
      <w:r>
        <w:rPr>
          <w:i/>
          <w:iCs/>
        </w:rPr>
        <w:t xml:space="preserve">See</w:t>
      </w:r>
      <w:r>
        <w:t xml:space="preserve"> </w:t>
      </w:r>
      <w:r>
        <w:t xml:space="preserve">Meridian Report § VII.)</w:t>
      </w:r>
    </w:p>
    <w:p>
      <w:pPr>
        <w:pStyle w:val="BodyText"/>
      </w:pPr>
      <w:r>
        <w:t xml:space="preserve">The Court may consider documents attached to the complaint or integral to it.</w:t>
      </w:r>
      <w:r>
        <w:t xml:space="preserve"> </w:t>
      </w:r>
      <w:r>
        <w:rPr>
          <w:i/>
          <w:iCs/>
        </w:rPr>
        <w:t xml:space="preserve">Chambers v. Time Warner, Inc.</w:t>
      </w:r>
      <w:r>
        <w:t xml:space="preserve">, 282 F.3d 147, 152–53 (2d Cir. 2002); Fed. R. Civ. P. 10(c). Pinnacle does not object to consideration of the complete Lodestar press release. Consideration of that document, however, cannot be used to resolve factual disputes against Pinnacle. Defendants’ characterizations of it are not properly considered, and neither are their other extra-pleading assertions, such as claims about what appears in</w:t>
      </w:r>
      <w:r>
        <w:t xml:space="preserve"> </w:t>
      </w:r>
      <w:r>
        <w:t xml:space="preserve">“</w:t>
      </w:r>
      <w:r>
        <w:t xml:space="preserve">LinkedIn profiles,</w:t>
      </w:r>
      <w:r>
        <w:t xml:space="preserve">”</w:t>
      </w:r>
      <w:r>
        <w:t xml:space="preserve"> </w:t>
      </w:r>
      <w:r>
        <w:t xml:space="preserve">“</w:t>
      </w:r>
      <w:r>
        <w:t xml:space="preserve">trade publications,</w:t>
      </w:r>
      <w:r>
        <w:t xml:space="preserve">”</w:t>
      </w:r>
      <w:r>
        <w:t xml:space="preserve"> </w:t>
      </w:r>
      <w:r>
        <w:t xml:space="preserve">or Pinnacle’s bylaws.</w:t>
      </w:r>
      <w:r>
        <w:t xml:space="preserve"> </w:t>
      </w:r>
      <w:r>
        <w:rPr>
          <w:i/>
          <w:iCs/>
        </w:rPr>
        <w:t xml:space="preserve">See</w:t>
      </w:r>
      <w:r>
        <w:t xml:space="preserve"> </w:t>
      </w:r>
      <w:r>
        <w:t xml:space="preserve">Fed. R. Civ. P. 12(d).</w:t>
      </w:r>
    </w:p>
    <w:bookmarkEnd w:id="31"/>
    <w:bookmarkStart w:id="51" w:name="iv.-argument"/>
    <w:p>
      <w:pPr>
        <w:pStyle w:val="Heading1"/>
      </w:pPr>
      <w:r>
        <w:t xml:space="preserve">IV. ARGUMENT</w:t>
      </w:r>
    </w:p>
    <w:bookmarkStart w:id="40" w:name="Xd9c9e39cee46e1fd1c56c8142ba3ac463a61fa7"/>
    <w:p>
      <w:pPr>
        <w:pStyle w:val="Heading2"/>
      </w:pPr>
      <w:r>
        <w:t xml:space="preserve">A. Count I States a Claim for Breach of the RCA</w:t>
      </w:r>
    </w:p>
    <w:bookmarkStart w:id="32" w:name="Xdc102874ec47636e41146a66280688a1057dca1"/>
    <w:p>
      <w:pPr>
        <w:pStyle w:val="Heading3"/>
      </w:pPr>
      <w:r>
        <w:t xml:space="preserve">1. Defendants Do Not Challenge the Non-Solicitation, Confidentiality, and Return-of-Materials Breaches, Which Independently Sustain Count I</w:t>
      </w:r>
    </w:p>
    <w:p>
      <w:pPr>
        <w:pStyle w:val="FirstParagraph"/>
      </w:pPr>
      <w:r>
        <w:t xml:space="preserve">Count I alleges four separate breaches:</w:t>
      </w:r>
    </w:p>
    <w:p>
      <w:pPr>
        <w:pStyle w:val="Compact"/>
        <w:numPr>
          <w:ilvl w:val="0"/>
          <w:numId w:val="1023"/>
        </w:numPr>
      </w:pPr>
      <w:r>
        <w:t xml:space="preserve">the non-compete, § 4.1 (Compl. ¶ 161);</w:t>
      </w:r>
    </w:p>
    <w:p>
      <w:pPr>
        <w:pStyle w:val="Compact"/>
        <w:numPr>
          <w:ilvl w:val="0"/>
          <w:numId w:val="1023"/>
        </w:numPr>
      </w:pPr>
      <w:r>
        <w:t xml:space="preserve">the client non-solicitation covenant, § 4.2 (</w:t>
      </w:r>
      <w:r>
        <w:rPr>
          <w:i/>
          <w:iCs/>
        </w:rPr>
        <w:t xml:space="preserve">id.</w:t>
      </w:r>
      <w:r>
        <w:t xml:space="preserve"> </w:t>
      </w:r>
      <w:r>
        <w:t xml:space="preserve">¶ 162);</w:t>
      </w:r>
    </w:p>
    <w:p>
      <w:pPr>
        <w:pStyle w:val="Compact"/>
        <w:numPr>
          <w:ilvl w:val="0"/>
          <w:numId w:val="1023"/>
        </w:numPr>
      </w:pPr>
      <w:r>
        <w:t xml:space="preserve">the employee non-solicitation covenant, § 4.3 (</w:t>
      </w:r>
      <w:r>
        <w:rPr>
          <w:i/>
          <w:iCs/>
        </w:rPr>
        <w:t xml:space="preserve">id.</w:t>
      </w:r>
      <w:r>
        <w:t xml:space="preserve"> </w:t>
      </w:r>
      <w:r>
        <w:t xml:space="preserve">¶ 163); and</w:t>
      </w:r>
    </w:p>
    <w:p>
      <w:pPr>
        <w:pStyle w:val="Compact"/>
        <w:numPr>
          <w:ilvl w:val="0"/>
          <w:numId w:val="1023"/>
        </w:numPr>
      </w:pPr>
      <w:r>
        <w:t xml:space="preserve">the confidentiality covenant, § 5.1 (</w:t>
      </w:r>
      <w:r>
        <w:rPr>
          <w:i/>
          <w:iCs/>
        </w:rPr>
        <w:t xml:space="preserve">id.</w:t>
      </w:r>
      <w:r>
        <w:t xml:space="preserve"> </w:t>
      </w:r>
      <w:r>
        <w:t xml:space="preserve">¶ 164).</w:t>
      </w:r>
    </w:p>
    <w:p>
      <w:pPr>
        <w:pStyle w:val="FirstParagraph"/>
      </w:pPr>
      <w:r>
        <w:t xml:space="preserve">It also alleges failure to return Confidential Information (</w:t>
      </w:r>
      <w:r>
        <w:rPr>
          <w:i/>
          <w:iCs/>
        </w:rPr>
        <w:t xml:space="preserve">id.</w:t>
      </w:r>
      <w:r>
        <w:t xml:space="preserve"> </w:t>
      </w:r>
      <w:r>
        <w:t xml:space="preserve">¶ 102;</w:t>
      </w:r>
      <w:r>
        <w:t xml:space="preserve"> </w:t>
      </w:r>
      <w:r>
        <w:rPr>
          <w:i/>
          <w:iCs/>
        </w:rPr>
        <w:t xml:space="preserve">see</w:t>
      </w:r>
      <w:r>
        <w:t xml:space="preserve"> </w:t>
      </w:r>
      <w:r>
        <w:t xml:space="preserve">RCA § 5.2). The motion attacks only § 4.1, and specifically its territory, duration, and definition of</w:t>
      </w:r>
      <w:r>
        <w:t xml:space="preserve"> </w:t>
      </w:r>
      <w:r>
        <w:t xml:space="preserve">“</w:t>
      </w:r>
      <w:r>
        <w:t xml:space="preserve">Competing Business.</w:t>
      </w:r>
      <w:r>
        <w:t xml:space="preserve">”</w:t>
      </w:r>
      <w:r>
        <w:t xml:space="preserve"> </w:t>
      </w:r>
      <w:r>
        <w:t xml:space="preserve">The territorial limit and the</w:t>
      </w:r>
      <w:r>
        <w:t xml:space="preserve"> </w:t>
      </w:r>
      <w:r>
        <w:t xml:space="preserve">“</w:t>
      </w:r>
      <w:r>
        <w:t xml:space="preserve">Competing Business</w:t>
      </w:r>
      <w:r>
        <w:t xml:space="preserve">”</w:t>
      </w:r>
      <w:r>
        <w:t xml:space="preserve"> </w:t>
      </w:r>
      <w:r>
        <w:t xml:space="preserve">definition have no bearing on §§ 4.2, 4.3, 5.1, or 5.2. The client non-solicitation covenant is limited to clients with whom Whitaker had Material Contact. Connecticut courts have long upheld customer-based restrictions of this kind as reasonable because they are tailored to the employer’s actual goodwill.</w:t>
      </w:r>
      <w:r>
        <w:t xml:space="preserve"> </w:t>
      </w:r>
      <w:r>
        <w:rPr>
          <w:i/>
          <w:iCs/>
        </w:rPr>
        <w:t xml:space="preserve">See Robert S. Weiss &amp; Assocs., Inc. v. Wiederlight</w:t>
      </w:r>
      <w:r>
        <w:t xml:space="preserve">, 208 Conn. 525, 529–33 (1988). The Complaint alleges that all six solicited clients were Material Contact clients (Compl. ¶¶ 83, 118, 133). It also alleges that Whitaker kept and disclosed confidential files (</w:t>
      </w:r>
      <w:r>
        <w:rPr>
          <w:i/>
          <w:iCs/>
        </w:rPr>
        <w:t xml:space="preserve">id.</w:t>
      </w:r>
      <w:r>
        <w:t xml:space="preserve"> </w:t>
      </w:r>
      <w:r>
        <w:t xml:space="preserve">¶¶ 96–98, 164). Because these breaches are unchallenged, Count I cannot be dismissed</w:t>
      </w:r>
      <w:r>
        <w:t xml:space="preserve"> </w:t>
      </w:r>
      <w:r>
        <w:t xml:space="preserve">“</w:t>
      </w:r>
      <w:r>
        <w:t xml:space="preserve">in its entirety</w:t>
      </w:r>
      <w:r>
        <w:t xml:space="preserve">”</w:t>
      </w:r>
      <w:r>
        <w:t xml:space="preserve"> </w:t>
      </w:r>
      <w:r>
        <w:t xml:space="preserve">whatever the Court concludes about § 4.1. And the RCA’s severability clause preserves each covenant independently. (RCA § 8.5.)</w:t>
      </w:r>
    </w:p>
    <w:bookmarkEnd w:id="32"/>
    <w:bookmarkStart w:id="33" w:name="Xd70f65aa7f99581799b78f3cbe372fadcbcffc8"/>
    <w:p>
      <w:pPr>
        <w:pStyle w:val="Heading3"/>
      </w:pPr>
      <w:r>
        <w:t xml:space="preserve">2. Reasonableness of the Non-Compete Is a Fact-Intensive Inquiry Not Suited to a Motion to Dismiss</w:t>
      </w:r>
    </w:p>
    <w:p>
      <w:pPr>
        <w:pStyle w:val="FirstParagraph"/>
      </w:pPr>
      <w:r>
        <w:t xml:space="preserve">Under Connecticut law, a restrictive covenant is assessed for reasonableness by weighing five factors: (1) the length of the restriction; (2) its geographic area; (3) the fairness of the protection afforded the employer; (4) the extent of the restraint on the employee’s opportunity to pursue her occupation; and (5) the extent of interference with the public’s interests.</w:t>
      </w:r>
      <w:r>
        <w:t xml:space="preserve"> </w:t>
      </w:r>
      <w:r>
        <w:rPr>
          <w:i/>
          <w:iCs/>
        </w:rPr>
        <w:t xml:space="preserve">Scott v. Gen. Iron &amp; Welding Co.</w:t>
      </w:r>
      <w:r>
        <w:t xml:space="preserve">, 171 Conn. 132, 137 (1976). Defendants’ own authorities frame the question as whether the restraint is reasonable</w:t>
      </w:r>
      <w:r>
        <w:t xml:space="preserve"> </w:t>
      </w:r>
      <w:r>
        <w:t xml:space="preserve">“</w:t>
      </w:r>
      <w:r>
        <w:t xml:space="preserve">considering the particular facts and circumstances</w:t>
      </w:r>
      <w:r>
        <w:t xml:space="preserve">”</w:t>
      </w:r>
      <w:r>
        <w:t xml:space="preserve"> </w:t>
      </w:r>
      <w:r>
        <w:t xml:space="preserve">and</w:t>
      </w:r>
      <w:r>
        <w:t xml:space="preserve"> </w:t>
      </w:r>
      <w:r>
        <w:t xml:space="preserve">“</w:t>
      </w:r>
      <w:r>
        <w:t xml:space="preserve">the circumstances of the particular case.</w:t>
      </w:r>
      <w:r>
        <w:t xml:space="preserve">”</w:t>
      </w:r>
      <w:r>
        <w:t xml:space="preserve"> </w:t>
      </w:r>
      <w:r>
        <w:t xml:space="preserve">(Defs.’ Mem. § IV.A (quoting</w:t>
      </w:r>
      <w:r>
        <w:t xml:space="preserve"> </w:t>
      </w:r>
      <w:r>
        <w:rPr>
          <w:i/>
          <w:iCs/>
        </w:rPr>
        <w:t xml:space="preserve">Scott</w:t>
      </w:r>
      <w:r>
        <w:t xml:space="preserve"> </w:t>
      </w:r>
      <w:r>
        <w:t xml:space="preserve">and</w:t>
      </w:r>
      <w:r>
        <w:t xml:space="preserve"> </w:t>
      </w:r>
      <w:r>
        <w:rPr>
          <w:i/>
          <w:iCs/>
        </w:rPr>
        <w:t xml:space="preserve">Weiss</w:t>
      </w:r>
      <w:r>
        <w:t xml:space="preserve">).) A test that turns on particular facts cannot be applied against a plaintiff on the pleadings. Several questions central to it cannot be answered from the face of the Complaint:</w:t>
      </w:r>
    </w:p>
    <w:p>
      <w:pPr>
        <w:pStyle w:val="Compact"/>
        <w:numPr>
          <w:ilvl w:val="0"/>
          <w:numId w:val="1024"/>
        </w:numPr>
      </w:pPr>
      <w:r>
        <w:t xml:space="preserve">the nature of Pinnacle’s</w:t>
      </w:r>
      <w:r>
        <w:t xml:space="preserve"> </w:t>
      </w:r>
      <w:r>
        <w:t xml:space="preserve">“</w:t>
      </w:r>
      <w:r>
        <w:t xml:space="preserve">active business development efforts</w:t>
      </w:r>
      <w:r>
        <w:t xml:space="preserve">”</w:t>
      </w:r>
      <w:r>
        <w:t xml:space="preserve">;</w:t>
      </w:r>
    </w:p>
    <w:p>
      <w:pPr>
        <w:pStyle w:val="Compact"/>
        <w:numPr>
          <w:ilvl w:val="0"/>
          <w:numId w:val="1024"/>
        </w:numPr>
      </w:pPr>
      <w:r>
        <w:t xml:space="preserve">the actual scope of Whitaker’s national responsibilities;</w:t>
      </w:r>
    </w:p>
    <w:p>
      <w:pPr>
        <w:pStyle w:val="Compact"/>
        <w:numPr>
          <w:ilvl w:val="0"/>
          <w:numId w:val="1024"/>
        </w:numPr>
      </w:pPr>
      <w:r>
        <w:t xml:space="preserve">how long Pinnacle’s strategic and bid information remains competitively sensitive; and</w:t>
      </w:r>
    </w:p>
    <w:p>
      <w:pPr>
        <w:pStyle w:val="Compact"/>
        <w:numPr>
          <w:ilvl w:val="0"/>
          <w:numId w:val="1024"/>
        </w:numPr>
      </w:pPr>
      <w:r>
        <w:t xml:space="preserve">what Lodestar’s hospitality vertical actually does.</w:t>
      </w:r>
    </w:p>
    <w:p>
      <w:pPr>
        <w:pStyle w:val="FirstParagraph"/>
      </w:pPr>
      <w:r>
        <w:t xml:space="preserve">Defendants cite no case dismissing a restrictive-covenant claim at the pleading stage on facts like these.</w:t>
      </w:r>
    </w:p>
    <w:bookmarkEnd w:id="33"/>
    <w:bookmarkStart w:id="34" w:name="Xe4b5f674dbbf0ace9e94c3a1aa0263efff7596e"/>
    <w:p>
      <w:pPr>
        <w:pStyle w:val="Heading3"/>
      </w:pPr>
      <w:r>
        <w:t xml:space="preserve">3. As Applied, the Territorial Restriction Is Reasonable</w:t>
      </w:r>
    </w:p>
    <w:p>
      <w:pPr>
        <w:pStyle w:val="FirstParagraph"/>
      </w:pPr>
      <w:r>
        <w:t xml:space="preserve">Defendants argue that the covenant is unreasonable because it reaches thirty-six states where Pinnacle has no hotels. That argument concerns hypothetical applications of the covenant that are not at issue in this case. The territory reasonably tracks Pinnacle’s business and Whitaker’s role for three reasons:</w:t>
      </w:r>
    </w:p>
    <w:p>
      <w:pPr>
        <w:pStyle w:val="Compact"/>
        <w:numPr>
          <w:ilvl w:val="0"/>
          <w:numId w:val="1025"/>
        </w:numPr>
      </w:pPr>
      <w:r>
        <w:rPr>
          <w:b/>
          <w:bCs/>
        </w:rPr>
        <w:t xml:space="preserve">Pinnacle’s footprint is national.</w:t>
      </w:r>
      <w:r>
        <w:t xml:space="preserve"> </w:t>
      </w:r>
      <w:r>
        <w:t xml:space="preserve">It spans fourteen non-contiguous states from the Northeast to the Southeast, Midwest, Southwest, and West Coast. (Compl. ¶ 72.)</w:t>
      </w:r>
    </w:p>
    <w:p>
      <w:pPr>
        <w:pStyle w:val="Compact"/>
        <w:numPr>
          <w:ilvl w:val="0"/>
          <w:numId w:val="1025"/>
        </w:numPr>
      </w:pPr>
      <w:r>
        <w:rPr>
          <w:b/>
          <w:bCs/>
        </w:rPr>
        <w:t xml:space="preserve">Whitaker’s responsibility was national.</w:t>
      </w:r>
      <w:r>
        <w:t xml:space="preserve"> </w:t>
      </w:r>
      <w:r>
        <w:t xml:space="preserve">As CRO, she was responsible for revenue strategy</w:t>
      </w:r>
      <w:r>
        <w:t xml:space="preserve"> </w:t>
      </w:r>
      <w:r>
        <w:t xml:space="preserve">“</w:t>
      </w:r>
      <w:r>
        <w:t xml:space="preserve">across all of Pinnacle’s managed properties throughout the United States.</w:t>
      </w:r>
      <w:r>
        <w:t xml:space="preserve">”</w:t>
      </w:r>
      <w:r>
        <w:t xml:space="preserve"> </w:t>
      </w:r>
      <w:r>
        <w:t xml:space="preserve">(</w:t>
      </w:r>
      <w:r>
        <w:rPr>
          <w:i/>
          <w:iCs/>
        </w:rPr>
        <w:t xml:space="preserve">Id.</w:t>
      </w:r>
      <w:r>
        <w:t xml:space="preserve"> </w:t>
      </w:r>
      <w:r>
        <w:t xml:space="preserve">¶¶ 71, 82.)</w:t>
      </w:r>
    </w:p>
    <w:p>
      <w:pPr>
        <w:pStyle w:val="Compact"/>
        <w:numPr>
          <w:ilvl w:val="0"/>
          <w:numId w:val="1025"/>
        </w:numPr>
      </w:pPr>
      <w:r>
        <w:rPr>
          <w:b/>
          <w:bCs/>
        </w:rPr>
        <w:t xml:space="preserve">Lodestar competes nationally.</w:t>
      </w:r>
      <w:r>
        <w:t xml:space="preserve"> </w:t>
      </w:r>
      <w:r>
        <w:t xml:space="preserve">Its vertical targets hotel assets</w:t>
      </w:r>
      <w:r>
        <w:t xml:space="preserve"> </w:t>
      </w:r>
      <w:r>
        <w:t xml:space="preserve">“</w:t>
      </w:r>
      <w:r>
        <w:t xml:space="preserve">across the United States.</w:t>
      </w:r>
      <w:r>
        <w:t xml:space="preserve">”</w:t>
      </w:r>
      <w:r>
        <w:t xml:space="preserve"> </w:t>
      </w:r>
      <w:r>
        <w:t xml:space="preserve">(Defs.’ Ex. C.)</w:t>
      </w:r>
    </w:p>
    <w:p>
      <w:pPr>
        <w:pStyle w:val="FirstParagraph"/>
      </w:pPr>
      <w:r>
        <w:rPr>
          <w:i/>
          <w:iCs/>
        </w:rPr>
        <w:t xml:space="preserve">New England Overall Co. v. Woltmann</w:t>
      </w:r>
      <w:r>
        <w:t xml:space="preserve">, 166 Conn. 352 (1974), on which Defendants rely, ties territorial reasonableness to the area of the employer’s business and the employee’s activity. Here that area is nationwide.</w:t>
      </w:r>
    </w:p>
    <w:p>
      <w:pPr>
        <w:pStyle w:val="BodyText"/>
      </w:pPr>
      <w:r>
        <w:t xml:space="preserve">In any event, the only application of the covenant before the Court is Whitaker’s employment by a competitor headquartered in New York, one of Pinnacle’s fourteen states. (Compl. ¶¶ 19, 72–73, 161.) She used that position to target Pinnacle clients whose properties are all located in Pinnacle states. (</w:t>
      </w:r>
      <w:r>
        <w:rPr>
          <w:i/>
          <w:iCs/>
        </w:rPr>
        <w:t xml:space="preserve">Id.</w:t>
      </w:r>
      <w:r>
        <w:t xml:space="preserve"> </w:t>
      </w:r>
      <w:r>
        <w:t xml:space="preserve">¶ 116.) Even if the territory were narrowed to the fourteen states where Pinnacle manages hotels, it would still cover every act alleged. (</w:t>
      </w:r>
      <w:r>
        <w:rPr>
          <w:i/>
          <w:iCs/>
        </w:rPr>
        <w:t xml:space="preserve">Id.</w:t>
      </w:r>
      <w:r>
        <w:t xml:space="preserve"> </w:t>
      </w:r>
      <w:r>
        <w:t xml:space="preserve">¶ 73.) Whether a restriction could be unreasonable in Montana does not make it unreasonable as applied to conduct in New York aimed at clients in Colorado, Florida, and Connecticut.</w:t>
      </w:r>
    </w:p>
    <w:bookmarkEnd w:id="34"/>
    <w:bookmarkStart w:id="35" w:name="Xa361d1d0ac89c601f111b9b775cd8f4935820b4"/>
    <w:p>
      <w:pPr>
        <w:pStyle w:val="Heading3"/>
      </w:pPr>
      <w:r>
        <w:t xml:space="preserve">4. The 24-Month Duration Is Reasonable for a C-Suite Executive with Multi-Year Strategic Information</w:t>
      </w:r>
    </w:p>
    <w:p>
      <w:pPr>
        <w:pStyle w:val="FirstParagraph"/>
      </w:pPr>
      <w:r>
        <w:t xml:space="preserve">Defendants assert, without any factual support, that the hospitality industry is</w:t>
      </w:r>
      <w:r>
        <w:t xml:space="preserve"> </w:t>
      </w:r>
      <w:r>
        <w:t xml:space="preserve">“</w:t>
      </w:r>
      <w:r>
        <w:t xml:space="preserve">fast-moving</w:t>
      </w:r>
      <w:r>
        <w:t xml:space="preserve">”</w:t>
      </w:r>
      <w:r>
        <w:t xml:space="preserve"> </w:t>
      </w:r>
      <w:r>
        <w:t xml:space="preserve">and that a CRO’s knowledge</w:t>
      </w:r>
      <w:r>
        <w:t xml:space="preserve"> </w:t>
      </w:r>
      <w:r>
        <w:t xml:space="preserve">“</w:t>
      </w:r>
      <w:r>
        <w:t xml:space="preserve">depreciates rapidly.</w:t>
      </w:r>
      <w:r>
        <w:t xml:space="preserve">”</w:t>
      </w:r>
      <w:r>
        <w:t xml:space="preserve"> </w:t>
      </w:r>
      <w:r>
        <w:t xml:space="preserve">The Complaint alleges otherwise. Pinnacle’s management agreements run five to ten years (Compl. ¶ 34). Its client relationships are built over years (</w:t>
      </w:r>
      <w:r>
        <w:rPr>
          <w:i/>
          <w:iCs/>
        </w:rPr>
        <w:t xml:space="preserve">id.</w:t>
      </w:r>
      <w:r>
        <w:t xml:space="preserve"> </w:t>
      </w:r>
      <w:r>
        <w:t xml:space="preserve">¶¶ 38, 127–128). Whitaker took strategic plans that run through 2026 and bid models for opportunities that are still active (</w:t>
      </w:r>
      <w:r>
        <w:rPr>
          <w:i/>
          <w:iCs/>
        </w:rPr>
        <w:t xml:space="preserve">id.</w:t>
      </w:r>
      <w:r>
        <w:t xml:space="preserve"> </w:t>
      </w:r>
      <w:r>
        <w:t xml:space="preserve">¶¶ 62, 64, 87, 150). The renewal cycles for Northridge (September 2025) and Coastal Haven (November 2025), the very clients Lodestar targeted, fall well inside a 24-month window (</w:t>
      </w:r>
      <w:r>
        <w:rPr>
          <w:i/>
          <w:iCs/>
        </w:rPr>
        <w:t xml:space="preserve">id.</w:t>
      </w:r>
      <w:r>
        <w:t xml:space="preserve"> </w:t>
      </w:r>
      <w:r>
        <w:t xml:space="preserve">¶¶ 127–128). Defendants’ suggestion that Whitaker’s knowledge was already</w:t>
      </w:r>
      <w:r>
        <w:t xml:space="preserve"> </w:t>
      </w:r>
      <w:r>
        <w:t xml:space="preserve">“</w:t>
      </w:r>
      <w:r>
        <w:t xml:space="preserve">aging</w:t>
      </w:r>
      <w:r>
        <w:t xml:space="preserve">”</w:t>
      </w:r>
      <w:r>
        <w:t xml:space="preserve"> </w:t>
      </w:r>
      <w:r>
        <w:t xml:space="preserve">because her last promotion was in 2023 ignores the allegation that she downloaded Pinnacle’s current Q4 2024 client data four days before she resigned. (Meridian Report § IV.B.) Defendants cite no Connecticut authority holding a two-year restriction on a senior executive unreasonable as a matter of law. Their proposed twelve-month</w:t>
      </w:r>
      <w:r>
        <w:t xml:space="preserve"> </w:t>
      </w:r>
      <w:r>
        <w:t xml:space="preserve">“</w:t>
      </w:r>
      <w:r>
        <w:t xml:space="preserve">outer bound</w:t>
      </w:r>
      <w:r>
        <w:t xml:space="preserve">”</w:t>
      </w:r>
      <w:r>
        <w:t xml:space="preserve"> </w:t>
      </w:r>
      <w:r>
        <w:t xml:space="preserve">is an assertion unsupported by any cited holding.</w:t>
      </w:r>
    </w:p>
    <w:bookmarkEnd w:id="35"/>
    <w:bookmarkStart w:id="36" w:name="X912daa9aae278b00c90213d59c5c836cf42d4c6"/>
    <w:p>
      <w:pPr>
        <w:pStyle w:val="Heading3"/>
      </w:pPr>
      <w:r>
        <w:t xml:space="preserve">5. Lodestar Is a</w:t>
      </w:r>
      <w:r>
        <w:t xml:space="preserve"> </w:t>
      </w:r>
      <w:r>
        <w:t xml:space="preserve">“</w:t>
      </w:r>
      <w:r>
        <w:t xml:space="preserve">Competing Business</w:t>
      </w:r>
      <w:r>
        <w:t xml:space="preserve">”</w:t>
      </w:r>
      <w:r>
        <w:t xml:space="preserve"> </w:t>
      </w:r>
      <w:r>
        <w:t xml:space="preserve">on the Face of the Complaint and Defendants’ Own Exhibit</w:t>
      </w:r>
    </w:p>
    <w:p>
      <w:pPr>
        <w:pStyle w:val="FirstParagraph"/>
      </w:pPr>
      <w:r>
        <w:t xml:space="preserve">Defendants’ main argument on the</w:t>
      </w:r>
      <w:r>
        <w:t xml:space="preserve"> </w:t>
      </w:r>
      <w:r>
        <w:t xml:space="preserve">“</w:t>
      </w:r>
      <w:r>
        <w:t xml:space="preserve">Competing Business</w:t>
      </w:r>
      <w:r>
        <w:t xml:space="preserve">”</w:t>
      </w:r>
      <w:r>
        <w:t xml:space="preserve"> </w:t>
      </w:r>
      <w:r>
        <w:t xml:space="preserve">definition is that Lodestar</w:t>
      </w:r>
      <w:r>
        <w:t xml:space="preserve"> </w:t>
      </w:r>
      <w:r>
        <w:t xml:space="preserve">“</w:t>
      </w:r>
      <w:r>
        <w:t xml:space="preserve">does not manage hotels. It invests in them.</w:t>
      </w:r>
      <w:r>
        <w:t xml:space="preserve">”</w:t>
      </w:r>
      <w:r>
        <w:t xml:space="preserve"> </w:t>
      </w:r>
      <w:r>
        <w:t xml:space="preserve">(Defs.’ Mem. § II.B.) That is a factual assertion, and it contradicts the pleadings in three ways:</w:t>
      </w:r>
    </w:p>
    <w:p>
      <w:pPr>
        <w:pStyle w:val="Compact"/>
        <w:numPr>
          <w:ilvl w:val="0"/>
          <w:numId w:val="1026"/>
        </w:numPr>
      </w:pPr>
      <w:r>
        <w:rPr>
          <w:b/>
          <w:bCs/>
        </w:rPr>
        <w:t xml:space="preserve">The Complaint alleges the contrary.</w:t>
      </w:r>
      <w:r>
        <w:t xml:space="preserve"> </w:t>
      </w:r>
      <w:r>
        <w:t xml:space="preserve">It alleges that Lodestar’s vertical</w:t>
      </w:r>
      <w:r>
        <w:t xml:space="preserve"> </w:t>
      </w:r>
      <w:r>
        <w:t xml:space="preserve">“</w:t>
      </w:r>
      <w:r>
        <w:t xml:space="preserve">directly competes with Pinnacle’s hotel management business by acquiring and managing hotel properties and providing hospitality asset management services to hotel ownership groups.</w:t>
      </w:r>
      <w:r>
        <w:t xml:space="preserve">”</w:t>
      </w:r>
      <w:r>
        <w:t xml:space="preserve"> </w:t>
      </w:r>
      <w:r>
        <w:t xml:space="preserve">(Compl. ¶¶ 20, 107.)</w:t>
      </w:r>
    </w:p>
    <w:p>
      <w:pPr>
        <w:pStyle w:val="Compact"/>
        <w:numPr>
          <w:ilvl w:val="0"/>
          <w:numId w:val="1026"/>
        </w:numPr>
      </w:pPr>
      <w:r>
        <w:rPr>
          <w:b/>
          <w:bCs/>
        </w:rPr>
        <w:t xml:space="preserve">Lodestar’s conduct is management competition.</w:t>
      </w:r>
      <w:r>
        <w:t xml:space="preserve"> </w:t>
      </w:r>
      <w:r>
        <w:t xml:space="preserve">It sent</w:t>
      </w:r>
      <w:r>
        <w:t xml:space="preserve"> </w:t>
      </w:r>
      <w:r>
        <w:t xml:space="preserve">“</w:t>
      </w:r>
      <w:r>
        <w:t xml:space="preserve">alternative management structure</w:t>
      </w:r>
      <w:r>
        <w:t xml:space="preserve">”</w:t>
      </w:r>
      <w:r>
        <w:t xml:space="preserve"> </w:t>
      </w:r>
      <w:r>
        <w:t xml:space="preserve">proposals to Pinnacle’s management clients, offering</w:t>
      </w:r>
      <w:r>
        <w:t xml:space="preserve"> </w:t>
      </w:r>
      <w:r>
        <w:t xml:space="preserve">“</w:t>
      </w:r>
      <w:r>
        <w:t xml:space="preserve">more favorable fee structures relative to incumbent management arrangements.</w:t>
      </w:r>
      <w:r>
        <w:t xml:space="preserve">”</w:t>
      </w:r>
      <w:r>
        <w:t xml:space="preserve"> </w:t>
      </w:r>
      <w:r>
        <w:t xml:space="preserve">(</w:t>
      </w:r>
      <w:r>
        <w:rPr>
          <w:i/>
          <w:iCs/>
        </w:rPr>
        <w:t xml:space="preserve">Id.</w:t>
      </w:r>
      <w:r>
        <w:t xml:space="preserve"> </w:t>
      </w:r>
      <w:r>
        <w:t xml:space="preserve">¶¶ 115, 119–121.) That is competition for hotel-management business.</w:t>
      </w:r>
    </w:p>
    <w:p>
      <w:pPr>
        <w:pStyle w:val="Compact"/>
        <w:numPr>
          <w:ilvl w:val="0"/>
          <w:numId w:val="1026"/>
        </w:numPr>
      </w:pPr>
      <w:r>
        <w:rPr>
          <w:b/>
          <w:bCs/>
        </w:rPr>
        <w:t xml:space="preserve">Defendants’ own exhibit confirms it.</w:t>
      </w:r>
      <w:r>
        <w:t xml:space="preserve"> </w:t>
      </w:r>
      <w:r>
        <w:t xml:space="preserve">Their press release announces a vertical devoted to</w:t>
      </w:r>
      <w:r>
        <w:t xml:space="preserve"> </w:t>
      </w:r>
      <w:r>
        <w:t xml:space="preserve">“</w:t>
      </w:r>
      <w:r>
        <w:t xml:space="preserve">actively managing boutique and lifestyle hotel assets</w:t>
      </w:r>
      <w:r>
        <w:t xml:space="preserve">”</w:t>
      </w:r>
      <w:r>
        <w:t xml:space="preserve"> </w:t>
      </w:r>
      <w:r>
        <w:t xml:space="preserve">through</w:t>
      </w:r>
      <w:r>
        <w:t xml:space="preserve"> </w:t>
      </w:r>
      <w:r>
        <w:t xml:space="preserve">“</w:t>
      </w:r>
      <w:r>
        <w:t xml:space="preserve">data-driven revenue management strategies.</w:t>
      </w:r>
      <w:r>
        <w:t xml:space="preserve">”</w:t>
      </w:r>
      <w:r>
        <w:t xml:space="preserve"> </w:t>
      </w:r>
      <w:r>
        <w:t xml:space="preserve">(Defs.’ Ex. C.)</w:t>
      </w:r>
    </w:p>
    <w:p>
      <w:pPr>
        <w:pStyle w:val="FirstParagraph"/>
      </w:pPr>
      <w:r>
        <w:t xml:space="preserve">The definition covers enterprises</w:t>
      </w:r>
      <w:r>
        <w:t xml:space="preserve"> </w:t>
      </w:r>
      <w:r>
        <w:t xml:space="preserve">“</w:t>
      </w:r>
      <w:r>
        <w:t xml:space="preserve">engaged in, or … preparing to engage in</w:t>
      </w:r>
      <w:r>
        <w:t xml:space="preserve">”</w:t>
      </w:r>
      <w:r>
        <w:t xml:space="preserve"> </w:t>
      </w:r>
      <w:r>
        <w:t xml:space="preserve">hotel management, hotel revenue optimization, or hospitality asset management. (RCA § 1.3.) Lodestar’s vertical falls within each of those three categories.</w:t>
      </w:r>
    </w:p>
    <w:p>
      <w:pPr>
        <w:pStyle w:val="BodyText"/>
      </w:pPr>
      <w:r>
        <w:t xml:space="preserve">Defendants’ hypotheticals about bed-and-breakfast consultants, cruise lines, and academic institutions are irrelevant to Whitaker, who took a job leading a direct competitor. Overbreadth in hypothetical applications is, at most, a reason to modify the covenant under Section 8.5. It is not a reason to refuse enforcement against conduct that falls at the heart of any reasonable restriction.</w:t>
      </w:r>
    </w:p>
    <w:bookmarkEnd w:id="36"/>
    <w:bookmarkStart w:id="38" w:name="X42d2368dd2b2f306249c6cf8d551b2f519aa7f1"/>
    <w:p>
      <w:pPr>
        <w:pStyle w:val="Heading3"/>
      </w:pPr>
      <w:r>
        <w:t xml:space="preserve">6. Section 8.5 and Connecticut Law Authorize Modification Rather Than Dismissal</w:t>
      </w:r>
    </w:p>
    <w:p>
      <w:pPr>
        <w:pStyle w:val="FirstParagraph"/>
      </w:pPr>
      <w:r>
        <w:t xml:space="preserve">Defendants misquote Section 8.5. They say it provides only that the court</w:t>
      </w:r>
      <w:r>
        <w:t xml:space="preserve"> </w:t>
      </w:r>
      <w:r>
        <w:t xml:space="preserve">“</w:t>
      </w:r>
      <w:r>
        <w:t xml:space="preserve">may modify</w:t>
      </w:r>
      <w:r>
        <w:t xml:space="preserve">”</w:t>
      </w:r>
      <w:r>
        <w:t xml:space="preserve"> </w:t>
      </w:r>
      <w:r>
        <w:t xml:space="preserve">an invalid provision. (Defs.’ Mem. §§ II.A, IV.A.4.)</w:t>
      </w:r>
      <w:r>
        <w:rPr>
          <w:rStyle w:val="FootnoteReference"/>
        </w:rPr>
        <w:footnoteReference w:id="37"/>
      </w:r>
      <w:r>
        <w:t xml:space="preserve"> </w:t>
      </w:r>
      <w:r>
        <w:t xml:space="preserve">The actual text is broader. The parties</w:t>
      </w:r>
      <w:r>
        <w:t xml:space="preserve"> </w:t>
      </w:r>
      <w:r>
        <w:t xml:space="preserve">“</w:t>
      </w:r>
      <w:r>
        <w:t xml:space="preserve">expressly authorize and request</w:t>
      </w:r>
      <w:r>
        <w:t xml:space="preserve">”</w:t>
      </w:r>
      <w:r>
        <w:t xml:space="preserve"> </w:t>
      </w:r>
      <w:r>
        <w:t xml:space="preserve">that the court</w:t>
      </w:r>
      <w:r>
        <w:t xml:space="preserve"> </w:t>
      </w:r>
      <w:r>
        <w:t xml:space="preserve">“</w:t>
      </w:r>
      <w:r>
        <w:t xml:space="preserve">reform or modify</w:t>
      </w:r>
      <w:r>
        <w:t xml:space="preserve">”</w:t>
      </w:r>
      <w:r>
        <w:t xml:space="preserve"> </w:t>
      </w:r>
      <w:r>
        <w:t xml:space="preserve">any overbroad Article 4 covenant</w:t>
      </w:r>
      <w:r>
        <w:t xml:space="preserve"> </w:t>
      </w:r>
      <w:r>
        <w:t xml:space="preserve">“</w:t>
      </w:r>
      <w:r>
        <w:t xml:space="preserve">to the minimum extent necessary to render it valid and enforceable.</w:t>
      </w:r>
      <w:r>
        <w:t xml:space="preserve">”</w:t>
      </w:r>
      <w:r>
        <w:t xml:space="preserve"> </w:t>
      </w:r>
      <w:r>
        <w:t xml:space="preserve">They agree that the covenant</w:t>
      </w:r>
      <w:r>
        <w:t xml:space="preserve"> </w:t>
      </w:r>
      <w:r>
        <w:t xml:space="preserve">“</w:t>
      </w:r>
      <w:r>
        <w:t xml:space="preserve">as so reformed or modified, shall be binding upon and enforceable against Employee.</w:t>
      </w:r>
      <w:r>
        <w:t xml:space="preserve">”</w:t>
      </w:r>
      <w:r>
        <w:t xml:space="preserve"> </w:t>
      </w:r>
      <w:r>
        <w:t xml:space="preserve">They also acknowledge that reformation is</w:t>
      </w:r>
      <w:r>
        <w:t xml:space="preserve"> </w:t>
      </w:r>
      <w:r>
        <w:t xml:space="preserve">“</w:t>
      </w:r>
      <w:r>
        <w:t xml:space="preserve">an essential term of this Agreement.</w:t>
      </w:r>
      <w:r>
        <w:t xml:space="preserve">”</w:t>
      </w:r>
      <w:r>
        <w:t xml:space="preserve"> </w:t>
      </w:r>
      <w:r>
        <w:t xml:space="preserve">(RCA § 8.5.) The provision reflects the parties’ bargained-for intent, and Connecticut law gives effect to the intent of contracting parties.</w:t>
      </w:r>
    </w:p>
    <w:p>
      <w:pPr>
        <w:pStyle w:val="BodyText"/>
      </w:pPr>
      <w:r>
        <w:t xml:space="preserve">Connecticut law has long allowed courts to enforce the reasonable portion of a divisible restrictive covenant rather than void it in full.</w:t>
      </w:r>
      <w:r>
        <w:t xml:space="preserve"> </w:t>
      </w:r>
      <w:r>
        <w:rPr>
          <w:i/>
          <w:iCs/>
        </w:rPr>
        <w:t xml:space="preserve">See Beit v. Beit</w:t>
      </w:r>
      <w:r>
        <w:t xml:space="preserve">, 135 Conn. 195, 201–05 (1948). Here, no</w:t>
      </w:r>
      <w:r>
        <w:t xml:space="preserve"> </w:t>
      </w:r>
      <w:r>
        <w:t xml:space="preserve">“</w:t>
      </w:r>
      <w:r>
        <w:t xml:space="preserve">wholesale rewriting</w:t>
      </w:r>
      <w:r>
        <w:t xml:space="preserve">”</w:t>
      </w:r>
      <w:r>
        <w:t xml:space="preserve"> </w:t>
      </w:r>
      <w:r>
        <w:t xml:space="preserve">is needed. The Court can grant relief within the fourteen states where Pinnacle operates (or within New York alone), against a direct competitor, for the stated period. That is narrower than the covenant as written and fully covers the alleged breach.</w:t>
      </w:r>
    </w:p>
    <w:p>
      <w:pPr>
        <w:pStyle w:val="BodyText"/>
      </w:pPr>
      <w:r>
        <w:t xml:space="preserve">Defendants also argue that Pinnacle</w:t>
      </w:r>
      <w:r>
        <w:t xml:space="preserve"> </w:t>
      </w:r>
      <w:r>
        <w:t xml:space="preserve">“</w:t>
      </w:r>
      <w:r>
        <w:t xml:space="preserve">deliberately</w:t>
      </w:r>
      <w:r>
        <w:t xml:space="preserve">”</w:t>
      </w:r>
      <w:r>
        <w:t xml:space="preserve"> </w:t>
      </w:r>
      <w:r>
        <w:t xml:space="preserve">overreached and should forfeit reformation. That argument depends on a factual inference drawn against Pinnacle, which is improper at this stage. It also misreads</w:t>
      </w:r>
      <w:r>
        <w:t xml:space="preserve"> </w:t>
      </w:r>
      <w:r>
        <w:rPr>
          <w:i/>
          <w:iCs/>
        </w:rPr>
        <w:t xml:space="preserve">Deming v. Nationwide Mutual Insurance Co.</w:t>
      </w:r>
      <w:r>
        <w:t xml:space="preserve">, 279 Conn. 745 (2006). Defendants cite no language in</w:t>
      </w:r>
      <w:r>
        <w:t xml:space="preserve"> </w:t>
      </w:r>
      <w:r>
        <w:rPr>
          <w:i/>
          <w:iCs/>
        </w:rPr>
        <w:t xml:space="preserve">Deming</w:t>
      </w:r>
      <w:r>
        <w:t xml:space="preserve"> </w:t>
      </w:r>
      <w:r>
        <w:t xml:space="preserve">holding that a contractual reformation clause may be disregarded at the pleading stage, and none of their authorities dismissed a covenant claim on that ground. At most, whether and how to modify the covenant is a remedial question for a developed record. It is not a basis for dismissing the claim now.</w:t>
      </w:r>
    </w:p>
    <w:bookmarkEnd w:id="38"/>
    <w:bookmarkStart w:id="39" w:name="Xd89098b098cd8a4f5bf599ff0b3235801c2544e"/>
    <w:p>
      <w:pPr>
        <w:pStyle w:val="Heading3"/>
      </w:pPr>
      <w:r>
        <w:t xml:space="preserve">7. The RCA Is Supported by Consideration and Was Not Adhesive on This Record</w:t>
      </w:r>
    </w:p>
    <w:p>
      <w:pPr>
        <w:pStyle w:val="FirstParagraph"/>
      </w:pPr>
      <w:r>
        <w:t xml:space="preserve">Defendants describe the RCA as a</w:t>
      </w:r>
      <w:r>
        <w:t xml:space="preserve"> </w:t>
      </w:r>
      <w:r>
        <w:t xml:space="preserve">“</w:t>
      </w:r>
      <w:r>
        <w:t xml:space="preserve">take-it-or-leave-it</w:t>
      </w:r>
      <w:r>
        <w:t xml:space="preserve">”</w:t>
      </w:r>
      <w:r>
        <w:t xml:space="preserve"> </w:t>
      </w:r>
      <w:r>
        <w:t xml:space="preserve">onboarding form. (Defs.’ Mem. §§ II.A, IV.A.4.) The Complaint alleges the opposite: Whitaker received the RCA in advance, had an opportunity to review it, and signed voluntarily. (Compl. ¶ 67.) The RCA confirms that she had the opportunity to consult counsel. (RCA § 3.2.) Initial employment, access to confidential information, and specialized training are recited consideration. (Compl. ¶¶ 68, 158; RCA § 3.1.)</w:t>
      </w:r>
    </w:p>
    <w:p>
      <w:pPr>
        <w:pStyle w:val="BodyText"/>
      </w:pPr>
      <w:r>
        <w:t xml:space="preserve">Pinnacle’s decision not to re-paper the RCA when Whitaker was promoted is legally irrelevant. The RCA contemplates that her</w:t>
      </w:r>
      <w:r>
        <w:t xml:space="preserve"> </w:t>
      </w:r>
      <w:r>
        <w:t xml:space="preserve">“</w:t>
      </w:r>
      <w:r>
        <w:t xml:space="preserve">duties, title, and responsibilities may be modified by the Company from time to time</w:t>
      </w:r>
      <w:r>
        <w:t xml:space="preserve">”</w:t>
      </w:r>
      <w:r>
        <w:t xml:space="preserve"> </w:t>
      </w:r>
      <w:r>
        <w:t xml:space="preserve">(RCA § 2.1). Its obligations survive termination</w:t>
      </w:r>
      <w:r>
        <w:t xml:space="preserve"> </w:t>
      </w:r>
      <w:r>
        <w:t xml:space="preserve">“</w:t>
      </w:r>
      <w:r>
        <w:t xml:space="preserve">regardless of the reason</w:t>
      </w:r>
      <w:r>
        <w:t xml:space="preserve">”</w:t>
      </w:r>
      <w:r>
        <w:t xml:space="preserve"> </w:t>
      </w:r>
      <w:r>
        <w:t xml:space="preserve">(</w:t>
      </w:r>
      <w:r>
        <w:rPr>
          <w:i/>
          <w:iCs/>
        </w:rPr>
        <w:t xml:space="preserve">id.</w:t>
      </w:r>
      <w:r>
        <w:t xml:space="preserve"> </w:t>
      </w:r>
      <w:r>
        <w:t xml:space="preserve">§§ 2.2, 8.9). Whitaker reaffirmed those obligations in writing every year from 2020 through 2024, including after she became CRO. (Compl. ¶ 85.) Her at-will status does not undermine the covenant either. The RCA expressly preserves at-will employment alongside the covenants (RCA § 2.2), and Defendants cite no authority holding that at-will status defeats a restrictive covenant.</w:t>
      </w:r>
    </w:p>
    <w:bookmarkEnd w:id="39"/>
    <w:bookmarkEnd w:id="40"/>
    <w:bookmarkStart w:id="46" w:name="X4266c6a8593666ad9c5faa481831ee97ccf5b33"/>
    <w:p>
      <w:pPr>
        <w:pStyle w:val="Heading2"/>
      </w:pPr>
      <w:r>
        <w:t xml:space="preserve">B. Count II States Claims Under the DTSA and CUTSA</w:t>
      </w:r>
    </w:p>
    <w:bookmarkStart w:id="41" w:name="X70f7ffb6d4281135cb49115cdac50f5e1936326"/>
    <w:p>
      <w:pPr>
        <w:pStyle w:val="Heading3"/>
      </w:pPr>
      <w:r>
        <w:t xml:space="preserve">1. The Trade Secrets Are Identified with Ample Particularity</w:t>
      </w:r>
    </w:p>
    <w:p>
      <w:pPr>
        <w:pStyle w:val="FirstParagraph"/>
      </w:pPr>
      <w:r>
        <w:t xml:space="preserve">At the pleading stage, a plaintiff must identify its trade secrets well enough to give defendants fair notice and distinguish them from general knowledge. It is not required to disclose the secrets themselves in a public filing. The DTSA protects</w:t>
      </w:r>
      <w:r>
        <w:t xml:space="preserve"> </w:t>
      </w:r>
      <w:r>
        <w:t xml:space="preserve">“</w:t>
      </w:r>
      <w:r>
        <w:t xml:space="preserve">all forms and types of financial, business, scientific, technical, economic, or engineering information,</w:t>
      </w:r>
      <w:r>
        <w:t xml:space="preserve">”</w:t>
      </w:r>
      <w:r>
        <w:t xml:space="preserve"> </w:t>
      </w:r>
      <w:r>
        <w:t xml:space="preserve">including</w:t>
      </w:r>
      <w:r>
        <w:t xml:space="preserve"> </w:t>
      </w:r>
      <w:r>
        <w:t xml:space="preserve">“</w:t>
      </w:r>
      <w:r>
        <w:t xml:space="preserve">programs,</w:t>
      </w:r>
      <w:r>
        <w:t xml:space="preserve">”</w:t>
      </w:r>
      <w:r>
        <w:t xml:space="preserve"> </w:t>
      </w:r>
      <w:r>
        <w:t xml:space="preserve">“</w:t>
      </w:r>
      <w:r>
        <w:t xml:space="preserve">methods,</w:t>
      </w:r>
      <w:r>
        <w:t xml:space="preserve">”</w:t>
      </w:r>
      <w:r>
        <w:t xml:space="preserve"> </w:t>
      </w:r>
      <w:r>
        <w:t xml:space="preserve">“</w:t>
      </w:r>
      <w:r>
        <w:t xml:space="preserve">techniques,</w:t>
      </w:r>
      <w:r>
        <w:t xml:space="preserve">”</w:t>
      </w:r>
      <w:r>
        <w:t xml:space="preserve"> </w:t>
      </w:r>
      <w:r>
        <w:t xml:space="preserve">“</w:t>
      </w:r>
      <w:r>
        <w:t xml:space="preserve">processes,</w:t>
      </w:r>
      <w:r>
        <w:t xml:space="preserve">”</w:t>
      </w:r>
      <w:r>
        <w:t xml:space="preserve"> </w:t>
      </w:r>
      <w:r>
        <w:t xml:space="preserve">and</w:t>
      </w:r>
      <w:r>
        <w:t xml:space="preserve"> </w:t>
      </w:r>
      <w:r>
        <w:t xml:space="preserve">“</w:t>
      </w:r>
      <w:r>
        <w:t xml:space="preserve">compilations.</w:t>
      </w:r>
      <w:r>
        <w:t xml:space="preserve">”</w:t>
      </w:r>
      <w:r>
        <w:t xml:space="preserve"> </w:t>
      </w:r>
      <w:r>
        <w:t xml:space="preserve">18 U.S.C. § 1839(3). The Complaint goes well beyond generic categories:</w:t>
      </w:r>
    </w:p>
    <w:p>
      <w:pPr>
        <w:pStyle w:val="Compact"/>
        <w:numPr>
          <w:ilvl w:val="0"/>
          <w:numId w:val="1027"/>
        </w:numPr>
      </w:pPr>
      <w:r>
        <w:rPr>
          <w:b/>
          <w:bCs/>
        </w:rPr>
        <w:t xml:space="preserve">RevMaxPro.</w:t>
      </w:r>
      <w:r>
        <w:t xml:space="preserve"> </w:t>
      </w:r>
      <w:r>
        <w:t xml:space="preserve">The Complaint identifies a named algorithm with a stated development period (2017–2021) and itemized cost ($3.8 million). It describes the algorithm’s inputs (market data, occupancy trends, competitor pricing, booking velocity, event schedules, and client loyalty-tier data) and its</w:t>
      </w:r>
      <w:r>
        <w:t xml:space="preserve"> </w:t>
      </w:r>
      <w:r>
        <w:t xml:space="preserve">“</w:t>
      </w:r>
      <w:r>
        <w:t xml:space="preserve">proprietary weighting methodology.</w:t>
      </w:r>
      <w:r>
        <w:t xml:space="preserve">”</w:t>
      </w:r>
      <w:r>
        <w:t xml:space="preserve"> </w:t>
      </w:r>
      <w:r>
        <w:t xml:space="preserve">It identifies the documents embodying the secret: twelve files totaling 186 pages covering core logic, input parameters, weighting methodologies, calibration standards, and integration protocols. It alleges a measurable 12% RevPAR advantage over industry benchmarks. (Compl. ¶¶ 41–47; Meridian Report § IV.B (architecture specifications, variable weighting schemas, source-code excerpts, and pseudocode).) This is not an</w:t>
      </w:r>
      <w:r>
        <w:t xml:space="preserve"> </w:t>
      </w:r>
      <w:r>
        <w:t xml:space="preserve">“</w:t>
      </w:r>
      <w:r>
        <w:t xml:space="preserve">algorithm</w:t>
      </w:r>
      <w:r>
        <w:t xml:space="preserve">”</w:t>
      </w:r>
      <w:r>
        <w:t xml:space="preserve"> </w:t>
      </w:r>
      <w:r>
        <w:t xml:space="preserve">identified in the abstract. Contrary to Defendants’ argument, the Complaint does distinguish RevMaxPro from commercial tools: it alleges that no competitor has replicated its functionality or results. (Compl. ¶¶ 44, 49.)</w:t>
      </w:r>
    </w:p>
    <w:p>
      <w:pPr>
        <w:pStyle w:val="Compact"/>
        <w:numPr>
          <w:ilvl w:val="0"/>
          <w:numId w:val="1027"/>
        </w:numPr>
      </w:pPr>
      <w:r>
        <w:rPr>
          <w:b/>
          <w:bCs/>
        </w:rPr>
        <w:t xml:space="preserve">The Platinum Client List.</w:t>
      </w:r>
      <w:r>
        <w:t xml:space="preserve"> </w:t>
      </w:r>
      <w:r>
        <w:t xml:space="preserve">The Complaint identifies a specific Salesforce database, the file exported (</w:t>
      </w:r>
      <w:r>
        <w:t xml:space="preserve">“</w:t>
      </w:r>
      <w:r>
        <w:t xml:space="preserve">Platinum_Client_Master_Export_Q4_2024.xlsx,</w:t>
      </w:r>
      <w:r>
        <w:t xml:space="preserve">”</w:t>
      </w:r>
      <w:r>
        <w:t xml:space="preserve"> </w:t>
      </w:r>
      <w:r>
        <w:t xml:space="preserve">47 MB, about 2,200 records), and every category of data field it contains. (Compl. ¶¶ 51–52; Meridian Report § IV.B.) Defendants ask</w:t>
      </w:r>
      <w:r>
        <w:t xml:space="preserve"> </w:t>
      </w:r>
      <w:r>
        <w:t xml:space="preserve">“</w:t>
      </w:r>
      <w:r>
        <w:t xml:space="preserve">Client names? Contact information? Contract terms? Revenue figures?</w:t>
      </w:r>
      <w:r>
        <w:t xml:space="preserve">”</w:t>
      </w:r>
      <w:r>
        <w:t xml:space="preserve"> </w:t>
      </w:r>
      <w:r>
        <w:t xml:space="preserve">The Complaint answers that question. (Compl. ¶¶ 52, 54.)</w:t>
      </w:r>
    </w:p>
    <w:p>
      <w:pPr>
        <w:pStyle w:val="Compact"/>
        <w:numPr>
          <w:ilvl w:val="0"/>
          <w:numId w:val="1027"/>
        </w:numPr>
      </w:pPr>
      <w:r>
        <w:rPr>
          <w:b/>
          <w:bCs/>
        </w:rPr>
        <w:t xml:space="preserve">Strategic plans and bid models.</w:t>
      </w:r>
      <w:r>
        <w:t xml:space="preserve"> </w:t>
      </w:r>
      <w:r>
        <w:t xml:space="preserve">The Complaint identifies eight named-period strategic presentations and nine active-bid financial models, together with their contents: market expansion targets, property-level revenue projections, proposed fee structures, cost assumptions, and competitor analyses. (Compl. ¶¶ 62, 64, 87; Meridian Report § IV.B.)</w:t>
      </w:r>
    </w:p>
    <w:p>
      <w:pPr>
        <w:pStyle w:val="FirstParagraph"/>
      </w:pPr>
      <w:r>
        <w:t xml:space="preserve">Defendants’ authorities do not require more.</w:t>
      </w:r>
      <w:r>
        <w:t xml:space="preserve"> </w:t>
      </w:r>
      <w:r>
        <w:rPr>
          <w:i/>
          <w:iCs/>
        </w:rPr>
        <w:t xml:space="preserve">MacDermid, Inc. v. Deiter</w:t>
      </w:r>
      <w:r>
        <w:t xml:space="preserve">, 702 F.3d 725 (2d Cir. 2012), was an appeal concerning personal jurisdiction under Connecticut’s long-arm statute. Defendants cite no passage in it that establishes a pleading-stage</w:t>
      </w:r>
      <w:r>
        <w:t xml:space="preserve"> </w:t>
      </w:r>
      <w:r>
        <w:t xml:space="preserve">“</w:t>
      </w:r>
      <w:r>
        <w:t xml:space="preserve">reasonable specificity</w:t>
      </w:r>
      <w:r>
        <w:t xml:space="preserve">”</w:t>
      </w:r>
      <w:r>
        <w:t xml:space="preserve"> </w:t>
      </w:r>
      <w:r>
        <w:t xml:space="preserve">requirement for trade secrets. Their out-of-circuit decision involved a complaint that identified secrets</w:t>
      </w:r>
      <w:r>
        <w:t xml:space="preserve"> </w:t>
      </w:r>
      <w:r>
        <w:t xml:space="preserve">“</w:t>
      </w:r>
      <w:r>
        <w:t xml:space="preserve">only in general terms.</w:t>
      </w:r>
      <w:r>
        <w:t xml:space="preserve">”</w:t>
      </w:r>
      <w:r>
        <w:t xml:space="preserve"> </w:t>
      </w:r>
      <w:r>
        <w:t xml:space="preserve">Pinnacle’s Complaint identifies specific documents, file names, page counts, data fields, and development costs. If Defendants want further granularity, the proper vehicle is a trade-secret identification in discovery under an appropriate protective order, not dismissal.</w:t>
      </w:r>
    </w:p>
    <w:bookmarkEnd w:id="41"/>
    <w:bookmarkStart w:id="42" w:name="X2014bbce615c740f478f98cff9c9aeba27a8771"/>
    <w:p>
      <w:pPr>
        <w:pStyle w:val="Heading3"/>
      </w:pPr>
      <w:r>
        <w:t xml:space="preserve">2. The Platinum Client List Is a Protectable Compilation</w:t>
      </w:r>
    </w:p>
    <w:p>
      <w:pPr>
        <w:pStyle w:val="FirstParagraph"/>
      </w:pPr>
      <w:r>
        <w:t xml:space="preserve">Defendants argue that the Platinum Client List is not a trade secret because hotel ownership entities can be identified through property records and industry conferences. That argument fails in three respects.</w:t>
      </w:r>
    </w:p>
    <w:p>
      <w:pPr>
        <w:pStyle w:val="BodyText"/>
      </w:pPr>
      <w:r>
        <w:rPr>
          <w:i/>
          <w:iCs/>
        </w:rPr>
        <w:t xml:space="preserve">First</w:t>
      </w:r>
      <w:r>
        <w:t xml:space="preserve">, it addresses the wrong list. The Platinum Client List is a database of approximately 2,200</w:t>
      </w:r>
      <w:r>
        <w:t xml:space="preserve"> </w:t>
      </w:r>
      <w:r>
        <w:rPr>
          <w:b/>
          <w:bCs/>
        </w:rPr>
        <w:t xml:space="preserve">corporate-travel contacts</w:t>
      </w:r>
      <w:r>
        <w:t xml:space="preserve">, not a roster of hotel owners. (Compl. ¶¶ 51–52.) Property tax records and industry conferences do not reveal those contacts.</w:t>
      </w:r>
    </w:p>
    <w:p>
      <w:pPr>
        <w:pStyle w:val="BodyText"/>
      </w:pPr>
      <w:r>
        <w:rPr>
          <w:i/>
          <w:iCs/>
        </w:rPr>
        <w:t xml:space="preserve">Second</w:t>
      </w:r>
      <w:r>
        <w:t xml:space="preserve">, even as to identities that may be public, the Complaint expressly alleges that the value lies in the non-public data compiled for each contact: spending profiles, negotiated rates, renewal dates, booking patterns, relationship notes, and purchasing authority. (</w:t>
      </w:r>
      <w:r>
        <w:rPr>
          <w:i/>
          <w:iCs/>
        </w:rPr>
        <w:t xml:space="preserve">Id.</w:t>
      </w:r>
      <w:r>
        <w:t xml:space="preserve"> </w:t>
      </w:r>
      <w:r>
        <w:t xml:space="preserve">¶¶ 52–54, 59.) The Second Circuit has recognized that client information of this kind, developed through the employer’s effort and not readily ascertainable, can be a trade secret even where some client identities could be discovered independently.</w:t>
      </w:r>
      <w:r>
        <w:t xml:space="preserve"> </w:t>
      </w:r>
      <w:r>
        <w:rPr>
          <w:i/>
          <w:iCs/>
        </w:rPr>
        <w:t xml:space="preserve">N. Atl. Instruments, Inc. v. Haber</w:t>
      </w:r>
      <w:r>
        <w:t xml:space="preserve">, 188 F.3d 38, 44–46 (2d Cir. 1999). The Connecticut Supreme Court has likewise protected confidential business information entrusted to a person who later used it to compete.</w:t>
      </w:r>
      <w:r>
        <w:t xml:space="preserve"> </w:t>
      </w:r>
      <w:r>
        <w:rPr>
          <w:i/>
          <w:iCs/>
        </w:rPr>
        <w:t xml:space="preserve">See Elm City Cheese Co. v. Federico</w:t>
      </w:r>
      <w:r>
        <w:t xml:space="preserve">, 251 Conn. 59 (1999).</w:t>
      </w:r>
    </w:p>
    <w:p>
      <w:pPr>
        <w:pStyle w:val="BodyText"/>
      </w:pPr>
      <w:r>
        <w:rPr>
          <w:i/>
          <w:iCs/>
        </w:rPr>
        <w:t xml:space="preserve">Third</w:t>
      </w:r>
      <w:r>
        <w:t xml:space="preserve">, whether information is</w:t>
      </w:r>
      <w:r>
        <w:t xml:space="preserve"> </w:t>
      </w:r>
      <w:r>
        <w:t xml:space="preserve">“</w:t>
      </w:r>
      <w:r>
        <w:t xml:space="preserve">readily ascertainable</w:t>
      </w:r>
      <w:r>
        <w:t xml:space="preserve">”</w:t>
      </w:r>
      <w:r>
        <w:t xml:space="preserve"> </w:t>
      </w:r>
      <w:r>
        <w:t xml:space="preserve">is a question of fact. Defendants’ assertions about LinkedIn, trade publications, and REIT filings are outside the pleadings and cannot be credited. The Complaint’s detailed allegations of secrecy measures support a plausible inference of trade-secret status. Those measures include access by eleven of 640 employees, export rights for only four, MFA, IP restrictions, audit logging, watermarking, a no-personal-device policy, and annual acknowledgments. (</w:t>
      </w:r>
      <w:r>
        <w:rPr>
          <w:i/>
          <w:iCs/>
        </w:rPr>
        <w:t xml:space="preserve">Id.</w:t>
      </w:r>
      <w:r>
        <w:t xml:space="preserve"> </w:t>
      </w:r>
      <w:r>
        <w:t xml:space="preserve">¶¶ 55–57, 60, 169.) Indeed, a document that only four people in the company could export, and that Whitaker chose to export to a personal drive four days before joining a competitor, is one whose value lies in its secrecy.</w:t>
      </w:r>
    </w:p>
    <w:bookmarkEnd w:id="42"/>
    <w:bookmarkStart w:id="43" w:name="X952f39232c32a4544ea5bd54b79c3fe8469d3ed"/>
    <w:p>
      <w:pPr>
        <w:pStyle w:val="Heading3"/>
      </w:pPr>
      <w:r>
        <w:t xml:space="preserve">3. Misappropriation Is Plausibly Alleged by Acquisition, Use, and Disclosure</w:t>
      </w:r>
    </w:p>
    <w:p>
      <w:pPr>
        <w:pStyle w:val="FirstParagraph"/>
      </w:pPr>
      <w:r>
        <w:t xml:space="preserve">The DTSA defines misappropriation to include both (a)</w:t>
      </w:r>
      <w:r>
        <w:t xml:space="preserve"> </w:t>
      </w:r>
      <w:r>
        <w:t xml:space="preserve">“</w:t>
      </w:r>
      <w:r>
        <w:t xml:space="preserve">acquisition of a trade secret … by a person who knows or has reason to know that the trade secret was acquired by improper means,</w:t>
      </w:r>
      <w:r>
        <w:t xml:space="preserve">”</w:t>
      </w:r>
      <w:r>
        <w:t xml:space="preserve"> </w:t>
      </w:r>
      <w:r>
        <w:t xml:space="preserve">and (b)</w:t>
      </w:r>
      <w:r>
        <w:t xml:space="preserve"> </w:t>
      </w:r>
      <w:r>
        <w:t xml:space="preserve">“</w:t>
      </w:r>
      <w:r>
        <w:t xml:space="preserve">disclosure or use</w:t>
      </w:r>
      <w:r>
        <w:t xml:space="preserve">”</w:t>
      </w:r>
      <w:r>
        <w:t xml:space="preserve"> </w:t>
      </w:r>
      <w:r>
        <w:t xml:space="preserve">of a trade secret without consent by a person who acquired it by improper means or</w:t>
      </w:r>
      <w:r>
        <w:t xml:space="preserve"> </w:t>
      </w:r>
      <w:r>
        <w:t xml:space="preserve">“</w:t>
      </w:r>
      <w:r>
        <w:t xml:space="preserve">under circumstances giving rise to a duty to maintain the secrecy of the trade secret or limit the use of the trade secret.</w:t>
      </w:r>
      <w:r>
        <w:t xml:space="preserve">”</w:t>
      </w:r>
      <w:r>
        <w:t xml:space="preserve"> </w:t>
      </w:r>
      <w:r>
        <w:t xml:space="preserve">18 U.S.C. § 1839(5).</w:t>
      </w:r>
      <w:r>
        <w:t xml:space="preserve"> </w:t>
      </w:r>
      <w:r>
        <w:t xml:space="preserve">“</w:t>
      </w:r>
      <w:r>
        <w:t xml:space="preserve">Improper means</w:t>
      </w:r>
      <w:r>
        <w:t xml:space="preserve">”</w:t>
      </w:r>
      <w:r>
        <w:t xml:space="preserve"> </w:t>
      </w:r>
      <w:r>
        <w:t xml:space="preserve">expressly includes</w:t>
      </w:r>
      <w:r>
        <w:t xml:space="preserve"> </w:t>
      </w:r>
      <w:r>
        <w:t xml:space="preserve">“</w:t>
      </w:r>
      <w:r>
        <w:t xml:space="preserve">breach or inducement of a breach of a duty to maintain secrecy.</w:t>
      </w:r>
      <w:r>
        <w:t xml:space="preserve">”</w:t>
      </w:r>
      <w:r>
        <w:t xml:space="preserve"> </w:t>
      </w:r>
      <w:r>
        <w:rPr>
          <w:i/>
          <w:iCs/>
        </w:rPr>
        <w:t xml:space="preserve">Id.</w:t>
      </w:r>
      <w:r>
        <w:t xml:space="preserve"> </w:t>
      </w:r>
      <w:r>
        <w:t xml:space="preserve">§ 1839(6)(A). The Complaint pleads every one of these theories.</w:t>
      </w:r>
    </w:p>
    <w:p>
      <w:pPr>
        <w:pStyle w:val="BodyText"/>
      </w:pPr>
      <w:r>
        <w:rPr>
          <w:b/>
          <w:bCs/>
        </w:rPr>
        <w:t xml:space="preserve">Acquisition by improper means.</w:t>
      </w:r>
      <w:r>
        <w:t xml:space="preserve"> </w:t>
      </w:r>
      <w:r>
        <w:t xml:space="preserve">Defendants rely on Whitaker’s authorized access, but that access was limited to</w:t>
      </w:r>
      <w:r>
        <w:t xml:space="preserve"> </w:t>
      </w:r>
      <w:r>
        <w:t xml:space="preserve">“</w:t>
      </w:r>
      <w:r>
        <w:t xml:space="preserve">legitimate business purposes.</w:t>
      </w:r>
      <w:r>
        <w:t xml:space="preserve">”</w:t>
      </w:r>
      <w:r>
        <w:t xml:space="preserve"> </w:t>
      </w:r>
      <w:r>
        <w:t xml:space="preserve">It was expressly conditioned on the AUP’s prohibition on transfers to personal devices without written authorization. It was also subject to her contractual duty not to use Confidential Information except</w:t>
      </w:r>
      <w:r>
        <w:t xml:space="preserve"> </w:t>
      </w:r>
      <w:r>
        <w:t xml:space="preserve">“</w:t>
      </w:r>
      <w:r>
        <w:t xml:space="preserve">in the faithful performance of [her] duties.</w:t>
      </w:r>
      <w:r>
        <w:t xml:space="preserve">”</w:t>
      </w:r>
      <w:r>
        <w:t xml:space="preserve"> </w:t>
      </w:r>
      <w:r>
        <w:t xml:space="preserve">(Compl. ¶ 94; RCA § 5.1; Meridian Report § IV.D.) Permission to view files on a corporate laptop for Pinnacle’s business is not permission to copy 14,200 of them to a personal flash drive for a competitor’s business. Whitaker had no authorization for the transfer, and none existed for anyone. (Meridian Report § IV.D.) Taking the files in violation of the RCA, the AUP, and five years of signed acknowledgments is acquisition through</w:t>
      </w:r>
      <w:r>
        <w:t xml:space="preserve"> </w:t>
      </w:r>
      <w:r>
        <w:t xml:space="preserve">“</w:t>
      </w:r>
      <w:r>
        <w:t xml:space="preserve">breach … of a duty to maintain secrecy.</w:t>
      </w:r>
      <w:r>
        <w:t xml:space="preserve">”</w:t>
      </w:r>
      <w:r>
        <w:t xml:space="preserve"> </w:t>
      </w:r>
      <w:r>
        <w:t xml:space="preserve">§ 1839(6)(A); Compl. ¶¶ 95, 171(a). Defendants suggest Whitaker may have taken the files</w:t>
      </w:r>
      <w:r>
        <w:t xml:space="preserve"> </w:t>
      </w:r>
      <w:r>
        <w:t xml:space="preserve">“</w:t>
      </w:r>
      <w:r>
        <w:t xml:space="preserve">out of habit</w:t>
      </w:r>
      <w:r>
        <w:t xml:space="preserve">”</w:t>
      </w:r>
      <w:r>
        <w:t xml:space="preserve"> </w:t>
      </w:r>
      <w:r>
        <w:t xml:space="preserve">or</w:t>
      </w:r>
      <w:r>
        <w:t xml:space="preserve"> </w:t>
      </w:r>
      <w:r>
        <w:t xml:space="preserve">“</w:t>
      </w:r>
      <w:r>
        <w:t xml:space="preserve">to maintain personal records.</w:t>
      </w:r>
      <w:r>
        <w:t xml:space="preserve">”</w:t>
      </w:r>
      <w:r>
        <w:t xml:space="preserve"> </w:t>
      </w:r>
      <w:r>
        <w:t xml:space="preserve">That is an innocent explanation the Court cannot adopt on a motion to dismiss.</w:t>
      </w:r>
      <w:r>
        <w:t xml:space="preserve"> </w:t>
      </w:r>
      <w:r>
        <w:rPr>
          <w:i/>
          <w:iCs/>
        </w:rPr>
        <w:t xml:space="preserve">Anderson News</w:t>
      </w:r>
      <w:r>
        <w:t xml:space="preserve">, 680 F.3d at 185. It is also implausible given that she had never before used a USB device on that laptop. (Meridian Report § IV.A.)</w:t>
      </w:r>
    </w:p>
    <w:p>
      <w:pPr>
        <w:pStyle w:val="BodyText"/>
      </w:pPr>
      <w:r>
        <w:rPr>
          <w:b/>
          <w:bCs/>
        </w:rPr>
        <w:t xml:space="preserve">Use and disclosure.</w:t>
      </w:r>
      <w:r>
        <w:t xml:space="preserve"> </w:t>
      </w:r>
      <w:r>
        <w:t xml:space="preserve">Defendants say</w:t>
      </w:r>
      <w:r>
        <w:t xml:space="preserve"> </w:t>
      </w:r>
      <w:r>
        <w:t xml:space="preserve">“</w:t>
      </w:r>
      <w:r>
        <w:t xml:space="preserve">the Complaint is conspicuously silent</w:t>
      </w:r>
      <w:r>
        <w:t xml:space="preserve">”</w:t>
      </w:r>
      <w:r>
        <w:t xml:space="preserve"> </w:t>
      </w:r>
      <w:r>
        <w:t xml:space="preserve">on use or disclosure. It is not. The Complaint alleges on information and belief that Whitaker</w:t>
      </w:r>
      <w:r>
        <w:t xml:space="preserve"> </w:t>
      </w:r>
      <w:r>
        <w:t xml:space="preserve">“</w:t>
      </w:r>
      <w:r>
        <w:t xml:space="preserve">has shared, disclosed, or made available some or all of the downloaded files to Lodestar.</w:t>
      </w:r>
      <w:r>
        <w:t xml:space="preserve">”</w:t>
      </w:r>
      <w:r>
        <w:t xml:space="preserve"> </w:t>
      </w:r>
      <w:r>
        <w:t xml:space="preserve">(Compl. ¶ 97.) It also pleads the facts that make that inference plausible:</w:t>
      </w:r>
    </w:p>
    <w:p>
      <w:pPr>
        <w:pStyle w:val="Compact"/>
        <w:numPr>
          <w:ilvl w:val="0"/>
          <w:numId w:val="1028"/>
        </w:numPr>
      </w:pPr>
      <w:r>
        <w:t xml:space="preserve">Lodestar’s proposals targeted the six clients whose data was in the downloaded files. (</w:t>
      </w:r>
      <w:r>
        <w:rPr>
          <w:i/>
          <w:iCs/>
        </w:rPr>
        <w:t xml:space="preserve">Id.</w:t>
      </w:r>
      <w:r>
        <w:t xml:space="preserve"> </w:t>
      </w:r>
      <w:r>
        <w:t xml:space="preserve">¶¶ 98, 115, 118.)</w:t>
      </w:r>
    </w:p>
    <w:p>
      <w:pPr>
        <w:pStyle w:val="Compact"/>
        <w:numPr>
          <w:ilvl w:val="0"/>
          <w:numId w:val="1028"/>
        </w:numPr>
      </w:pPr>
      <w:r>
        <w:t xml:space="preserve">Three of those clients (Northridge, Coastal Haven, and Belmont) were the subject of bid models Whitaker downloaded. (Meridian Report § IV.B.)</w:t>
      </w:r>
    </w:p>
    <w:p>
      <w:pPr>
        <w:pStyle w:val="Compact"/>
        <w:numPr>
          <w:ilvl w:val="0"/>
          <w:numId w:val="1028"/>
        </w:numPr>
      </w:pPr>
      <w:r>
        <w:t xml:space="preserve">The proposals reflected non-public</w:t>
      </w:r>
      <w:r>
        <w:t xml:space="preserve"> </w:t>
      </w:r>
      <w:r>
        <w:t xml:space="preserve">“</w:t>
      </w:r>
      <w:r>
        <w:t xml:space="preserve">contract terms, fee structures, and portfolio performance metrics.</w:t>
      </w:r>
      <w:r>
        <w:t xml:space="preserve">”</w:t>
      </w:r>
      <w:r>
        <w:t xml:space="preserve"> </w:t>
      </w:r>
      <w:r>
        <w:t xml:space="preserve">(Compl. ¶¶ 98, 119, 121.)</w:t>
      </w:r>
    </w:p>
    <w:p>
      <w:pPr>
        <w:pStyle w:val="Compact"/>
        <w:numPr>
          <w:ilvl w:val="0"/>
          <w:numId w:val="1028"/>
        </w:numPr>
      </w:pPr>
      <w:r>
        <w:t xml:space="preserve">Coastal Haven reported that the proposal</w:t>
      </w:r>
      <w:r>
        <w:t xml:space="preserve"> </w:t>
      </w:r>
      <w:r>
        <w:t xml:space="preserve">“</w:t>
      </w:r>
      <w:r>
        <w:t xml:space="preserve">referenced performance benchmarks and rate structures that closely tracked Coastal Haven’s actual experience with Pinnacle.</w:t>
      </w:r>
      <w:r>
        <w:t xml:space="preserve">”</w:t>
      </w:r>
      <w:r>
        <w:t xml:space="preserve"> </w:t>
      </w:r>
      <w:r>
        <w:t xml:space="preserve">(</w:t>
      </w:r>
      <w:r>
        <w:rPr>
          <w:i/>
          <w:iCs/>
        </w:rPr>
        <w:t xml:space="preserve">Id.</w:t>
      </w:r>
      <w:r>
        <w:t xml:space="preserve"> </w:t>
      </w:r>
      <w:r>
        <w:t xml:space="preserve">¶ 123.)</w:t>
      </w:r>
    </w:p>
    <w:p>
      <w:pPr>
        <w:pStyle w:val="Compact"/>
        <w:numPr>
          <w:ilvl w:val="0"/>
          <w:numId w:val="1028"/>
        </w:numPr>
      </w:pPr>
      <w:r>
        <w:t xml:space="preserve">Northridge’s proposal arrived shortly before a scheduled contract review, months ahead of a renewal date that appears in the downloaded data. (</w:t>
      </w:r>
      <w:r>
        <w:rPr>
          <w:i/>
          <w:iCs/>
        </w:rPr>
        <w:t xml:space="preserve">Id.</w:t>
      </w:r>
      <w:r>
        <w:t xml:space="preserve"> </w:t>
      </w:r>
      <w:r>
        <w:t xml:space="preserve">¶¶ 122, 127.)</w:t>
      </w:r>
    </w:p>
    <w:p>
      <w:pPr>
        <w:pStyle w:val="Compact"/>
        <w:numPr>
          <w:ilvl w:val="0"/>
          <w:numId w:val="1028"/>
        </w:numPr>
      </w:pPr>
      <w:r>
        <w:t xml:space="preserve">The proposals promised solutions</w:t>
      </w:r>
      <w:r>
        <w:t xml:space="preserve"> </w:t>
      </w:r>
      <w:r>
        <w:t xml:space="preserve">“</w:t>
      </w:r>
      <w:r>
        <w:t xml:space="preserve">based on deep understanding of your portfolio,</w:t>
      </w:r>
      <w:r>
        <w:t xml:space="preserve">”</w:t>
      </w:r>
      <w:r>
        <w:t xml:space="preserve"> </w:t>
      </w:r>
      <w:r>
        <w:t xml:space="preserve">although Lodestar’s vertical had no track record. (</w:t>
      </w:r>
      <w:r>
        <w:rPr>
          <w:i/>
          <w:iCs/>
        </w:rPr>
        <w:t xml:space="preserve">Id.</w:t>
      </w:r>
      <w:r>
        <w:t xml:space="preserve"> </w:t>
      </w:r>
      <w:r>
        <w:t xml:space="preserve">¶¶ 125–126.)</w:t>
      </w:r>
    </w:p>
    <w:p>
      <w:pPr>
        <w:pStyle w:val="Compact"/>
        <w:numPr>
          <w:ilvl w:val="0"/>
          <w:numId w:val="1028"/>
        </w:numPr>
      </w:pPr>
      <w:r>
        <w:t xml:space="preserve">Lodestar publicly touted Whitaker’s</w:t>
      </w:r>
      <w:r>
        <w:t xml:space="preserve"> </w:t>
      </w:r>
      <w:r>
        <w:t xml:space="preserve">“</w:t>
      </w:r>
      <w:r>
        <w:t xml:space="preserve">proprietary insights.</w:t>
      </w:r>
      <w:r>
        <w:t xml:space="preserve">”</w:t>
      </w:r>
      <w:r>
        <w:t xml:space="preserve"> </w:t>
      </w:r>
      <w:r>
        <w:t xml:space="preserve">(</w:t>
      </w:r>
      <w:r>
        <w:rPr>
          <w:i/>
          <w:iCs/>
        </w:rPr>
        <w:t xml:space="preserve">Id.</w:t>
      </w:r>
      <w:r>
        <w:t xml:space="preserve"> </w:t>
      </w:r>
      <w:r>
        <w:t xml:space="preserve">¶¶ 105–106.)</w:t>
      </w:r>
    </w:p>
    <w:p>
      <w:pPr>
        <w:pStyle w:val="FirstParagraph"/>
      </w:pPr>
      <w:r>
        <w:t xml:space="preserve">This is not</w:t>
      </w:r>
      <w:r>
        <w:t xml:space="preserve"> </w:t>
      </w:r>
      <w:r>
        <w:t xml:space="preserve">“</w:t>
      </w:r>
      <w:r>
        <w:t xml:space="preserve">temporal proximity standing alone.</w:t>
      </w:r>
      <w:r>
        <w:t xml:space="preserve">”</w:t>
      </w:r>
      <w:r>
        <w:t xml:space="preserve"> </w:t>
      </w:r>
      <w:r>
        <w:t xml:space="preserve">It is a detailed set of circumstantial facts connecting specific stolen documents to specific solicitations with specific non-public content. Direct evidence of use is rarely available before discovery. Here, it sits on a flash drive that only Defendants possess. (Meridian Report § VII.)</w:t>
      </w:r>
      <w:r>
        <w:t xml:space="preserve"> </w:t>
      </w:r>
      <w:r>
        <w:rPr>
          <w:i/>
          <w:iCs/>
        </w:rPr>
        <w:t xml:space="preserve">Twombly</w:t>
      </w:r>
      <w:r>
        <w:t xml:space="preserve"> </w:t>
      </w:r>
      <w:r>
        <w:t xml:space="preserve">does not require a plaintiff to plead what only the defendant knows.</w:t>
      </w:r>
      <w:r>
        <w:t xml:space="preserve"> </w:t>
      </w:r>
      <w:r>
        <w:rPr>
          <w:i/>
          <w:iCs/>
        </w:rPr>
        <w:t xml:space="preserve">Arista Records</w:t>
      </w:r>
      <w:r>
        <w:t xml:space="preserve">, 604 F.3d at 120.</w:t>
      </w:r>
    </w:p>
    <w:p>
      <w:pPr>
        <w:pStyle w:val="BodyText"/>
      </w:pPr>
      <w:r>
        <w:rPr>
          <w:b/>
          <w:bCs/>
        </w:rPr>
        <w:t xml:space="preserve">Lodestar’s liability.</w:t>
      </w:r>
      <w:r>
        <w:t xml:space="preserve"> </w:t>
      </w:r>
      <w:r>
        <w:t xml:space="preserve">Lodestar is liable for using trade secrets that it knew or had reason to know were derived through a person who owed Pinnacle a duty of secrecy. § 1839(5)(B)(ii). The Complaint alleges that Lodestar received and used the information (Compl. ¶¶ 97, 119–121, 172) and that Lodestar had knowledge, supported by its own</w:t>
      </w:r>
      <w:r>
        <w:t xml:space="preserve"> </w:t>
      </w:r>
      <w:r>
        <w:t xml:space="preserve">“</w:t>
      </w:r>
      <w:r>
        <w:t xml:space="preserve">proprietary insights</w:t>
      </w:r>
      <w:r>
        <w:t xml:space="preserve">”</w:t>
      </w:r>
      <w:r>
        <w:t xml:space="preserve"> </w:t>
      </w:r>
      <w:r>
        <w:t xml:space="preserve">statement and its awareness that it was hiring a competitor’s sitting CRO (</w:t>
      </w:r>
      <w:r>
        <w:rPr>
          <w:i/>
          <w:iCs/>
        </w:rPr>
        <w:t xml:space="preserve">id.</w:t>
      </w:r>
      <w:r>
        <w:t xml:space="preserve"> </w:t>
      </w:r>
      <w:r>
        <w:t xml:space="preserve">¶¶ 108–113, 173).</w:t>
      </w:r>
    </w:p>
    <w:p>
      <w:pPr>
        <w:pStyle w:val="BodyText"/>
      </w:pPr>
      <w:r>
        <w:rPr>
          <w:b/>
          <w:bCs/>
        </w:rPr>
        <w:t xml:space="preserve">Threatened misappropriation.</w:t>
      </w:r>
      <w:r>
        <w:t xml:space="preserve"> </w:t>
      </w:r>
      <w:r>
        <w:t xml:space="preserve">The DTSA and CUTSA authorize injunctions against</w:t>
      </w:r>
      <w:r>
        <w:t xml:space="preserve"> </w:t>
      </w:r>
      <w:r>
        <w:t xml:space="preserve">“</w:t>
      </w:r>
      <w:r>
        <w:t xml:space="preserve">actual or threatened misappropriation.</w:t>
      </w:r>
      <w:r>
        <w:t xml:space="preserve">”</w:t>
      </w:r>
      <w:r>
        <w:t xml:space="preserve"> </w:t>
      </w:r>
      <w:r>
        <w:t xml:space="preserve">18 U.S.C. § 1836(b)(3)(A); Conn. Gen. Stat. § 35-52(a). A departing executive holding a drive full of a competitor’s secrets while leading a rival vertical presents, at a minimum, a plausible threat of misappropriation. The Second Circuit has recognized that the risk of further dissemination is a core harm in trade-secret cases.</w:t>
      </w:r>
      <w:r>
        <w:t xml:space="preserve"> </w:t>
      </w:r>
      <w:r>
        <w:rPr>
          <w:i/>
          <w:iCs/>
        </w:rPr>
        <w:t xml:space="preserve">See Faiveley Transp. Malmo AB v. Wabtec Corp.</w:t>
      </w:r>
      <w:r>
        <w:t xml:space="preserve">, 559 F.3d 110, 118–19 (2d Cir. 2009).</w:t>
      </w:r>
    </w:p>
    <w:bookmarkEnd w:id="43"/>
    <w:bookmarkStart w:id="44" w:name="the-interstate-commerce-nexus-is-pleaded"/>
    <w:p>
      <w:pPr>
        <w:pStyle w:val="Heading3"/>
      </w:pPr>
      <w:r>
        <w:t xml:space="preserve">4. The Interstate-Commerce Nexus Is Pleaded</w:t>
      </w:r>
    </w:p>
    <w:p>
      <w:pPr>
        <w:pStyle w:val="FirstParagraph"/>
      </w:pPr>
      <w:r>
        <w:t xml:space="preserve">The DTSA requires only that the trade secret be</w:t>
      </w:r>
      <w:r>
        <w:t xml:space="preserve"> </w:t>
      </w:r>
      <w:r>
        <w:t xml:space="preserve">“</w:t>
      </w:r>
      <w:r>
        <w:t xml:space="preserve">related to a product or service used in, or intended for use in, interstate or foreign commerce.</w:t>
      </w:r>
      <w:r>
        <w:t xml:space="preserve">”</w:t>
      </w:r>
      <w:r>
        <w:t xml:space="preserve"> </w:t>
      </w:r>
      <w:r>
        <w:t xml:space="preserve">18 U.S.C. § 1836(b)(1). Defendants concede that</w:t>
      </w:r>
      <w:r>
        <w:t xml:space="preserve"> </w:t>
      </w:r>
      <w:r>
        <w:t xml:space="preserve">“</w:t>
      </w:r>
      <w:r>
        <w:t xml:space="preserve">Pinnacle’s hotel management services may themselves be offered in interstate commerce.</w:t>
      </w:r>
      <w:r>
        <w:t xml:space="preserve">”</w:t>
      </w:r>
      <w:r>
        <w:t xml:space="preserve"> </w:t>
      </w:r>
      <w:r>
        <w:t xml:space="preserve">(Defs.’ Mem. § IV.B.4.) That concession resolves the issue, because the statute requires only that the secret be</w:t>
      </w:r>
      <w:r>
        <w:t xml:space="preserve"> </w:t>
      </w:r>
      <w:r>
        <w:t xml:space="preserve">“</w:t>
      </w:r>
      <w:r>
        <w:t xml:space="preserve">related to</w:t>
      </w:r>
      <w:r>
        <w:t xml:space="preserve">”</w:t>
      </w:r>
      <w:r>
        <w:t xml:space="preserve"> </w:t>
      </w:r>
      <w:r>
        <w:t xml:space="preserve">such a service, and RevMaxPro, the client data, and the bid models all relate directly to Pinnacle’s interstate hotel-management services. The Complaint alleges:</w:t>
      </w:r>
    </w:p>
    <w:p>
      <w:pPr>
        <w:pStyle w:val="Compact"/>
        <w:numPr>
          <w:ilvl w:val="0"/>
          <w:numId w:val="1029"/>
        </w:numPr>
      </w:pPr>
      <w:r>
        <w:t xml:space="preserve">Pinnacle provides management services from Connecticut to properties in fourteen states;</w:t>
      </w:r>
    </w:p>
    <w:p>
      <w:pPr>
        <w:pStyle w:val="Compact"/>
        <w:numPr>
          <w:ilvl w:val="0"/>
          <w:numId w:val="1029"/>
        </w:numPr>
      </w:pPr>
      <w:r>
        <w:t xml:space="preserve">RevMaxPro is deployed across multiple states and processes data from interstate sources;</w:t>
      </w:r>
    </w:p>
    <w:p>
      <w:pPr>
        <w:pStyle w:val="Compact"/>
        <w:numPr>
          <w:ilvl w:val="0"/>
          <w:numId w:val="1029"/>
        </w:numPr>
      </w:pPr>
      <w:r>
        <w:t xml:space="preserve">the Platinum Client List reflects multi-state corporate-travel relationships; and</w:t>
      </w:r>
    </w:p>
    <w:p>
      <w:pPr>
        <w:pStyle w:val="Compact"/>
        <w:numPr>
          <w:ilvl w:val="0"/>
          <w:numId w:val="1029"/>
        </w:numPr>
      </w:pPr>
      <w:r>
        <w:t xml:space="preserve">the secrets were carried from a Connecticut employer to a New York competitor.</w:t>
      </w:r>
    </w:p>
    <w:p>
      <w:pPr>
        <w:pStyle w:val="FirstParagraph"/>
      </w:pPr>
      <w:r>
        <w:t xml:space="preserve">(Compl. ¶ 170.) Nothing in the statute excludes</w:t>
      </w:r>
      <w:r>
        <w:t xml:space="preserve"> </w:t>
      </w:r>
      <w:r>
        <w:t xml:space="preserve">“</w:t>
      </w:r>
      <w:r>
        <w:t xml:space="preserve">internal tools</w:t>
      </w:r>
      <w:r>
        <w:t xml:space="preserve">”</w:t>
      </w:r>
      <w:r>
        <w:t xml:space="preserve"> </w:t>
      </w:r>
      <w:r>
        <w:t xml:space="preserve">used to deliver an interstate service. Defendants’ only authority is an unpublished out-of-circuit decision that they describe merely as</w:t>
      </w:r>
      <w:r>
        <w:t xml:space="preserve"> </w:t>
      </w:r>
      <w:r>
        <w:t xml:space="preserve">“</w:t>
      </w:r>
      <w:r>
        <w:t xml:space="preserve">analyzing</w:t>
      </w:r>
      <w:r>
        <w:t xml:space="preserve">”</w:t>
      </w:r>
      <w:r>
        <w:t xml:space="preserve"> </w:t>
      </w:r>
      <w:r>
        <w:t xml:space="preserve">the requirement.</w:t>
      </w:r>
    </w:p>
    <w:bookmarkEnd w:id="44"/>
    <w:bookmarkStart w:id="45" w:name="X41c6b4e88e405881dd6a1e32a3f48e3b173c947"/>
    <w:p>
      <w:pPr>
        <w:pStyle w:val="Heading3"/>
      </w:pPr>
      <w:r>
        <w:t xml:space="preserve">5. The DTSA Expressly Does Not Preempt CUTSA</w:t>
      </w:r>
    </w:p>
    <w:p>
      <w:pPr>
        <w:pStyle w:val="FirstParagraph"/>
      </w:pPr>
      <w:r>
        <w:t xml:space="preserve">Defendants ask the Court to dismiss the CUTSA claim as</w:t>
      </w:r>
      <w:r>
        <w:t xml:space="preserve"> </w:t>
      </w:r>
      <w:r>
        <w:t xml:space="preserve">“</w:t>
      </w:r>
      <w:r>
        <w:t xml:space="preserve">preempted</w:t>
      </w:r>
      <w:r>
        <w:t xml:space="preserve">”</w:t>
      </w:r>
      <w:r>
        <w:t xml:space="preserve"> </w:t>
      </w:r>
      <w:r>
        <w:t xml:space="preserve">because</w:t>
      </w:r>
      <w:r>
        <w:t xml:space="preserve"> </w:t>
      </w:r>
      <w:r>
        <w:t xml:space="preserve">“</w:t>
      </w:r>
      <w:r>
        <w:t xml:space="preserve">the federal statute occupies the field.</w:t>
      </w:r>
      <w:r>
        <w:t xml:space="preserve">”</w:t>
      </w:r>
      <w:r>
        <w:t xml:space="preserve"> </w:t>
      </w:r>
      <w:r>
        <w:t xml:space="preserve">Congress said the opposite. The DTSA</w:t>
      </w:r>
      <w:r>
        <w:t xml:space="preserve"> </w:t>
      </w:r>
      <w:r>
        <w:t xml:space="preserve">“</w:t>
      </w:r>
      <w:r>
        <w:t xml:space="preserve">shall not be construed to preempt or displace any other remedies, whether civil or criminal, provided by United States Federal, State, commonwealth, possession, or territory law for the misappropriation of a trade secret.</w:t>
      </w:r>
      <w:r>
        <w:t xml:space="preserve">”</w:t>
      </w:r>
      <w:r>
        <w:t xml:space="preserve"> </w:t>
      </w:r>
      <w:r>
        <w:t xml:space="preserve">18 U.S.C. § 1838. Defendants do not cite or address § 1838, and they cite no case dismissing a state trade-secret claim as preempted by the DTSA. The theory that claims are</w:t>
      </w:r>
      <w:r>
        <w:t xml:space="preserve"> </w:t>
      </w:r>
      <w:r>
        <w:t xml:space="preserve">“</w:t>
      </w:r>
      <w:r>
        <w:t xml:space="preserve">duplicative</w:t>
      </w:r>
      <w:r>
        <w:t xml:space="preserve">”</w:t>
      </w:r>
      <w:r>
        <w:t xml:space="preserve"> </w:t>
      </w:r>
      <w:r>
        <w:t xml:space="preserve">is not a Rule 12(b)(6) ground either. Federal Rule 8(d) permits a party to plead multiple claims, and the CUTSA claim carries its own statutory remedies.</w:t>
      </w:r>
      <w:r>
        <w:t xml:space="preserve"> </w:t>
      </w:r>
      <w:r>
        <w:rPr>
          <w:i/>
          <w:iCs/>
        </w:rPr>
        <w:t xml:space="preserve">See</w:t>
      </w:r>
      <w:r>
        <w:t xml:space="preserve"> </w:t>
      </w:r>
      <w:r>
        <w:t xml:space="preserve">Conn. Gen. Stat. § 35-52. Defendants’ fallback, that CUTSA shares the DTSA claim’s alleged defects, fails for the reasons set out above.</w:t>
      </w:r>
    </w:p>
    <w:bookmarkEnd w:id="45"/>
    <w:bookmarkEnd w:id="46"/>
    <w:bookmarkStart w:id="47" w:name="X09212d3bf13bca510f4edab320d196c7daae23f"/>
    <w:p>
      <w:pPr>
        <w:pStyle w:val="Heading2"/>
      </w:pPr>
      <w:r>
        <w:t xml:space="preserve">C. Count III States a Claim for Tortious Interference</w:t>
      </w:r>
    </w:p>
    <w:p>
      <w:pPr>
        <w:pStyle w:val="FirstParagraph"/>
      </w:pPr>
      <w:r>
        <w:t xml:space="preserve">Connecticut recognizes tortious interference with both contractual and prospective business relationships. The elements are (1) a business relationship between the plaintiff and another party; (2) the defendant’s intentional interference with that relationship while knowing of it; and (3) resulting actual loss.</w:t>
      </w:r>
      <w:r>
        <w:t xml:space="preserve"> </w:t>
      </w:r>
      <w:r>
        <w:rPr>
          <w:i/>
          <w:iCs/>
        </w:rPr>
        <w:t xml:space="preserve">Hi-Ho Tower, Inc. v. Com-Tronics, Inc.</w:t>
      </w:r>
      <w:r>
        <w:t xml:space="preserve">, 255 Conn. 20, 27 (2000). The interference must be tortious, meaning accomplished through improper means or with an improper motive.</w:t>
      </w:r>
      <w:r>
        <w:t xml:space="preserve"> </w:t>
      </w:r>
      <w:r>
        <w:rPr>
          <w:i/>
          <w:iCs/>
        </w:rPr>
        <w:t xml:space="preserve">Blake v. Levy</w:t>
      </w:r>
      <w:r>
        <w:t xml:space="preserve">, 191 Conn. 257, 261–62 (1983). Defendants’ own authority, Restatement (Second) of Torts § 766B, confirms that liability extends to interference with</w:t>
      </w:r>
      <w:r>
        <w:t xml:space="preserve"> </w:t>
      </w:r>
      <w:r>
        <w:rPr>
          <w:b/>
          <w:bCs/>
        </w:rPr>
        <w:t xml:space="preserve">prospective</w:t>
      </w:r>
      <w:r>
        <w:t xml:space="preserve"> </w:t>
      </w:r>
      <w:r>
        <w:t xml:space="preserve">relations. A plaintiff therefore does not need to identify a breached contract.</w:t>
      </w:r>
    </w:p>
    <w:p>
      <w:pPr>
        <w:pStyle w:val="BodyText"/>
      </w:pPr>
      <w:r>
        <w:rPr>
          <w:b/>
          <w:bCs/>
        </w:rPr>
        <w:t xml:space="preserve">The relationships are specifically identified.</w:t>
      </w:r>
      <w:r>
        <w:t xml:space="preserve"> </w:t>
      </w:r>
      <w:r>
        <w:t xml:space="preserve">Defendants say Pinnacle has not identified</w:t>
      </w:r>
      <w:r>
        <w:t xml:space="preserve"> </w:t>
      </w:r>
      <w:r>
        <w:t xml:space="preserve">“</w:t>
      </w:r>
      <w:r>
        <w:t xml:space="preserve">any specific contract.</w:t>
      </w:r>
      <w:r>
        <w:t xml:space="preserve">”</w:t>
      </w:r>
      <w:r>
        <w:t xml:space="preserve"> </w:t>
      </w:r>
      <w:r>
        <w:t xml:space="preserve">The Complaint identifies six clients by name. For each, it gives annual revenue, the number and location of properties under management, and the multi-year nature of the management agreement. For the two clients now evaluating Lodestar, it gives their renewal months and the length of the relationship. (Compl. ¶¶ 34, 116–117, 127–128, 180.) It is hard to imagine what more could be pleaded. No authority requires a plaintiff to plead exclusivity, termination-for-convenience, or notice-and-cure terms to state a claim for interference with a known, ongoing business relationship. Defendants’ theory that some clients might be free to leave at will confirms the point: interference with terminable and prospective relationships is actionable.</w:t>
      </w:r>
      <w:r>
        <w:t xml:space="preserve"> </w:t>
      </w:r>
      <w:r>
        <w:rPr>
          <w:i/>
          <w:iCs/>
        </w:rPr>
        <w:t xml:space="preserve">See</w:t>
      </w:r>
      <w:r>
        <w:t xml:space="preserve"> </w:t>
      </w:r>
      <w:r>
        <w:t xml:space="preserve">Restatement (Second) of Torts § 766B.</w:t>
      </w:r>
    </w:p>
    <w:p>
      <w:pPr>
        <w:pStyle w:val="BodyText"/>
      </w:pPr>
      <w:r>
        <w:rPr>
          <w:b/>
          <w:bCs/>
        </w:rPr>
        <w:t xml:space="preserve">Lodestar knew of the relationships.</w:t>
      </w:r>
      <w:r>
        <w:t xml:space="preserve"> </w:t>
      </w:r>
      <w:r>
        <w:t xml:space="preserve">Defendants’</w:t>
      </w:r>
      <w:r>
        <w:t xml:space="preserve"> </w:t>
      </w:r>
      <w:r>
        <w:t xml:space="preserve">“</w:t>
      </w:r>
      <w:r>
        <w:t xml:space="preserve">knowledge</w:t>
      </w:r>
      <w:r>
        <w:t xml:space="preserve">”</w:t>
      </w:r>
      <w:r>
        <w:t xml:space="preserve"> </w:t>
      </w:r>
      <w:r>
        <w:t xml:space="preserve">argument is aimed at the RCA. Count III, however, is directed at Pinnacle’s</w:t>
      </w:r>
      <w:r>
        <w:t xml:space="preserve"> </w:t>
      </w:r>
      <w:r>
        <w:rPr>
          <w:b/>
          <w:bCs/>
        </w:rPr>
        <w:t xml:space="preserve">client</w:t>
      </w:r>
      <w:r>
        <w:t xml:space="preserve"> </w:t>
      </w:r>
      <w:r>
        <w:t xml:space="preserve">relationships. (Compl. ¶¶ 180–182.) Lodestar plainly knew of those relationships. It addressed proposals to Pinnacle’s clients that referenced their</w:t>
      </w:r>
      <w:r>
        <w:t xml:space="preserve"> </w:t>
      </w:r>
      <w:r>
        <w:t xml:space="preserve">“</w:t>
      </w:r>
      <w:r>
        <w:t xml:space="preserve">incumbent management arrangements</w:t>
      </w:r>
      <w:r>
        <w:t xml:space="preserve">”</w:t>
      </w:r>
      <w:r>
        <w:t xml:space="preserve"> </w:t>
      </w:r>
      <w:r>
        <w:t xml:space="preserve">and</w:t>
      </w:r>
      <w:r>
        <w:t xml:space="preserve"> </w:t>
      </w:r>
      <w:r>
        <w:t xml:space="preserve">“</w:t>
      </w:r>
      <w:r>
        <w:t xml:space="preserve">deep understanding of your portfolio.</w:t>
      </w:r>
      <w:r>
        <w:t xml:space="preserve">”</w:t>
      </w:r>
      <w:r>
        <w:t xml:space="preserve"> </w:t>
      </w:r>
      <w:r>
        <w:t xml:space="preserve">Its new Managing Director had personally managed those relationships. And the relationships are known in the industry. (</w:t>
      </w:r>
      <w:r>
        <w:rPr>
          <w:i/>
          <w:iCs/>
        </w:rPr>
        <w:t xml:space="preserve">Id.</w:t>
      </w:r>
      <w:r>
        <w:t xml:space="preserve"> </w:t>
      </w:r>
      <w:r>
        <w:t xml:space="preserve">¶¶ 181, 118, 125.) To the extent knowledge of the RCA is relevant to improper means, the Complaint pleads it with specificity. (</w:t>
      </w:r>
      <w:r>
        <w:rPr>
          <w:i/>
          <w:iCs/>
        </w:rPr>
        <w:t xml:space="preserve">Id.</w:t>
      </w:r>
      <w:r>
        <w:t xml:space="preserve"> </w:t>
      </w:r>
      <w:r>
        <w:t xml:space="preserve">¶¶ 108–113.) Pinnacle need only plead facts making knowledge plausible, and these facts do: the industry-standard nature of executive covenants, due diligence by a $4.2 billion firm hiring a competitor’s sitting CRO, pre-resignation negotiations shown by the 24-day turnaround, and the</w:t>
      </w:r>
      <w:r>
        <w:t xml:space="preserve"> </w:t>
      </w:r>
      <w:r>
        <w:t xml:space="preserve">“</w:t>
      </w:r>
      <w:r>
        <w:t xml:space="preserve">proprietary insights</w:t>
      </w:r>
      <w:r>
        <w:t xml:space="preserve">”</w:t>
      </w:r>
      <w:r>
        <w:t xml:space="preserve"> </w:t>
      </w:r>
      <w:r>
        <w:t xml:space="preserve">announcement. Whether Lodestar actually reviewed the RCA is a fact question for discovery.</w:t>
      </w:r>
    </w:p>
    <w:p>
      <w:pPr>
        <w:pStyle w:val="BodyText"/>
      </w:pPr>
      <w:r>
        <w:rPr>
          <w:b/>
          <w:bCs/>
        </w:rPr>
        <w:t xml:space="preserve">The interference was improper.</w:t>
      </w:r>
      <w:r>
        <w:t xml:space="preserve"> </w:t>
      </w:r>
      <w:r>
        <w:t xml:space="preserve">Competition is privileged only when it is conducted by proper means. The Complaint alleges that Lodestar selected its targets and wrote its proposals using misappropriated trade secrets. It alleges that Lodestar exploited, and induced, Whitaker’s breaches of the non-compete, the non-solicitation covenant, and the confidentiality covenant. (Compl. ¶¶ 113, 119–121, 131, 182–183.) Misappropriation of trade secrets and inducement of contractual breaches are classic improper means. Defendants’ description of the proposals as</w:t>
      </w:r>
      <w:r>
        <w:t xml:space="preserve"> </w:t>
      </w:r>
      <w:r>
        <w:t xml:space="preserve">“</w:t>
      </w:r>
      <w:r>
        <w:t xml:space="preserve">standard competitive activity</w:t>
      </w:r>
      <w:r>
        <w:t xml:space="preserve">”</w:t>
      </w:r>
      <w:r>
        <w:t xml:space="preserve"> </w:t>
      </w:r>
      <w:r>
        <w:t xml:space="preserve">is a merits defense that assumes away the Complaint’s allegations. It is not a basis for dismissal.</w:t>
      </w:r>
    </w:p>
    <w:p>
      <w:pPr>
        <w:pStyle w:val="BodyText"/>
      </w:pPr>
      <w:r>
        <w:rPr>
          <w:b/>
          <w:bCs/>
        </w:rPr>
        <w:t xml:space="preserve">Loss is adequately alleged.</w:t>
      </w:r>
      <w:r>
        <w:t xml:space="preserve"> </w:t>
      </w:r>
      <w:r>
        <w:t xml:space="preserve">Two clients worth $19.9 million are actively evaluating Lodestar’s proposals ahead of imminent renewals. The Complaint also alleges goodwill and reputational injury and the diversion of resources. (Compl. ¶¶ 122–124, 130, 135, 184.) Whether and how much Pinnacle ultimately loses is a question of damages for a later stage. It does not defeat the claim now.</w:t>
      </w:r>
    </w:p>
    <w:bookmarkEnd w:id="47"/>
    <w:bookmarkStart w:id="48" w:name="Xf997f823878397b552978979c6d17190033d7d8"/>
    <w:p>
      <w:pPr>
        <w:pStyle w:val="Heading2"/>
      </w:pPr>
      <w:r>
        <w:t xml:space="preserve">D. Count IV States a Claim for Breach of Fiduciary Duty</w:t>
      </w:r>
    </w:p>
    <w:p>
      <w:pPr>
        <w:pStyle w:val="FirstParagraph"/>
      </w:pPr>
      <w:r>
        <w:t xml:space="preserve">Under Connecticut law, a fiduciary relationship is</w:t>
      </w:r>
      <w:r>
        <w:t xml:space="preserve"> </w:t>
      </w:r>
      <w:r>
        <w:t xml:space="preserve">“</w:t>
      </w:r>
      <w:r>
        <w:t xml:space="preserve">characterized by a unique degree of trust and confidence between the parties, one of whom has superior knowledge, skill or expertise and is under a duty to represent the interests of the other.</w:t>
      </w:r>
      <w:r>
        <w:t xml:space="preserve">”</w:t>
      </w:r>
      <w:r>
        <w:t xml:space="preserve"> </w:t>
      </w:r>
      <w:r>
        <w:rPr>
          <w:i/>
          <w:iCs/>
        </w:rPr>
        <w:t xml:space="preserve">Hi-Ho Tower</w:t>
      </w:r>
      <w:r>
        <w:t xml:space="preserve">, 255 Conn. at 38;</w:t>
      </w:r>
      <w:r>
        <w:t xml:space="preserve"> </w:t>
      </w:r>
      <w:r>
        <w:rPr>
          <w:i/>
          <w:iCs/>
        </w:rPr>
        <w:t xml:space="preserve">Dunham v. Dunham</w:t>
      </w:r>
      <w:r>
        <w:t xml:space="preserve">, 204 Conn. 303, 322 (1987). Connecticut courts have deliberately declined to define the fiduciary relationship</w:t>
      </w:r>
      <w:r>
        <w:t xml:space="preserve"> </w:t>
      </w:r>
      <w:r>
        <w:t xml:space="preserve">“</w:t>
      </w:r>
      <w:r>
        <w:t xml:space="preserve">with precision,</w:t>
      </w:r>
      <w:r>
        <w:t xml:space="preserve">”</w:t>
      </w:r>
      <w:r>
        <w:t xml:space="preserve"> </w:t>
      </w:r>
      <w:r>
        <w:t xml:space="preserve">so that it can be applied to new situations. Whether such a relationship exists therefore depends on the facts of each case, and the question is generally unsuited to resolution on the pleadings.</w:t>
      </w:r>
    </w:p>
    <w:p>
      <w:pPr>
        <w:pStyle w:val="BodyText"/>
      </w:pPr>
      <w:r>
        <w:t xml:space="preserve">The Complaint pleads exactly the relationship of special trust that Defendants say is missing. Whitaker:</w:t>
      </w:r>
    </w:p>
    <w:p>
      <w:pPr>
        <w:pStyle w:val="Compact"/>
        <w:numPr>
          <w:ilvl w:val="0"/>
          <w:numId w:val="1030"/>
        </w:numPr>
      </w:pPr>
      <w:r>
        <w:t xml:space="preserve">was Pinnacle’s Chief Revenue Officer, one of its most senior executives, reporting directly to the CEO and serving on the executive leadership team;</w:t>
      </w:r>
    </w:p>
    <w:p>
      <w:pPr>
        <w:pStyle w:val="Compact"/>
        <w:numPr>
          <w:ilvl w:val="0"/>
          <w:numId w:val="1030"/>
        </w:numPr>
      </w:pPr>
      <w:r>
        <w:t xml:space="preserve">participated in board presentations and executive decision-making</w:t>
      </w:r>
      <w:r>
        <w:t xml:space="preserve"> </w:t>
      </w:r>
      <w:r>
        <w:t xml:space="preserve">“</w:t>
      </w:r>
      <w:r>
        <w:t xml:space="preserve">at the highest level of the organization</w:t>
      </w:r>
      <w:r>
        <w:t xml:space="preserve">”</w:t>
      </w:r>
      <w:r>
        <w:t xml:space="preserve">;</w:t>
      </w:r>
    </w:p>
    <w:p>
      <w:pPr>
        <w:pStyle w:val="Compact"/>
        <w:numPr>
          <w:ilvl w:val="0"/>
          <w:numId w:val="1030"/>
        </w:numPr>
      </w:pPr>
      <w:r>
        <w:t xml:space="preserve">had authority over all revenue strategy for forty-seven properties;</w:t>
      </w:r>
    </w:p>
    <w:p>
      <w:pPr>
        <w:pStyle w:val="Compact"/>
        <w:numPr>
          <w:ilvl w:val="0"/>
          <w:numId w:val="1030"/>
        </w:numPr>
      </w:pPr>
      <w:r>
        <w:t xml:space="preserve">exercised</w:t>
      </w:r>
      <w:r>
        <w:t xml:space="preserve"> </w:t>
      </w:r>
      <w:r>
        <w:t xml:space="preserve">“</w:t>
      </w:r>
      <w:r>
        <w:t xml:space="preserve">broad discretionary authority</w:t>
      </w:r>
      <w:r>
        <w:t xml:space="preserve">”</w:t>
      </w:r>
      <w:r>
        <w:t xml:space="preserve"> </w:t>
      </w:r>
      <w:r>
        <w:t xml:space="preserve">over Pinnacle’s most important client relationships, personally leading contract renewal discussions; and</w:t>
      </w:r>
    </w:p>
    <w:p>
      <w:pPr>
        <w:pStyle w:val="Compact"/>
        <w:numPr>
          <w:ilvl w:val="0"/>
          <w:numId w:val="1030"/>
        </w:numPr>
      </w:pPr>
      <w:r>
        <w:t xml:space="preserve">was one of only four of 640 employees entrusted with the ability to export the Platinum Client List, and one of nine with access to the complete RevMaxPro specifications.</w:t>
      </w:r>
    </w:p>
    <w:p>
      <w:pPr>
        <w:pStyle w:val="FirstParagraph"/>
      </w:pPr>
      <w:r>
        <w:t xml:space="preserve">(Compl. ¶¶ 82–83, 187.) That goes far beyond</w:t>
      </w:r>
      <w:r>
        <w:t xml:space="preserve"> </w:t>
      </w:r>
      <w:r>
        <w:t xml:space="preserve">“</w:t>
      </w:r>
      <w:r>
        <w:t xml:space="preserve">access to proprietary information</w:t>
      </w:r>
      <w:r>
        <w:t xml:space="preserve">”</w:t>
      </w:r>
      <w:r>
        <w:t xml:space="preserve"> </w:t>
      </w:r>
      <w:r>
        <w:t xml:space="preserve">or</w:t>
      </w:r>
      <w:r>
        <w:t xml:space="preserve"> </w:t>
      </w:r>
      <w:r>
        <w:t xml:space="preserve">“</w:t>
      </w:r>
      <w:r>
        <w:t xml:space="preserve">management responsibilities.</w:t>
      </w:r>
      <w:r>
        <w:t xml:space="preserve">”</w:t>
      </w:r>
      <w:r>
        <w:t xml:space="preserve"> </w:t>
      </w:r>
      <w:r>
        <w:t xml:space="preserve">It describes the executive to whom Pinnacle entrusted its most valuable assets and its client relationships.</w:t>
      </w:r>
    </w:p>
    <w:p>
      <w:pPr>
        <w:pStyle w:val="BodyText"/>
      </w:pPr>
      <w:r>
        <w:t xml:space="preserve">Defendants’ contrary argument depends on facts outside the pleadings. They assert that Whitaker</w:t>
      </w:r>
      <w:r>
        <w:t xml:space="preserve"> </w:t>
      </w:r>
      <w:r>
        <w:t xml:space="preserve">“</w:t>
      </w:r>
      <w:r>
        <w:t xml:space="preserve">was not appointed by Pinnacle’s board,</w:t>
      </w:r>
      <w:r>
        <w:t xml:space="preserve">”</w:t>
      </w:r>
      <w:r>
        <w:t xml:space="preserve"> </w:t>
      </w:r>
      <w:r>
        <w:t xml:space="preserve">was</w:t>
      </w:r>
      <w:r>
        <w:t xml:space="preserve"> </w:t>
      </w:r>
      <w:r>
        <w:t xml:space="preserve">“</w:t>
      </w:r>
      <w:r>
        <w:t xml:space="preserve">not identified as an officer in Pinnacle’s certificate of incorporation or bylaws,</w:t>
      </w:r>
      <w:r>
        <w:t xml:space="preserve">”</w:t>
      </w:r>
      <w:r>
        <w:t xml:space="preserve"> </w:t>
      </w:r>
      <w:r>
        <w:t xml:space="preserve">and held only an</w:t>
      </w:r>
      <w:r>
        <w:t xml:space="preserve"> </w:t>
      </w:r>
      <w:r>
        <w:t xml:space="preserve">“</w:t>
      </w:r>
      <w:r>
        <w:t xml:space="preserve">internal management designation.</w:t>
      </w:r>
      <w:r>
        <w:t xml:space="preserve">”</w:t>
      </w:r>
      <w:r>
        <w:t xml:space="preserve"> </w:t>
      </w:r>
      <w:r>
        <w:t xml:space="preserve">None of that appears in the Complaint, and none of it can be considered on this motion. The argument also fails on its own terms. Defendants invoke Delaware law, but under Delaware law corporate officers owe the same fiduciary duties as directors.</w:t>
      </w:r>
      <w:r>
        <w:t xml:space="preserve"> </w:t>
      </w:r>
      <w:r>
        <w:rPr>
          <w:i/>
          <w:iCs/>
        </w:rPr>
        <w:t xml:space="preserve">Gantler v. Stephens</w:t>
      </w:r>
      <w:r>
        <w:t xml:space="preserve">, 965 A.2d 695, 708–09 (Del. 2009). Whether Whitaker was an</w:t>
      </w:r>
      <w:r>
        <w:t xml:space="preserve"> </w:t>
      </w:r>
      <w:r>
        <w:t xml:space="preserve">“</w:t>
      </w:r>
      <w:r>
        <w:t xml:space="preserve">officer</w:t>
      </w:r>
      <w:r>
        <w:t xml:space="preserve">”</w:t>
      </w:r>
      <w:r>
        <w:t xml:space="preserve"> </w:t>
      </w:r>
      <w:r>
        <w:t xml:space="preserve">is a factual matter. And her title, Chief Revenue Officer, supports a plausible inference that she was.</w:t>
      </w:r>
    </w:p>
    <w:p>
      <w:pPr>
        <w:pStyle w:val="BodyText"/>
      </w:pPr>
      <w:r>
        <w:t xml:space="preserve">More fundamentally, the breaches alleged occurred while Whitaker was still employed. Every employee-agent owes the principal a duty of loyalty during the agency. That duty includes the duties not to compete with the principal or take action on behalf of a competitor, and not to use the principal’s confidential information for the agent’s own purposes or those of a third party.</w:t>
      </w:r>
      <w:r>
        <w:t xml:space="preserve"> </w:t>
      </w:r>
      <w:r>
        <w:rPr>
          <w:i/>
          <w:iCs/>
        </w:rPr>
        <w:t xml:space="preserve">See</w:t>
      </w:r>
      <w:r>
        <w:t xml:space="preserve"> </w:t>
      </w:r>
      <w:r>
        <w:t xml:space="preserve">Restatement (Third) of Agency §§ 8.02, 8.04, 8.05 (2006). The Complaint alleges that, while still CRO, Whitaker:</w:t>
      </w:r>
    </w:p>
    <w:p>
      <w:pPr>
        <w:pStyle w:val="Compact"/>
        <w:numPr>
          <w:ilvl w:val="0"/>
          <w:numId w:val="1031"/>
        </w:numPr>
      </w:pPr>
      <w:r>
        <w:t xml:space="preserve">secretly negotiated employment with a competitor that was launching a rival vertical (Compl. ¶¶ 111, 187(c));</w:t>
      </w:r>
    </w:p>
    <w:p>
      <w:pPr>
        <w:pStyle w:val="Compact"/>
        <w:numPr>
          <w:ilvl w:val="0"/>
          <w:numId w:val="1031"/>
        </w:numPr>
      </w:pPr>
      <w:r>
        <w:t xml:space="preserve">concealed that conflict (</w:t>
      </w:r>
      <w:r>
        <w:rPr>
          <w:i/>
          <w:iCs/>
        </w:rPr>
        <w:t xml:space="preserve">id.</w:t>
      </w:r>
      <w:r>
        <w:t xml:space="preserve"> </w:t>
      </w:r>
      <w:r>
        <w:t xml:space="preserve">¶¶ 100–101, 187(b)); and</w:t>
      </w:r>
    </w:p>
    <w:p>
      <w:pPr>
        <w:pStyle w:val="Compact"/>
        <w:numPr>
          <w:ilvl w:val="0"/>
          <w:numId w:val="1031"/>
        </w:numPr>
      </w:pPr>
      <w:r>
        <w:t xml:space="preserve">downloaded 14,200 confidential files to a personal device four days before she resigned (</w:t>
      </w:r>
      <w:r>
        <w:rPr>
          <w:i/>
          <w:iCs/>
        </w:rPr>
        <w:t xml:space="preserve">id.</w:t>
      </w:r>
      <w:r>
        <w:t xml:space="preserve"> </w:t>
      </w:r>
      <w:r>
        <w:t xml:space="preserve">¶ 187(a)).</w:t>
      </w:r>
    </w:p>
    <w:p>
      <w:pPr>
        <w:pStyle w:val="FirstParagraph"/>
      </w:pPr>
      <w:r>
        <w:t xml:space="preserve">That is a breach of loyalty by an agent during the agency, whatever label is applied to her corporate office. Nor is Count IV duplicative of Count I. The duty of loyalty arises independently of the RCA. It supports distinct remedies, including disgorgement of compensation (</w:t>
      </w:r>
      <w:r>
        <w:rPr>
          <w:i/>
          <w:iCs/>
        </w:rPr>
        <w:t xml:space="preserve">id.</w:t>
      </w:r>
      <w:r>
        <w:t xml:space="preserve"> </w:t>
      </w:r>
      <w:r>
        <w:t xml:space="preserve">¶ 187). And it reaches pre-resignation conduct that the post-employment covenants do not address.</w:t>
      </w:r>
    </w:p>
    <w:bookmarkEnd w:id="48"/>
    <w:bookmarkStart w:id="49" w:name="X287a399b8c85201f47b56f24294e53812c03b81"/>
    <w:p>
      <w:pPr>
        <w:pStyle w:val="Heading2"/>
      </w:pPr>
      <w:r>
        <w:t xml:space="preserve">E. Pinnacle Has Standing, and Its Claims Are Ripe</w:t>
      </w:r>
    </w:p>
    <w:p>
      <w:pPr>
        <w:pStyle w:val="FirstParagraph"/>
      </w:pPr>
      <w:r>
        <w:t xml:space="preserve">Defendants bring their standing and ripeness challenge under Rule 12(b)(6), but Article III standing is a jurisdictional question under Rule 12(b)(1). At the pleading stage, a plaintiff’s burden is modest: general factual allegations of injury suffice.</w:t>
      </w:r>
      <w:r>
        <w:t xml:space="preserve"> </w:t>
      </w:r>
      <w:r>
        <w:rPr>
          <w:i/>
          <w:iCs/>
        </w:rPr>
        <w:t xml:space="preserve">Lujan v. Defs. of Wildlife</w:t>
      </w:r>
      <w:r>
        <w:t xml:space="preserve">, 504 U.S. 555, 561 (1992);</w:t>
      </w:r>
      <w:r>
        <w:t xml:space="preserve"> </w:t>
      </w:r>
      <w:r>
        <w:rPr>
          <w:i/>
          <w:iCs/>
        </w:rPr>
        <w:t xml:space="preserve">Carter v. HealthPort Techs., LLC</w:t>
      </w:r>
      <w:r>
        <w:t xml:space="preserve">, 822 F.3d 47, 56–57 (2d Cir. 2016). The Complaint easily meets that burden.</w:t>
      </w:r>
    </w:p>
    <w:p>
      <w:pPr>
        <w:pStyle w:val="BodyText"/>
      </w:pPr>
      <w:r>
        <w:rPr>
          <w:b/>
          <w:bCs/>
        </w:rPr>
        <w:t xml:space="preserve">Completed injuries.</w:t>
      </w:r>
      <w:r>
        <w:t xml:space="preserve"> </w:t>
      </w:r>
      <w:r>
        <w:t xml:space="preserve">Pinnacle’s injury does not depend on any client terminating its agreement. The following have already happened:</w:t>
      </w:r>
    </w:p>
    <w:p>
      <w:pPr>
        <w:pStyle w:val="Compact"/>
        <w:numPr>
          <w:ilvl w:val="0"/>
          <w:numId w:val="1032"/>
        </w:numPr>
      </w:pPr>
      <w:r>
        <w:t xml:space="preserve">Pinnacle’s trade secrets were taken and remain outside its control on a flash drive held by an executive of a competitor (Compl. ¶¶ 86–87, 96).</w:t>
      </w:r>
    </w:p>
    <w:p>
      <w:pPr>
        <w:pStyle w:val="Compact"/>
        <w:numPr>
          <w:ilvl w:val="0"/>
          <w:numId w:val="1032"/>
        </w:numPr>
      </w:pPr>
      <w:r>
        <w:t xml:space="preserve">Whitaker breached the non-compete by joining Lodestar (</w:t>
      </w:r>
      <w:r>
        <w:rPr>
          <w:i/>
          <w:iCs/>
        </w:rPr>
        <w:t xml:space="preserve">id.</w:t>
      </w:r>
      <w:r>
        <w:t xml:space="preserve"> </w:t>
      </w:r>
      <w:r>
        <w:t xml:space="preserve">¶ 161).</w:t>
      </w:r>
    </w:p>
    <w:p>
      <w:pPr>
        <w:pStyle w:val="Compact"/>
        <w:numPr>
          <w:ilvl w:val="0"/>
          <w:numId w:val="1032"/>
        </w:numPr>
      </w:pPr>
      <w:r>
        <w:t xml:space="preserve">She breached the non-solicitation covenant, which applies</w:t>
      </w:r>
      <w:r>
        <w:t xml:space="preserve"> </w:t>
      </w:r>
      <w:r>
        <w:t xml:space="preserve">“</w:t>
      </w:r>
      <w:r>
        <w:t xml:space="preserve">regardless of whether</w:t>
      </w:r>
      <w:r>
        <w:t xml:space="preserve">”</w:t>
      </w:r>
      <w:r>
        <w:t xml:space="preserve"> </w:t>
      </w:r>
      <w:r>
        <w:t xml:space="preserve">the solicitation results in termination (RCA § 4.2; Compl. ¶ 162).</w:t>
      </w:r>
    </w:p>
    <w:p>
      <w:pPr>
        <w:pStyle w:val="Compact"/>
        <w:numPr>
          <w:ilvl w:val="0"/>
          <w:numId w:val="1032"/>
        </w:numPr>
      </w:pPr>
      <w:r>
        <w:t xml:space="preserve">She failed to return Pinnacle’s property (Compl. ¶ 102).</w:t>
      </w:r>
    </w:p>
    <w:p>
      <w:pPr>
        <w:pStyle w:val="Compact"/>
        <w:numPr>
          <w:ilvl w:val="0"/>
          <w:numId w:val="1032"/>
        </w:numPr>
      </w:pPr>
      <w:r>
        <w:t xml:space="preserve">Lodestar attempted to recruit a key RevMaxPro architect (</w:t>
      </w:r>
      <w:r>
        <w:rPr>
          <w:i/>
          <w:iCs/>
        </w:rPr>
        <w:t xml:space="preserve">id.</w:t>
      </w:r>
      <w:r>
        <w:t xml:space="preserve"> </w:t>
      </w:r>
      <w:r>
        <w:t xml:space="preserve">¶¶ 136–139).</w:t>
      </w:r>
    </w:p>
    <w:p>
      <w:pPr>
        <w:pStyle w:val="FirstParagraph"/>
      </w:pPr>
      <w:r>
        <w:t xml:space="preserve">The loss of exclusive control over trade secrets is a concrete injury, because</w:t>
      </w:r>
      <w:r>
        <w:t xml:space="preserve"> </w:t>
      </w:r>
      <w:r>
        <w:t xml:space="preserve">“</w:t>
      </w:r>
      <w:r>
        <w:t xml:space="preserve">[a] trade secret once lost is, of course, lost forever.</w:t>
      </w:r>
      <w:r>
        <w:t xml:space="preserve">”</w:t>
      </w:r>
      <w:r>
        <w:t xml:space="preserve"> </w:t>
      </w:r>
      <w:r>
        <w:rPr>
          <w:i/>
          <w:iCs/>
        </w:rPr>
        <w:t xml:space="preserve">Faiveley</w:t>
      </w:r>
      <w:r>
        <w:t xml:space="preserve">, 559 F.3d at 118 (citation omitted). Breach of a contractual promise is also a legally cognizable injury in itself. Pinnacle has further incurred forensic-investigation costs and lost the value of its secrecy investments. (Compl. ¶¶ 89, 148, 151.)</w:t>
      </w:r>
    </w:p>
    <w:p>
      <w:pPr>
        <w:pStyle w:val="BodyText"/>
      </w:pPr>
      <w:r>
        <w:rPr>
          <w:b/>
          <w:bCs/>
        </w:rPr>
        <w:t xml:space="preserve">Imminent injury.</w:t>
      </w:r>
      <w:r>
        <w:t xml:space="preserve"> </w:t>
      </w:r>
      <w:r>
        <w:t xml:space="preserve">Future harm also supports standing where it is</w:t>
      </w:r>
      <w:r>
        <w:t xml:space="preserve"> </w:t>
      </w:r>
      <w:r>
        <w:t xml:space="preserve">“</w:t>
      </w:r>
      <w:r>
        <w:t xml:space="preserve">certainly impending</w:t>
      </w:r>
      <w:r>
        <w:t xml:space="preserve">”</w:t>
      </w:r>
      <w:r>
        <w:t xml:space="preserve"> </w:t>
      </w:r>
      <w:r>
        <w:t xml:space="preserve">or where there is a</w:t>
      </w:r>
      <w:r>
        <w:t xml:space="preserve"> </w:t>
      </w:r>
      <w:r>
        <w:t xml:space="preserve">“</w:t>
      </w:r>
      <w:r>
        <w:t xml:space="preserve">substantial risk</w:t>
      </w:r>
      <w:r>
        <w:t xml:space="preserve">”</w:t>
      </w:r>
      <w:r>
        <w:t xml:space="preserve"> </w:t>
      </w:r>
      <w:r>
        <w:t xml:space="preserve">that it will occur.</w:t>
      </w:r>
      <w:r>
        <w:t xml:space="preserve"> </w:t>
      </w:r>
      <w:r>
        <w:rPr>
          <w:i/>
          <w:iCs/>
        </w:rPr>
        <w:t xml:space="preserve">Clapper v. Amnesty Int’l USA</w:t>
      </w:r>
      <w:r>
        <w:t xml:space="preserve">, 568 U.S. 398, 409, 414 n.5 (2013);</w:t>
      </w:r>
      <w:r>
        <w:t xml:space="preserve"> </w:t>
      </w:r>
      <w:r>
        <w:rPr>
          <w:i/>
          <w:iCs/>
        </w:rPr>
        <w:t xml:space="preserve">Susan B. Anthony List v. Driehaus</w:t>
      </w:r>
      <w:r>
        <w:t xml:space="preserve">, 573 U.S. 149, 158 (2014). Two clients worth $19.9 million per year have told Pinnacle that they are evaluating Lodestar’s proposals ahead of renewals in September and November 2025. (Compl. ¶¶ 122–128.) Defendants call this</w:t>
      </w:r>
      <w:r>
        <w:t xml:space="preserve"> </w:t>
      </w:r>
      <w:r>
        <w:t xml:space="preserve">“</w:t>
      </w:r>
      <w:r>
        <w:t xml:space="preserve">the ordinary course of business,</w:t>
      </w:r>
      <w:r>
        <w:t xml:space="preserve">”</w:t>
      </w:r>
      <w:r>
        <w:t xml:space="preserve"> </w:t>
      </w:r>
      <w:r>
        <w:t xml:space="preserve">but that characterization is theirs, not the Complaint’s. Their assertion that the four remaining clients have done</w:t>
      </w:r>
      <w:r>
        <w:t xml:space="preserve"> </w:t>
      </w:r>
      <w:r>
        <w:t xml:space="preserve">“</w:t>
      </w:r>
      <w:r>
        <w:t xml:space="preserve">nothing more</w:t>
      </w:r>
      <w:r>
        <w:t xml:space="preserve">”</w:t>
      </w:r>
      <w:r>
        <w:t xml:space="preserve"> </w:t>
      </w:r>
      <w:r>
        <w:t xml:space="preserve">is irrelevant to whether Pinnacle has been injured.</w:t>
      </w:r>
    </w:p>
    <w:p>
      <w:pPr>
        <w:pStyle w:val="BodyText"/>
      </w:pPr>
      <w:r>
        <w:rPr>
          <w:b/>
          <w:bCs/>
        </w:rPr>
        <w:t xml:space="preserve">Ripeness.</w:t>
      </w:r>
      <w:r>
        <w:t xml:space="preserve"> </w:t>
      </w:r>
      <w:r>
        <w:t xml:space="preserve">The claims are ripe because the breaches and misappropriation have already occurred. The DTSA separately authorizes relief against</w:t>
      </w:r>
      <w:r>
        <w:t xml:space="preserve"> </w:t>
      </w:r>
      <w:r>
        <w:t xml:space="preserve">“</w:t>
      </w:r>
      <w:r>
        <w:t xml:space="preserve">threatened</w:t>
      </w:r>
      <w:r>
        <w:t xml:space="preserve">”</w:t>
      </w:r>
      <w:r>
        <w:t xml:space="preserve"> </w:t>
      </w:r>
      <w:r>
        <w:t xml:space="preserve">misappropriation. 18 U.S.C. § 1836(b)(3)(A). The questions Defendants say remain open, such as whether Whitaker’s role competes and whether the files were used, are ordinary merits questions for discovery. They are not contingencies that make a dispute abstract. Defendants’ claim that Pinnacle</w:t>
      </w:r>
      <w:r>
        <w:t xml:space="preserve"> </w:t>
      </w:r>
      <w:r>
        <w:t xml:space="preserve">“</w:t>
      </w:r>
      <w:r>
        <w:t xml:space="preserve">did not seek emergency relief</w:t>
      </w:r>
      <w:r>
        <w:t xml:space="preserve">”</w:t>
      </w:r>
      <w:r>
        <w:t xml:space="preserve"> </w:t>
      </w:r>
      <w:r>
        <w:t xml:space="preserve">misstates the record. The Verified Complaint expressly seeks preliminary injunctive relief. (Compl. ¶¶ 12, 155, 176; Prayer for Relief ¶ (a).) The timing of a motion for a preliminary injunction has no bearing on whether a complaint states a claim.</w:t>
      </w:r>
    </w:p>
    <w:bookmarkEnd w:id="49"/>
    <w:bookmarkStart w:id="50" w:name="Xe964c2dcad8a6e90e3ce0ccd0b917fcb0980288"/>
    <w:p>
      <w:pPr>
        <w:pStyle w:val="Heading2"/>
      </w:pPr>
      <w:r>
        <w:t xml:space="preserve">F. Alternatively, Pinnacle Should Be Granted Leave to Amend</w:t>
      </w:r>
    </w:p>
    <w:p>
      <w:pPr>
        <w:pStyle w:val="FirstParagraph"/>
      </w:pPr>
      <w:r>
        <w:t xml:space="preserve">If the Court finds any aspect of the Complaint insufficiently pleaded, Pinnacle respectfully requests leave to amend under Rule 15(a)(2), which directs that leave be</w:t>
      </w:r>
      <w:r>
        <w:t xml:space="preserve"> </w:t>
      </w:r>
      <w:r>
        <w:t xml:space="preserve">“</w:t>
      </w:r>
      <w:r>
        <w:t xml:space="preserve">freely give[n] when justice so requires.</w:t>
      </w:r>
      <w:r>
        <w:t xml:space="preserve">”</w:t>
      </w:r>
      <w:r>
        <w:t xml:space="preserve"> </w:t>
      </w:r>
      <w:r>
        <w:rPr>
          <w:i/>
          <w:iCs/>
        </w:rPr>
        <w:t xml:space="preserve">See Foman v. Davis</w:t>
      </w:r>
      <w:r>
        <w:t xml:space="preserve">, 371 U.S. 178, 182 (1962). This is Pinnacle’s first complaint, and amendment would not be futile. Pinnacle has additional facts it can plead, including the contents of written communications that the solicited clients have forwarded to Pinnacle. Defendants’ request for dismissal</w:t>
      </w:r>
      <w:r>
        <w:t xml:space="preserve"> </w:t>
      </w:r>
      <w:r>
        <w:t xml:space="preserve">“</w:t>
      </w:r>
      <w:r>
        <w:t xml:space="preserve">with prejudice</w:t>
      </w:r>
      <w:r>
        <w:t xml:space="preserve">”</w:t>
      </w:r>
      <w:r>
        <w:t xml:space="preserve"> </w:t>
      </w:r>
      <w:r>
        <w:t xml:space="preserve">is unsupported in any event.</w:t>
      </w:r>
    </w:p>
    <w:bookmarkEnd w:id="50"/>
    <w:bookmarkEnd w:id="51"/>
    <w:bookmarkStart w:id="52" w:name="v.-conclusion"/>
    <w:p>
      <w:pPr>
        <w:pStyle w:val="Heading1"/>
      </w:pPr>
      <w:r>
        <w:t xml:space="preserve">V. CONCLUSION</w:t>
      </w:r>
    </w:p>
    <w:p>
      <w:pPr>
        <w:pStyle w:val="FirstParagraph"/>
      </w:pPr>
      <w:r>
        <w:t xml:space="preserve">For the foregoing reasons, Pinnacle respectfully requests that the Court deny Defendants’ Joint Motion to Dismiss in its entirety or, in the alternative, grant Pinnacle leave to file an amended complaint.</w:t>
      </w:r>
    </w:p>
    <w:p>
      <w:pPr>
        <w:pStyle w:val="BodyText"/>
      </w:pPr>
      <w:r>
        <w:t xml:space="preserve">Dated: June 9, 2025</w:t>
      </w:r>
      <w:r>
        <w:br/>
      </w:r>
      <w:r>
        <w:t xml:space="preserve">Hartford, Connecticut</w:t>
      </w:r>
    </w:p>
    <w:p>
      <w:pPr>
        <w:pStyle w:val="BodyText"/>
      </w:pPr>
      <w:r>
        <w:t xml:space="preserve">Respectfully submitted,</w:t>
      </w:r>
    </w:p>
    <w:p>
      <w:pPr>
        <w:pStyle w:val="BodyText"/>
      </w:pPr>
      <w:r>
        <w:rPr>
          <w:b/>
          <w:bCs/>
        </w:rPr>
        <w:t xml:space="preserve">PLAINTIFF PINNACLE HOSPITALITY GROUP, INC.</w:t>
      </w:r>
    </w:p>
    <w:p>
      <w:pPr>
        <w:pStyle w:val="BodyText"/>
      </w:pPr>
      <w:r>
        <w:t xml:space="preserve">By its attorneys,</w:t>
      </w:r>
    </w:p>
    <w:p>
      <w:pPr>
        <w:pStyle w:val="BodyText"/>
      </w:pPr>
      <w:r>
        <w:t xml:space="preserve">/s/ Rachel Fontaine</w:t>
      </w:r>
      <w:r>
        <w:br/>
      </w:r>
      <w:r>
        <w:t xml:space="preserve">Rachel Fontaine (ct438712)</w:t>
      </w:r>
      <w:r>
        <w:br/>
      </w:r>
      <w:r>
        <w:t xml:space="preserve">Kyle Shimizu (ct441089)</w:t>
      </w:r>
      <w:r>
        <w:br/>
      </w:r>
      <w:r>
        <w:t xml:space="preserve">HARGROVE &amp; TILLMAN LLP</w:t>
      </w:r>
      <w:r>
        <w:br/>
      </w:r>
      <w:r>
        <w:t xml:space="preserve">One State Street, Suite 2400</w:t>
      </w:r>
      <w:r>
        <w:br/>
      </w:r>
      <w:r>
        <w:t xml:space="preserve">Hartford, Connecticut 06103</w:t>
      </w:r>
      <w:r>
        <w:br/>
      </w:r>
      <w:r>
        <w:t xml:space="preserve">Telephone: [●]</w:t>
      </w:r>
      <w:r>
        <w:br/>
      </w:r>
      <w:r>
        <w:t xml:space="preserve">rfontaine@hargrovetillman.com</w:t>
      </w:r>
      <w:r>
        <w:br/>
      </w:r>
      <w:r>
        <w:t xml:space="preserve">kshimizu@hargrovetillman.com</w:t>
      </w:r>
    </w:p>
    <w:p>
      <w:pPr>
        <w:pStyle w:val="BodyText"/>
      </w:pPr>
      <w:r>
        <w:rPr>
          <w:i/>
          <w:iCs/>
        </w:rPr>
        <w:t xml:space="preserve">Attorneys for Plaintiff Pinnacle Hospitality Group, Inc.</w:t>
      </w:r>
    </w:p>
    <w:bookmarkEnd w:id="52"/>
    <w:bookmarkStart w:id="53" w:name="certificate-of-service"/>
    <w:p>
      <w:pPr>
        <w:pStyle w:val="Heading1"/>
      </w:pPr>
      <w:r>
        <w:t xml:space="preserve">CERTIFICATE OF SERVICE</w:t>
      </w:r>
    </w:p>
    <w:p>
      <w:pPr>
        <w:pStyle w:val="FirstParagraph"/>
      </w:pPr>
      <w:r>
        <w:t xml:space="preserve">I hereby certify that on June 9, 2025, a copy of the foregoing was filed electronically through the Court’s CM/ECF system, which will send notice of the filing to all counsel of record, including Jonathan Crewe, Whitmore Beck LLP, One Constitution Plaza, Suite 2800, Hartford, CT 06103, counsel for Defendants.</w:t>
      </w:r>
    </w:p>
    <w:p>
      <w:pPr>
        <w:pStyle w:val="BodyText"/>
      </w:pPr>
      <w:r>
        <w:t xml:space="preserve">/s/ Rachel Fontaine</w:t>
      </w:r>
      <w:r>
        <w:br/>
      </w:r>
      <w:r>
        <w:t xml:space="preserve">Rachel Fontaine</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Defendants’ paragraph citations frequently do not correspond to the Complaint. For example, they cite ¶ 8 for Pinnacle’s 47-hotel footprint (</w:t>
      </w:r>
      <w:r>
        <w:rPr>
          <w:i/>
          <w:iCs/>
        </w:rPr>
        <w:t xml:space="preserve">see</w:t>
      </w:r>
      <w:r>
        <w:t xml:space="preserve"> </w:t>
      </w:r>
      <w:r>
        <w:t xml:space="preserve">Compl. ¶¶ 1, 14, 30), ¶ 24 for execution of the RCA (</w:t>
      </w:r>
      <w:r>
        <w:rPr>
          <w:i/>
          <w:iCs/>
        </w:rPr>
        <w:t xml:space="preserve">see id.</w:t>
      </w:r>
      <w:r>
        <w:t xml:space="preserve"> </w:t>
      </w:r>
      <w:r>
        <w:t xml:space="preserve">¶ 67), ¶ 55 for the January 6 download (</w:t>
      </w:r>
      <w:r>
        <w:rPr>
          <w:i/>
          <w:iCs/>
        </w:rPr>
        <w:t xml:space="preserve">see id.</w:t>
      </w:r>
      <w:r>
        <w:t xml:space="preserve"> </w:t>
      </w:r>
      <w:r>
        <w:t xml:space="preserve">¶ 86), and ¶¶ 154–162 for fiduciary allegations (</w:t>
      </w:r>
      <w:r>
        <w:rPr>
          <w:i/>
          <w:iCs/>
        </w:rPr>
        <w:t xml:space="preserve">see id.</w:t>
      </w:r>
      <w:r>
        <w:t xml:space="preserve"> </w:t>
      </w:r>
      <w:r>
        <w:t xml:space="preserve">¶ 187). Pinnacle cites the Complaint as filed.</w:t>
      </w:r>
    </w:p>
  </w:footnote>
  <w:footnote w:id="27">
    <w:p>
      <w:pPr>
        <w:pStyle w:val="FootnoteText"/>
      </w:pPr>
      <w:r>
        <w:rPr>
          <w:rStyle w:val="FootnoteReference"/>
        </w:rPr>
        <w:footnoteRef/>
      </w:r>
      <w:r>
        <w:t xml:space="preserve"> </w:t>
      </w:r>
      <w:r>
        <w:t xml:space="preserve">The</w:t>
      </w:r>
      <w:r>
        <w:t xml:space="preserve"> </w:t>
      </w:r>
      <w:r>
        <w:t xml:space="preserve">“</w:t>
      </w:r>
      <w:r>
        <w:t xml:space="preserve">key excerpt</w:t>
      </w:r>
      <w:r>
        <w:t xml:space="preserve">”</w:t>
      </w:r>
      <w:r>
        <w:t xml:space="preserve"> </w:t>
      </w:r>
      <w:r>
        <w:t xml:space="preserve">in Defendants’ Exhibit C does not match the complete release. The excerpt includes language (Whitaker will</w:t>
      </w:r>
      <w:r>
        <w:t xml:space="preserve"> </w:t>
      </w:r>
      <w:r>
        <w:t xml:space="preserve">“</w:t>
      </w:r>
      <w:r>
        <w:t xml:space="preserve">spearhead Lodestar’s strategic expansion</w:t>
      </w:r>
      <w:r>
        <w:t xml:space="preserve">”</w:t>
      </w:r>
      <w:r>
        <w:t xml:space="preserve">) that does not appear in the release. Defendants’ memorandum also attributes the quoted statement to</w:t>
      </w:r>
      <w:r>
        <w:t xml:space="preserve"> </w:t>
      </w:r>
      <w:r>
        <w:t xml:space="preserve">“</w:t>
      </w:r>
      <w:r>
        <w:t xml:space="preserve">Managing Partner David Aronov,</w:t>
      </w:r>
      <w:r>
        <w:t xml:space="preserve">”</w:t>
      </w:r>
      <w:r>
        <w:t xml:space="preserve"> </w:t>
      </w:r>
      <w:r>
        <w:t xml:space="preserve">but the release attributes it to</w:t>
      </w:r>
      <w:r>
        <w:t xml:space="preserve"> </w:t>
      </w:r>
      <w:r>
        <w:t xml:space="preserve">“</w:t>
      </w:r>
      <w:r>
        <w:t xml:space="preserve">James Harrington, Senior Partner and Co-Head of Private Equity.</w:t>
      </w:r>
      <w:r>
        <w:t xml:space="preserve">”</w:t>
      </w:r>
      <w:r>
        <w:t xml:space="preserve"> </w:t>
      </w:r>
      <w:r>
        <w:t xml:space="preserve">Where a document’s content is at issue, the document itself controls over a party’s characterization of it.</w:t>
      </w:r>
    </w:p>
  </w:footnote>
  <w:footnote w:id="37">
    <w:p>
      <w:pPr>
        <w:pStyle w:val="FootnoteText"/>
      </w:pPr>
      <w:r>
        <w:rPr>
          <w:rStyle w:val="FootnoteReference"/>
        </w:rPr>
        <w:footnoteRef/>
      </w:r>
      <w:r>
        <w:t xml:space="preserve"> </w:t>
      </w:r>
      <w:r>
        <w:t xml:space="preserve">Defendants also misquote § 4.1, omitting the phrases</w:t>
      </w:r>
      <w:r>
        <w:t xml:space="preserve"> </w:t>
      </w:r>
      <w:r>
        <w:t xml:space="preserve">“</w:t>
      </w:r>
      <w:r>
        <w:t xml:space="preserve">consult for</w:t>
      </w:r>
      <w:r>
        <w:t xml:space="preserve">”</w:t>
      </w:r>
      <w:r>
        <w:t xml:space="preserve"> </w:t>
      </w:r>
      <w:r>
        <w:t xml:space="preserve">and</w:t>
      </w:r>
      <w:r>
        <w:t xml:space="preserve"> </w:t>
      </w:r>
      <w:r>
        <w:t xml:space="preserve">“</w:t>
      </w:r>
      <w:r>
        <w:t xml:space="preserve">be employed by.</w:t>
      </w:r>
      <w:r>
        <w:t xml:space="preserve">”</w:t>
      </w:r>
      <w:r>
        <w:t xml:space="preserve"> </w:t>
      </w:r>
      <w:r>
        <w:t xml:space="preserve">They also describe § 5.1 as imposing a perpetual obligation on</w:t>
      </w:r>
      <w:r>
        <w:t xml:space="preserve"> </w:t>
      </w:r>
      <w:r>
        <w:t xml:space="preserve">“</w:t>
      </w:r>
      <w:r>
        <w:t xml:space="preserve">all</w:t>
      </w:r>
      <w:r>
        <w:t xml:space="preserve">”</w:t>
      </w:r>
      <w:r>
        <w:t xml:space="preserve"> </w:t>
      </w:r>
      <w:r>
        <w:t xml:space="preserve">Confidential Information, when it is perpetual only as to Trade Secrets and lasts five years as to other Confidential Information. (RCA §§ 4.1, 5.1.)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345A8A"/>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color w:val="007020"/>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rFonts w:ascii="Times New Roman" w:hAnsi="Times New Roman"/>
      <w:b/>
      <w:color w:val="008000"/>
    </w:rPr>
  </w:style>
  <w:style w:type="character" w:customStyle="1" w:styleId="CommentTok">
    <w:name w:val="CommentTok"/>
    <w:basedOn w:val="VerbatimChar"/>
    <w:rPr>
      <w:rFonts w:ascii="Times New Roman" w:hAnsi="Times New Roman"/>
      <w:i/>
      <w:color w:val="60a0b0"/>
    </w:rPr>
  </w:style>
  <w:style w:type="character" w:customStyle="1" w:styleId="DocumentationTok">
    <w:name w:val="DocumentationTok"/>
    <w:basedOn w:val="VerbatimChar"/>
    <w:rPr>
      <w:rFonts w:ascii="Times New Roman" w:hAnsi="Times New Roman"/>
      <w:i/>
      <w:color w:val="ba2121"/>
    </w:rPr>
  </w:style>
  <w:style w:type="character" w:customStyle="1" w:styleId="AnnotationTok">
    <w:name w:val="AnnotationTok"/>
    <w:basedOn w:val="VerbatimChar"/>
    <w:rPr>
      <w:rFonts w:ascii="Times New Roman" w:hAnsi="Times New Roman"/>
      <w:b/>
      <w:i/>
      <w:color w:val="60a0b0"/>
    </w:rPr>
  </w:style>
  <w:style w:type="character" w:customStyle="1" w:styleId="CommentVarTok">
    <w:name w:val="CommentVarTok"/>
    <w:basedOn w:val="VerbatimChar"/>
    <w:rPr>
      <w:rFonts w:ascii="Times New Roman" w:hAnsi="Times New Roman"/>
      <w:b/>
      <w:i/>
      <w:color w:val="60a0b0"/>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rFonts w:ascii="Times New Roman" w:hAnsi="Times New Roman"/>
      <w:b/>
      <w:color w:val="007020"/>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color w:val="60a0b0"/>
    </w:rPr>
  </w:style>
  <w:style w:type="character" w:customStyle="1" w:styleId="WarningTok">
    <w:name w:val="WarningTok"/>
    <w:basedOn w:val="VerbatimChar"/>
    <w:rPr>
      <w:rFonts w:ascii="Times New Roman" w:hAnsi="Times New Roman"/>
      <w:b/>
      <w:i/>
      <w:color w:val="60a0b0"/>
    </w:rPr>
  </w:style>
  <w:style w:type="character" w:customStyle="1" w:styleId="AlertTok">
    <w:name w:val="AlertTok"/>
    <w:basedOn w:val="VerbatimChar"/>
    <w:rPr>
      <w:rFonts w:ascii="Times New Roman" w:hAnsi="Times New Roman"/>
      <w:b/>
      <w:color w:val="ff0000"/>
    </w:rPr>
  </w:style>
  <w:style w:type="character" w:customStyle="1" w:styleId="ErrorTok">
    <w:name w:val="ErrorTok"/>
    <w:basedOn w:val="VerbatimChar"/>
    <w:rPr>
      <w:rFonts w:ascii="Times New Roman" w:hAnsi="Times New Roman"/>
      <w:b/>
      <w:color w:val="ff0000"/>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2026-09-27T01:04:55Z</dcterms:created>
  <dcterms:modified xsi:type="dcterms:W3CDTF">2026-09-27T01:04:55Z</dcterms:modified>
</cp:coreProperties>
</file>

<file path=docProps/custom.xml><?xml version="1.0" encoding="utf-8"?>
<Properties xmlns="http://schemas.openxmlformats.org/officeDocument/2006/custom-properties" xmlns:vt="http://schemas.openxmlformats.org/officeDocument/2006/docPropsVTypes"/>
</file>