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UNITED STATES DISTRICT COURT</w:t>
      </w:r>
    </w:p>
    <w:p>
      <w:pPr>
        <w:spacing w:after="240"/>
        <w:jc w:val="center"/>
      </w:pPr>
      <w:r>
        <w:rPr>
          <w:b/>
        </w:rPr>
        <w:t>FOR THE WESTERN DISTRICT OF PENNSYLVANIA</w:t>
      </w:r>
    </w:p>
    <w:tbl>
      <w:tblPr>
        <w:tblW w:type="auto" w:w="0"/>
        <w:tblLayout w:type="fixed"/>
        <w:tblLook w:firstColumn="1" w:firstRow="1" w:lastColumn="0" w:lastRow="0" w:noHBand="0" w:noVBand="1" w:val="04A0"/>
      </w:tblPr>
      <w:tblGrid>
        <w:gridCol w:w="4680"/>
        <w:gridCol w:w="4680"/>
      </w:tblGrid>
      <w:tr>
        <w:tc>
          <w:tcPr>
            <w:tcW w:type="dxa" w:w="4896"/>
          </w:tcPr>
          <w:p>
            <w:pPr>
              <w:spacing w:after="0"/>
            </w:pPr>
            <w:r/>
            <w:r>
              <w:rPr>
                <w:b/>
              </w:rPr>
              <w:t>RIDGELINE MANUFACTURING, INC.,</w:t>
            </w:r>
          </w:p>
          <w:p>
            <w:pPr>
              <w:spacing w:after="0"/>
            </w:pPr>
          </w:p>
          <w:p>
            <w:pPr>
              <w:spacing w:after="0"/>
            </w:pPr>
            <w:r>
              <w:t xml:space="preserve">          Plaintiff,</w:t>
            </w:r>
          </w:p>
          <w:p>
            <w:pPr>
              <w:spacing w:after="0"/>
            </w:pPr>
          </w:p>
          <w:p>
            <w:pPr>
              <w:spacing w:after="0"/>
            </w:pPr>
            <w:r>
              <w:t xml:space="preserve">     v.</w:t>
            </w:r>
          </w:p>
          <w:p>
            <w:pPr>
              <w:spacing w:after="0"/>
            </w:pPr>
          </w:p>
          <w:p>
            <w:pPr>
              <w:spacing w:after="0"/>
            </w:pPr>
            <w:r>
              <w:rPr>
                <w:b/>
              </w:rPr>
              <w:t>CORBIN SUPPLY GROUP, LLC,</w:t>
            </w:r>
          </w:p>
          <w:p>
            <w:pPr>
              <w:spacing w:after="0"/>
            </w:pPr>
          </w:p>
          <w:p>
            <w:pPr>
              <w:spacing w:after="0"/>
            </w:pPr>
            <w:r>
              <w:t xml:space="preserve">          Defendant.</w:t>
            </w:r>
          </w:p>
        </w:tc>
        <w:tc>
          <w:tcPr>
            <w:tcW w:type="dxa" w:w="4464"/>
          </w:tcPr>
          <w:p>
            <w:pPr>
              <w:spacing w:after="0"/>
            </w:pPr>
            <w:r/>
            <w:r>
              <w:t>)</w:t>
            </w:r>
          </w:p>
          <w:p>
            <w:pPr>
              <w:spacing w:after="0"/>
            </w:pPr>
            <w:r>
              <w:t>Civil Action No. 2:23-cv-00417-KMG</w:t>
            </w:r>
          </w:p>
          <w:p>
            <w:pPr>
              <w:spacing w:after="0"/>
            </w:pPr>
            <w:r>
              <w:t>)</w:t>
            </w:r>
          </w:p>
          <w:p>
            <w:pPr>
              <w:spacing w:after="0"/>
            </w:pPr>
            <w:r>
              <w:t>Hon. Katherine M. Gresham</w:t>
            </w:r>
          </w:p>
          <w:p>
            <w:pPr>
              <w:spacing w:after="0"/>
            </w:pPr>
            <w:r>
              <w:t>)</w:t>
            </w:r>
          </w:p>
          <w:p>
            <w:pPr>
              <w:spacing w:after="0"/>
            </w:pPr>
            <w:r>
              <w:t>United States District Judge</w:t>
            </w:r>
          </w:p>
          <w:p>
            <w:pPr>
              <w:spacing w:after="0"/>
            </w:pPr>
            <w:r>
              <w:t>)</w:t>
            </w:r>
          </w:p>
          <w:p>
            <w:pPr>
              <w:spacing w:after="0"/>
            </w:pPr>
            <w:r>
              <w:rPr>
                <w:b/>
              </w:rPr>
              <w:t>JURY TRIAL: SEPTEMBER 15, 2025</w:t>
            </w:r>
          </w:p>
          <w:p>
            <w:pPr>
              <w:spacing w:after="0"/>
            </w:pPr>
            <w:r>
              <w:t>)</w:t>
            </w:r>
          </w:p>
        </w:tc>
      </w:tr>
    </w:tbl>
    <w:p/>
    <w:p>
      <w:pPr>
        <w:spacing w:after="0"/>
        <w:jc w:val="center"/>
      </w:pPr>
      <w:r>
        <w:rPr>
          <w:b/>
        </w:rPr>
        <w:t>JOINT PRETRIAL STATEMENT</w:t>
      </w:r>
    </w:p>
    <w:p>
      <w:pPr>
        <w:spacing w:after="0"/>
        <w:jc w:val="center"/>
      </w:pPr>
      <w:r>
        <w:rPr>
          <w:b/>
        </w:rPr>
        <w:t>PLAINTIFF RIDGELINE MANUFACTURING, INC.’S SECTIONS AND PROPOSED JOINT SECTIONS</w:t>
      </w:r>
    </w:p>
    <w:p>
      <w:pPr>
        <w:spacing w:after="240"/>
        <w:jc w:val="center"/>
      </w:pPr>
      <w:r>
        <w:t>(Submitted Pursuant to the Court’s Pretrial Order of February 10, 2025, Fed. R. Civ. P. 16(e), and LCvR 16.1)</w:t>
      </w:r>
    </w:p>
    <w:p>
      <w:pPr>
        <w:jc w:val="both"/>
      </w:pPr>
      <w:r>
        <w:t>Plaintiff Ridgeline Manufacturing, Inc. ("Ridgeline" or "Plaintiff"), through its undersigned counsel, respectfully submits its portions of the Joint Pretrial Statement in the twelve-section format required by Section III of the Court’s Pretrial Order dated February 10, 2025 (the "Pretrial Order"). Sections 3, 6, 8, and the Plaintiff portions of Sections 5 and 10 through 12 are Ridgeline’s alone. Sections 1 and 2 are Ridgeline’s proposed joint text, sent to Defendant Corbin Supply Group, LLC ("Corbin Supply" or "Defendant") for agreement. Sections 4, 7, and 9, along with Defendant’s portions of Sections 5 and 10 through 12, are held open for Defendant’s contributions, which the Pretrial Order required Defendant to deliver by August 11, 2025. As lead counsel for Plaintiff, the undersigned will compile and file the unified document under Section II of the Pretrial Order.</w:t>
      </w:r>
    </w:p>
    <w:p>
      <w:pPr>
        <w:jc w:val="both"/>
      </w:pPr>
      <w:r>
        <w:rPr>
          <w:b/>
        </w:rPr>
        <w:t>Preliminary note on the contract at issue.</w:t>
      </w:r>
      <w:r>
        <w:t xml:space="preserve"> Section I of the Pretrial Order refers to the "Master Supply Agreement dated January 15, 2020." The contract at issue in this action, and the contract on which the Court granted partial summary judgment on November 15, 2024, is the </w:t>
      </w:r>
      <w:r>
        <w:rPr>
          <w:b/>
        </w:rPr>
        <w:t>Exclusive Distribution Agreement, Contract No. CSG-RM-2021-0301, dated and executed March 1, 2021</w:t>
      </w:r>
      <w:r>
        <w:t xml:space="preserve"> (the "EDA") (PX-001). January 15, 2021 is the date of the internal Corbin Supply memorandum authored by Marcus Findlay (PX-007). Ridgeline respectfully asks the Court to treat every reference in the Pretrial Order to the "Master Supply Agreement" as a reference to the EDA.</w:t>
      </w:r>
    </w:p>
    <w:p>
      <w:pPr>
        <w:jc w:val="both"/>
      </w:pPr>
      <w:r>
        <w:rPr>
          <w:b/>
        </w:rPr>
        <w:t>Record citation conventions.</w:t>
      </w:r>
      <w:r>
        <w:t xml:space="preserve"> "Corbin Dep.," "Findlay Dep.," "Hausman Dep.," "Rinaldi Dep.," "Prescott Dep.," and "Holt Dep." refer to the certified transcripts of the depositions taken on January 22, February 8, March 14, March 28, April 18, and May 2, 2024, respectively. "Torres Dep." refers to the deposition of Rebecca Torres. "Prescott Rpt." is the Expert Report of Dr. Elaine Prescott dated May 15, 2024. "Holt Rpt." is the Expert Report of Warren Holt dated June 14, 2024. "SJ Op." is the Court’s Memorandum Opinion and Order dated November 15, 2024. "Dep. Ex." refers to exhibit numbers marked at deposition. Those numbers differ from the trial exhibit numbers, and Section 8 cross-references the two.</w:t>
      </w:r>
    </w:p>
    <w:p>
      <w:pPr>
        <w:pStyle w:val="Heading1"/>
        <w:jc w:val="left"/>
      </w:pPr>
      <w:r>
        <w:rPr>
          <w:u w:val="single"/>
        </w:rPr>
        <w:t>SECTION 1 — JURISDICTIONAL STATEMENT (Proposed Joint)</w:t>
      </w:r>
    </w:p>
    <w:p>
      <w:pPr>
        <w:jc w:val="both"/>
      </w:pPr>
      <w:r>
        <w:rPr>
          <w:b/>
        </w:rPr>
        <w:t>Subject-matter jurisdiction.</w:t>
      </w:r>
      <w:r>
        <w:t xml:space="preserve"> The Court has subject-matter jurisdiction under 28 U.S.C. § 1332(a)(1). Complete diversity exists between the parties, and the amount in controversy exceeds $75,000, exclusive of interest and costs. </w:t>
      </w:r>
      <w:r>
        <w:rPr>
          <w:i/>
        </w:rPr>
        <w:t>See</w:t>
      </w:r>
      <w:r>
        <w:t xml:space="preserve"> SJ Op. § III (Court "exercises diversity jurisdiction pursuant to 28 U.S.C. § 1332").</w:t>
      </w:r>
    </w:p>
    <w:p>
      <w:pPr>
        <w:jc w:val="both"/>
      </w:pPr>
      <w:r>
        <w:rPr>
          <w:b/>
        </w:rPr>
        <w:t>Citizenship of Plaintiff.</w:t>
      </w:r>
      <w:r>
        <w:t xml:space="preserve"> Ridgeline is a corporation incorporated under the laws of the Commonwealth of Pennsylvania. Its principal place of business is 4500 Whitestown Road, Butler, Pennsylvania 16001. For diversity purposes, Ridgeline is a citizen of Pennsylvania only. 28 U.S.C. § 1332(c)(1).</w:t>
      </w:r>
    </w:p>
    <w:p>
      <w:pPr>
        <w:jc w:val="both"/>
      </w:pPr>
      <w:r>
        <w:rPr>
          <w:b/>
        </w:rPr>
        <w:t>Citizenship of Defendant.</w:t>
      </w:r>
      <w:r>
        <w:t xml:space="preserve"> Corbin Supply is a Delaware limited liability company with its principal offices at 1200 Tryon Tower, Suite 800, Charlotte, North Carolina 28202. For diversity purposes, a limited liability company takes the citizenship of each of its members. </w:t>
      </w:r>
      <w:r>
        <w:rPr>
          <w:i/>
        </w:rPr>
        <w:t>Zambelli Fireworks Mfg. Co. v. Wood</w:t>
      </w:r>
      <w:r>
        <w:t xml:space="preserve">, 592 F.3d 412, 420 (3d Cir. 2010). The parties will state in this Section the identity and citizenship of each member of Corbin Supply, including Theodore Corbin III, its Managing Member, and will confirm that no member is a citizen of Pennsylvania. </w:t>
      </w:r>
      <w:r>
        <w:rPr>
          <w:b/>
        </w:rPr>
        <w:t>[Defendant to provide its members’ identities and citizenship. Ridgeline asks Defendant to confirm that no member, including any member tracing through upstream entities, is a citizen of Pennsylvania.]</w:t>
      </w:r>
    </w:p>
    <w:p>
      <w:pPr>
        <w:jc w:val="both"/>
      </w:pPr>
      <w:r>
        <w:rPr>
          <w:b/>
        </w:rPr>
        <w:t>Amount in controversy.</w:t>
      </w:r>
      <w:r>
        <w:t xml:space="preserve"> Ridgeline seeks compensatory damages well above $75,000. The undisputed Minimum Annual Purchase Commitment ("MAPC") shortfalls alone total $4,010,000. Ridgeline’s damages claims are described in Sections 3 and 5.</w:t>
      </w:r>
    </w:p>
    <w:p>
      <w:pPr>
        <w:jc w:val="both"/>
      </w:pPr>
      <w:r>
        <w:rPr>
          <w:b/>
        </w:rPr>
        <w:t>Venue.</w:t>
      </w:r>
      <w:r>
        <w:t xml:space="preserve"> Venue is proper in this District under 28 U.S.C. § 1391(b)(2). A substantial part of the events giving rise to the claims occurred here: the November 9, 2020 presentation at Ridgeline’s Butler headquarters, the negotiation and execution of the EDA, and Ridgeline’s performance from Butler County. In addition, EDA § 14.5 provides that each party "irrevocably and unconditionally submits to the exclusive jurisdiction of the federal and state courts located in the Western District of Pennsylvania" and waives any venue or forum non conveniens objection.</w:t>
      </w:r>
    </w:p>
    <w:p>
      <w:pPr>
        <w:jc w:val="both"/>
      </w:pPr>
      <w:r>
        <w:rPr>
          <w:b/>
        </w:rPr>
        <w:t>Contest.</w:t>
      </w:r>
      <w:r>
        <w:t xml:space="preserve"> Ridgeline does not contest jurisdiction or venue. On information and belief, Defendant does not contest either. </w:t>
      </w:r>
      <w:r>
        <w:rPr>
          <w:b/>
        </w:rPr>
        <w:t>[Defendant to confirm.]</w:t>
      </w:r>
    </w:p>
    <w:p>
      <w:pPr>
        <w:pStyle w:val="Heading1"/>
        <w:jc w:val="left"/>
      </w:pPr>
      <w:r>
        <w:rPr>
          <w:u w:val="single"/>
        </w:rPr>
        <w:t>SECTION 2 — STIPULATED FACTS (Proposed by Plaintiff)</w:t>
      </w:r>
    </w:p>
    <w:p>
      <w:pPr>
        <w:jc w:val="both"/>
      </w:pPr>
      <w:r>
        <w:t>Ridgeline proposes the following stipulated facts. Each is drawn from the EDA, from Defendant’s admissions in its Responses to Plaintiff’s Statement of Material Facts (Def.’s Resp. to Pl.’s SMF ¶¶ 7, 16, 18–22), from the parties’ prior Joint Stipulation (ECF No. 71), from the Court’s November 15, 2024 ruling, or from sworn testimony that no party has contradicted. Ridgeline asks Defendant to identify any proposed stipulation it will not accept so that proof can be arranged. Ridgeline further asks that Stipulations 22 through 26 be read to the jury at the start of trial as facts established by the Court.</w:t>
      </w:r>
    </w:p>
    <w:p>
      <w:pPr>
        <w:pStyle w:val="Heading3"/>
      </w:pPr>
      <w:r>
        <w:t>A. The Parties</w:t>
      </w:r>
    </w:p>
    <w:p>
      <w:pPr>
        <w:ind w:left="432" w:hanging="432"/>
        <w:jc w:val="both"/>
      </w:pPr>
      <w:r>
        <w:t>1.  Plaintiff Ridgeline Manufacturing, Inc. is a Pennsylvania corporation formed in 1987 with its principal place of business at 4500 Whitestown Road, Butler, Pennsylvania 16001. It manufactures precision hydraulic cylinders, control valves, and pump assemblies for heavy-equipment original equipment manufacturers ("OEMs"). It employs approximately 310 people at two manufacturing facilities in Butler County, Pennsylvania.</w:t>
      </w:r>
    </w:p>
    <w:p>
      <w:pPr>
        <w:ind w:left="432" w:hanging="432"/>
        <w:jc w:val="both"/>
      </w:pPr>
      <w:r>
        <w:t>2.  Margaret ("Peggy") Hausman is Ridgeline’s founder and Chief Executive Officer. David Rinaldi has been Ridgeline’s General Counsel since 2015.</w:t>
      </w:r>
    </w:p>
    <w:p>
      <w:pPr>
        <w:ind w:left="432" w:hanging="432"/>
        <w:jc w:val="both"/>
      </w:pPr>
      <w:r>
        <w:t>3.  Defendant Corbin Supply Group, LLC is a Delaware limited liability company with its principal offices at 1200 Tryon Tower, Suite 800, Charlotte, North Carolina 28202. It is a national distributor of industrial components. Its fiscal year 2023 revenue was approximately $285 million.</w:t>
      </w:r>
    </w:p>
    <w:p>
      <w:pPr>
        <w:ind w:left="432" w:hanging="432"/>
        <w:jc w:val="both"/>
      </w:pPr>
      <w:r>
        <w:t>4.  Theodore ("Ted") Corbin III has been Corbin Supply’s Managing Member since 2012. Marcus Findlay has been Corbin Supply’s Vice President of Sales since 2018 and reports directly to Mr. Corbin III. Janine Koppel is Corbin Supply’s General Counsel.</w:t>
      </w:r>
    </w:p>
    <w:p>
      <w:pPr>
        <w:pStyle w:val="Heading3"/>
      </w:pPr>
      <w:r>
        <w:t>B. Pre-Contract Communications</w:t>
      </w:r>
    </w:p>
    <w:p>
      <w:pPr>
        <w:ind w:left="432" w:hanging="432"/>
        <w:jc w:val="both"/>
      </w:pPr>
      <w:r>
        <w:t>5.  The parties negotiated the terms of their distribution relationship from approximately September 2020 through February 2021. Mr. Corbin III was Corbin Supply’s lead negotiator.</w:t>
      </w:r>
    </w:p>
    <w:p>
      <w:pPr>
        <w:ind w:left="432" w:hanging="432"/>
        <w:jc w:val="both"/>
      </w:pPr>
      <w:r>
        <w:t>6.  On October 14, 2020, Mr. Corbin III sent Ms. Hausman an email (PX-002), copied to Mr. Findlay and Ms. Koppel, stating that "Corbin Supply has firm relationships with over 300 OEM service centers across the twelve-state southeastern territory."</w:t>
      </w:r>
    </w:p>
    <w:p>
      <w:pPr>
        <w:ind w:left="432" w:hanging="432"/>
        <w:jc w:val="both"/>
      </w:pPr>
      <w:r>
        <w:t>7.  On November 9, 2020, a Corbin Supply team led by Mr. Corbin III delivered a PowerPoint presentation (PX-003) to Ridgeline’s leadership at Ridgeline’s headquarters in Butler, Pennsylvania.</w:t>
      </w:r>
    </w:p>
    <w:p>
      <w:pPr>
        <w:ind w:left="432" w:hanging="432"/>
        <w:jc w:val="both"/>
      </w:pPr>
      <w:r>
        <w:t>8.  On December 3, 2020, Mr. Corbin III signed and sent Ms. Hausman a letter on Corbin Supply letterhead (PX-004). The letter proposed the MAPC schedule later incorporated into the EDA.</w:t>
      </w:r>
    </w:p>
    <w:p>
      <w:pPr>
        <w:ind w:left="432" w:hanging="432"/>
        <w:jc w:val="both"/>
      </w:pPr>
      <w:r>
        <w:t>9.  On February 12, 2021, Mr. Corbin III sent Ms. Hausman an email (PX-006), copied to Ms. Koppel, Mr. Rinaldi, and Mr. Findlay, stating that the draft EDA was "substantially acceptable to Corbin Supply."</w:t>
      </w:r>
    </w:p>
    <w:p>
      <w:pPr>
        <w:ind w:left="432" w:hanging="432"/>
        <w:jc w:val="both"/>
      </w:pPr>
      <w:r>
        <w:t>10.  On January 15, 2021, Mr. Findlay wrote an internal Corbin Supply memorandum (PX-007) addressed to "Senior Leadership." The Senior Leadership distribution list included Mr. Corbin III, Ms. Koppel, and Corbin Supply’s then-CFO, Harold Eastbrook. The memorandum was not provided to Ridgeline before the EDA was executed.</w:t>
      </w:r>
    </w:p>
    <w:p>
      <w:pPr>
        <w:pStyle w:val="Heading3"/>
      </w:pPr>
      <w:r>
        <w:t>C. The Exclusive Distribution Agreement</w:t>
      </w:r>
    </w:p>
    <w:p>
      <w:pPr>
        <w:ind w:left="432" w:hanging="432"/>
        <w:jc w:val="both"/>
      </w:pPr>
      <w:r>
        <w:t>11.  On March 1, 2021, Ridgeline and Corbin Supply executed the Exclusive Distribution Agreement, Contract No. CSG-RM-2021-0301 (PX-001). Ms. Hausman signed for Ridgeline and Mr. Corbin III signed for Corbin Supply. The EDA is a valid and enforceable contract containing all essential terms. (Jt. Stipulation ¶ 1, ECF No. 71.)</w:t>
      </w:r>
    </w:p>
    <w:p>
      <w:pPr>
        <w:ind w:left="432" w:hanging="432"/>
        <w:jc w:val="both"/>
      </w:pPr>
      <w:r>
        <w:t>12.  The EDA appointed Corbin Supply as the exclusive distributor of Ridgeline’s hydraulic product line in a twelve-state territory: Alabama, Arkansas, Florida, Georgia, Kentucky, Louisiana, Mississippi, North Carolina, South Carolina, Tennessee, Virginia, and West Virginia (EDA §§ 1.15, 2.1). The five-year term ran from March 1, 2021 through February 28, 2026 (EDA § 3.1).</w:t>
      </w:r>
    </w:p>
    <w:p>
      <w:pPr>
        <w:ind w:left="432" w:hanging="432"/>
        <w:jc w:val="both"/>
      </w:pPr>
      <w:r>
        <w:t>13.  EDA § 4.1 and Schedule B set these MAPCs: Year 1 (Mar. 1, 2021–Feb. 28, 2022), $6,000,000; Year 2 (Mar. 1, 2022–Feb. 28, 2023), $7,500,000; Year 3 (Mar. 1, 2023–Feb. 28, 2024), $9,000,000; Year 4 (Mar. 1, 2024–Feb. 28, 2025), $10,500,000; Year 5 (Mar. 1, 2025–Feb. 28, 2026), $12,000,000. The five-year total is $45,000,000.</w:t>
      </w:r>
    </w:p>
    <w:p>
      <w:pPr>
        <w:ind w:left="432" w:hanging="432"/>
        <w:jc w:val="both"/>
      </w:pPr>
      <w:r>
        <w:t>14.  In EDA § 6.2, Corbin Supply represented and warranted that, as of March 1, 2021, it (a) maintained active business relationships with not fewer than 300 OEM service centers in the Territory; (b) operated not fewer than 11 regional warehouses in the Territory, each with climate-controlled storage; and (c) employed not fewer than 42 dedicated sales representatives in the Territory whose primary responsibility was selling hydraulic products. Section 6.2 also states that these representations "are material to Manufacturer’s decision to enter into this Agreement." The EDA recitals restate the same three representations.</w:t>
      </w:r>
    </w:p>
    <w:p>
      <w:pPr>
        <w:ind w:left="432" w:hanging="432"/>
        <w:jc w:val="both"/>
      </w:pPr>
      <w:r>
        <w:t>15.  The EDA includes a cure-notice provision (§ 8.2), a remediation-plan requirement for MAPC shortfalls (§ 8.3), a termination-for-material-breach provision (§ 8.4), an anti-waiver clause (§ 8.5), a force majeure clause requiring written notice within 30 days of the event (§ 12.1), and a Pennsylvania choice-of-law clause (§ 14.5).</w:t>
      </w:r>
    </w:p>
    <w:p>
      <w:pPr>
        <w:pStyle w:val="Heading3"/>
      </w:pPr>
      <w:r>
        <w:t>D. Performance, Breach, and Termination</w:t>
      </w:r>
    </w:p>
    <w:p>
      <w:pPr>
        <w:ind w:left="432" w:hanging="432"/>
        <w:jc w:val="both"/>
      </w:pPr>
      <w:r>
        <w:t>16.  In Year 1, Corbin Supply purchased $5,120,000 of Ridgeline products, which was $880,000 below the $6,000,000 Year 1 MAPC. (Def.’s Resp. to Pl.’s SMF ¶ 18.)</w:t>
      </w:r>
    </w:p>
    <w:p>
      <w:pPr>
        <w:ind w:left="432" w:hanging="432"/>
        <w:jc w:val="both"/>
      </w:pPr>
      <w:r>
        <w:t>17.  On March 15, 2022, Ridgeline sent Corbin Supply a written cure notice under EDA § 8.2 (PX-014) identifying the Year 1 shortfall and requiring a remediation plan within 60 days. The cure period expired on May 14, 2022. Corbin Supply did not submit a written remediation plan, did not make supplemental purchases, and did not otherwise cure the breach. (Def.’s Resp. to Pl.’s SMF ¶¶ 19–20.)</w:t>
      </w:r>
    </w:p>
    <w:p>
      <w:pPr>
        <w:ind w:left="432" w:hanging="432"/>
        <w:jc w:val="both"/>
      </w:pPr>
      <w:r>
        <w:t>18.  In Year 2, Corbin Supply purchased $4,370,000 of Ridgeline products, which was $3,130,000 below the $7,500,000 Year 2 MAPC and $750,000 less than it purchased in Year 1. (Def.’s Resp. to Pl.’s SMF ¶ 21.)</w:t>
      </w:r>
    </w:p>
    <w:p>
      <w:pPr>
        <w:ind w:left="432" w:hanging="432"/>
        <w:jc w:val="both"/>
      </w:pPr>
      <w:r>
        <w:t>19.  The combined Year 1 and Year 2 MAPC shortfall is $4,010,000.</w:t>
      </w:r>
    </w:p>
    <w:p>
      <w:pPr>
        <w:ind w:left="432" w:hanging="432"/>
        <w:jc w:val="both"/>
      </w:pPr>
      <w:r>
        <w:t>20.  On March 10, 2023, Ridgeline terminated the EDA under § 8.4, effective immediately (PX-017). Ridgeline filed this action the same day. (Def.’s Resp. to Pl.’s SMF ¶ 22.)</w:t>
      </w:r>
    </w:p>
    <w:p>
      <w:pPr>
        <w:ind w:left="432" w:hanging="432"/>
        <w:jc w:val="both"/>
      </w:pPr>
      <w:r>
        <w:t>21.  Corbin Supply never gave Ridgeline written notice invoking the force majeure provision in EDA § 12.1. (Corbin Dep. 92:1–97:15; Rinaldi Dep. 78:2–81:14.)</w:t>
      </w:r>
    </w:p>
    <w:p>
      <w:pPr>
        <w:pStyle w:val="Heading3"/>
      </w:pPr>
      <w:r>
        <w:t>E. Facts Established by the Court’s November 15, 2024 Ruling (to be read to the jury)</w:t>
      </w:r>
    </w:p>
    <w:p>
      <w:pPr>
        <w:ind w:left="432" w:hanging="432"/>
        <w:jc w:val="both"/>
      </w:pPr>
      <w:r>
        <w:t>22.  The Court has determined as a matter of law that Corbin Supply breached the MAPC provisions of the EDA in Contract Year 1 and Contract Year 2.</w:t>
      </w:r>
    </w:p>
    <w:p>
      <w:pPr>
        <w:ind w:left="432" w:hanging="432"/>
        <w:jc w:val="both"/>
      </w:pPr>
      <w:r>
        <w:t>23.  The Court has determined as a matter of law that Ridgeline properly issued its cure notice and properly terminated the EDA under § 8.4.</w:t>
      </w:r>
    </w:p>
    <w:p>
      <w:pPr>
        <w:ind w:left="432" w:hanging="432"/>
        <w:jc w:val="both"/>
      </w:pPr>
      <w:r>
        <w:t>24.  The Court has determined as a matter of law that Ridgeline did not waive its rights under the EDA, and that Corbin Supply’s defenses of waiver and unclean hands to the breach-of-contract claim fail.</w:t>
      </w:r>
    </w:p>
    <w:p>
      <w:pPr>
        <w:ind w:left="432" w:hanging="432"/>
        <w:jc w:val="both"/>
      </w:pPr>
      <w:r>
        <w:t>25.  Liability on Count I is established. The jury will determine only the amount of Ridgeline’s damages on Count I.</w:t>
      </w:r>
    </w:p>
    <w:p>
      <w:pPr>
        <w:ind w:left="432" w:hanging="432"/>
        <w:jc w:val="both"/>
      </w:pPr>
      <w:r>
        <w:t>26.  The Court has not decided Count II (fraudulent inducement). It remains for the jury on all elements.</w:t>
      </w:r>
    </w:p>
    <w:p>
      <w:pPr>
        <w:pStyle w:val="Heading3"/>
      </w:pPr>
      <w:r>
        <w:t>F. Reliance Expenditures and Mitigation</w:t>
      </w:r>
    </w:p>
    <w:p>
      <w:pPr>
        <w:ind w:left="432" w:hanging="432"/>
        <w:jc w:val="both"/>
      </w:pPr>
      <w:r>
        <w:t>27.  On June 1, 2021, Ridgeline entered into a 36-month Commercial Lease Agreement with Hargrove Logistics, Inc. (PX-018) for a shipping hub at 2280 Industrial Parkway, Greenville, South Carolina 29607. The term ran from June 1, 2021 through May 31, 2024 at $51,388.89 per month, for Total Rent of $1,850,000.00 (Lease §§ 2.1, 3.1, 3.2). The lease recitals state that Ridgeline required the facility to fulfill its obligations under the EDA.</w:t>
      </w:r>
    </w:p>
    <w:p>
      <w:pPr>
        <w:ind w:left="432" w:hanging="432"/>
        <w:jc w:val="both"/>
      </w:pPr>
      <w:r>
        <w:t>28.  Of the Total Rent, approximately $770,833.35 represents the fifteen months of rent from March 2023 through May 2024, the period remaining after termination of the EDA.</w:t>
      </w:r>
    </w:p>
    <w:p>
      <w:pPr>
        <w:ind w:left="432" w:hanging="432"/>
        <w:jc w:val="both"/>
      </w:pPr>
      <w:r>
        <w:t>29.  Ridgeline purchased specialized packaging equipment for the Greenville facility at a cost of $475,000 (PX-021).</w:t>
      </w:r>
    </w:p>
    <w:p>
      <w:pPr>
        <w:ind w:left="432" w:hanging="432"/>
        <w:jc w:val="both"/>
      </w:pPr>
      <w:r>
        <w:t>30.  Ridgeline engaged Allegheny Industrial Partners, LLC as its replacement distributor for the Territory under a distribution agreement effective September 1, 2023 (PX-025).</w:t>
      </w:r>
    </w:p>
    <w:p>
      <w:pPr>
        <w:pStyle w:val="Heading1"/>
        <w:jc w:val="left"/>
      </w:pPr>
      <w:r>
        <w:rPr>
          <w:u w:val="single"/>
        </w:rPr>
        <w:t>SECTION 3 — PLAINTIFF’S CONTESTED FACTUAL ISSUES</w:t>
      </w:r>
    </w:p>
    <w:p>
      <w:pPr>
        <w:jc w:val="both"/>
      </w:pPr>
      <w:r>
        <w:t>Ridgeline contends that the jury must resolve the following factual issues. For each issue, Ridgeline states (a) the factual proposition, (b) the supporting record evidence, and (c) why the issue is material. Issues 1 through 8 concern Count II (fraudulent inducement), including Defendant’s statute-of-limitations defense. Issues 9 through 13 concern damages on Count I and Count II and Defendant’s mitigation defense. Issue 14 concerns Defendant’s force majeure defense, to the extent the Court allows it to reach the jury.</w:t>
      </w:r>
    </w:p>
    <w:p>
      <w:pPr>
        <w:pStyle w:val="Heading3"/>
      </w:pPr>
      <w:r>
        <w:t>Issue 1: Corbin Supply represented three specific, quantified capabilities as existing facts</w:t>
      </w:r>
    </w:p>
    <w:p>
      <w:pPr>
        <w:jc w:val="both"/>
      </w:pPr>
      <w:r>
        <w:rPr>
          <w:b/>
        </w:rPr>
        <w:t>(a) Factual proposition.</w:t>
      </w:r>
      <w:r>
        <w:t xml:space="preserve"> Before the EDA was signed, Corbin Supply, through Mr. Corbin III, told Ridgeline as present facts, not goals or projections, that Corbin Supply (i) had "firm relationships with over 300 OEM service centers" in the Territory; (ii) operated 11 regional warehouses in the Territory, all "Operational" and "Climate-Controlled"; and (iii) employed 42 "dedicated" hydraulic territory representatives who would "focus exclusively" on the Ridgeline line. Corbin Supply repeated these representations after its own Vice President of Sales had documented in writing that they were not accurate, and it then restated them as warranties in the EDA.</w:t>
      </w:r>
    </w:p>
    <w:p>
      <w:pPr>
        <w:jc w:val="both"/>
      </w:pPr>
      <w:r>
        <w:rPr>
          <w:b/>
        </w:rPr>
        <w:t>(b) Supporting evidence.</w:t>
      </w:r>
    </w:p>
    <w:p>
      <w:pPr>
        <w:spacing w:after="60"/>
        <w:ind w:left="720" w:hanging="288"/>
        <w:jc w:val="both"/>
      </w:pPr>
      <w:r>
        <w:t>•  PX-002 (Oct. 14, 2020 email): "firm relationships with over 300 OEM service centers . . . . These are active, purchasing accounts that we service on a regular call cycle."</w:t>
      </w:r>
    </w:p>
    <w:p>
      <w:pPr>
        <w:spacing w:after="60"/>
        <w:ind w:left="720" w:hanging="288"/>
        <w:jc w:val="both"/>
      </w:pPr>
      <w:r>
        <w:t>•  PX-003 (Nov. 9, 2020 presentation): Slide 4 ("11 Regional Warehouses . . . All facilities equipped with full cold-chain and climate-controlled storage"); Slide 5 (lists all 11 warehouses by city, each labeled "Operational | Climate-Controlled"); Slide 7 ("42 Dedicated Hydraulic Territory Representatives . . . Specialized exclusively in hydraulic components"); Slides 8 and 11 ("Firm relationships with over 300 OEM service centers"); Slide 15.</w:t>
      </w:r>
    </w:p>
    <w:p>
      <w:pPr>
        <w:spacing w:after="60"/>
        <w:ind w:left="720" w:hanging="288"/>
        <w:jc w:val="both"/>
      </w:pPr>
      <w:r>
        <w:t>•  PX-004 (Dec. 3, 2020 letter): "Corbin Supply maintains 11 regional warehouses . . . each equipped with full cold-chain and climate-controlled storage"; "Our dedicated hydraulic sales force consists of 42 territory representatives . . . . This sales force is separate from our general industrial distribution team"; "These are not dormant accounts or legacy entries in a database. These are purchasing customers."</w:t>
      </w:r>
    </w:p>
    <w:p>
      <w:pPr>
        <w:spacing w:after="60"/>
        <w:ind w:left="720" w:hanging="288"/>
        <w:jc w:val="both"/>
      </w:pPr>
      <w:r>
        <w:t>•  PX-006 (Feb. 12, 2021 email): "With our 300-plus service center relationships and our dedicated 42-person hydraulic sales team, we are well-positioned to exceed the minimum purchase targets."</w:t>
      </w:r>
    </w:p>
    <w:p>
      <w:pPr>
        <w:spacing w:after="60"/>
        <w:ind w:left="720" w:hanging="288"/>
        <w:jc w:val="both"/>
      </w:pPr>
      <w:r>
        <w:t>•  PX-001 (EDA), Recitals and § 6.2(a)–(c) (representations and warranties "as of the Effective Date").</w:t>
      </w:r>
    </w:p>
    <w:p>
      <w:pPr>
        <w:spacing w:after="60"/>
        <w:ind w:left="720" w:hanging="288"/>
        <w:jc w:val="both"/>
      </w:pPr>
      <w:r>
        <w:t>•  Corbin Dep. 45:3–68:14 (admits sending PX-002 and signing PX-004; concedes the email said "firm relationships," not "prospects"; concedes Slide 4 "didn’t say ‘plans’"); Corbin Dep. 72:8–86:19.</w:t>
      </w:r>
    </w:p>
    <w:p>
      <w:pPr>
        <w:spacing w:after="60"/>
        <w:ind w:left="720" w:hanging="288"/>
        <w:jc w:val="both"/>
      </w:pPr>
      <w:r>
        <w:t>•  Hausman Dep. 18:4–38:22; Rinaldi Dep. 10:8–27:15.</w:t>
      </w:r>
    </w:p>
    <w:p>
      <w:pPr>
        <w:jc w:val="both"/>
      </w:pPr>
      <w:r>
        <w:rPr>
          <w:b/>
        </w:rPr>
        <w:t>(c) Materiality.</w:t>
      </w:r>
      <w:r>
        <w:t xml:space="preserve"> This issue establishes the "representation" element of fraudulent inducement. </w:t>
      </w:r>
      <w:r>
        <w:rPr>
          <w:i/>
        </w:rPr>
        <w:t>Gibbs v. Ernst</w:t>
      </w:r>
      <w:r>
        <w:t>, 647 A.2d 882, 889 (Pa. 1994). Corbin Supply contends the statements were "aspirational" or forward-looking (SJ Op. § IV.C.3). Whether they were statements of existing fact is disputed and must be decided by the jury.</w:t>
      </w:r>
    </w:p>
    <w:p>
      <w:pPr>
        <w:pStyle w:val="Heading3"/>
      </w:pPr>
      <w:r>
        <w:t>Issue 2: The representations were false when made and when the EDA was signed</w:t>
      </w:r>
    </w:p>
    <w:p>
      <w:pPr>
        <w:jc w:val="both"/>
      </w:pPr>
      <w:r>
        <w:rPr>
          <w:b/>
        </w:rPr>
        <w:t>(a) Factual proposition.</w:t>
      </w:r>
      <w:r>
        <w:t xml:space="preserve"> When the representations were made, and again on March 1, 2021, Corbin Supply had (i) 187 active OEM service center accounts in the Territory, not "over 300"; (ii) 7 fully operational warehouses with dedicated climate control, not 11 (two sites were still under lease negotiation, and two were shared third-party spaces without dedicated climate control); and (iii) 23 representatives assigned to hydraulic products on a primary or exclusive basis, not 42. The other 19 representatives sold fasteners, seals, and gaskets, and they were never meaningfully redeployed to hydraulic sales during Years 1 or 2.</w:t>
      </w:r>
    </w:p>
    <w:p>
      <w:pPr>
        <w:jc w:val="both"/>
      </w:pPr>
      <w:r>
        <w:rPr>
          <w:b/>
        </w:rPr>
        <w:t>(b) Supporting evidence.</w:t>
      </w:r>
    </w:p>
    <w:p>
      <w:pPr>
        <w:spacing w:after="60"/>
        <w:ind w:left="720" w:hanging="288"/>
        <w:jc w:val="both"/>
      </w:pPr>
      <w:r>
        <w:t>•  PX-008 (Corbin Supply CRM export, Dep. Ex. 23) (187 accounts with "active" status); PX-009 (warehouse status report); PX-010 (sales-force roster, Dep. Ex. 24) (23 hydraulic representatives).</w:t>
      </w:r>
    </w:p>
    <w:p>
      <w:pPr>
        <w:spacing w:after="60"/>
        <w:ind w:left="720" w:hanging="288"/>
        <w:jc w:val="both"/>
      </w:pPr>
      <w:r>
        <w:t>•  PX-007 (Findlay Memo) § 3.1 ("187 OEM service centers . . . . I recognize that our external materials reference over 300"; the 300-plus figure included lapsed accounts, unconverted prospects, and third-party sub-distributor relationships); § 3.2 (7 operational warehouses, of which only 5 had full climate control); § 3.3 ("dedicated hydraulic sales force currently consists of 23 territory representatives").</w:t>
      </w:r>
    </w:p>
    <w:p>
      <w:pPr>
        <w:spacing w:after="60"/>
        <w:ind w:left="720" w:hanging="288"/>
        <w:jc w:val="both"/>
      </w:pPr>
      <w:r>
        <w:t>•  Findlay Dep. 48:7–64:21 (7 warehouses; 23 representatives; the 19 others "weren’t dedicated to hydraulics" and redeployment "never happened in a meaningful way").</w:t>
      </w:r>
    </w:p>
    <w:p>
      <w:pPr>
        <w:spacing w:after="60"/>
        <w:ind w:left="720" w:hanging="288"/>
        <w:jc w:val="both"/>
      </w:pPr>
      <w:r>
        <w:t>•  Corbin Dep. 45:3–68:14 (7 warehouses is "approximately correct"; does not dispute 7 as of March 1, 2021; does not dispute 23 from the roster; 187 "in the ‘active’ category").</w:t>
      </w:r>
    </w:p>
    <w:p>
      <w:pPr>
        <w:jc w:val="both"/>
      </w:pPr>
      <w:r>
        <w:rPr>
          <w:b/>
        </w:rPr>
        <w:t>(c) Materiality.</w:t>
      </w:r>
      <w:r>
        <w:t xml:space="preserve"> This issue establishes falsity, the third element of </w:t>
      </w:r>
      <w:r>
        <w:rPr>
          <w:i/>
        </w:rPr>
        <w:t>Gibbs</w:t>
      </w:r>
      <w:r>
        <w:t>, 647 A.2d at 889. It also rebuts Corbin Supply’s "aspirational" defense: its own records show the numbers were not true on the dates it made the representations.</w:t>
      </w:r>
    </w:p>
    <w:p>
      <w:pPr>
        <w:pStyle w:val="Heading3"/>
      </w:pPr>
      <w:r>
        <w:t>Issue 3: Corbin Supply made the representations knowingly or with reckless disregard for their truth</w:t>
      </w:r>
    </w:p>
    <w:p>
      <w:pPr>
        <w:jc w:val="both"/>
      </w:pPr>
      <w:r>
        <w:rPr>
          <w:b/>
        </w:rPr>
        <w:t>(a) Factual proposition.</w:t>
      </w:r>
      <w:r>
        <w:t xml:space="preserve"> Mr. Corbin III and Corbin Supply knew the representations were false, or made them recklessly without regard to their truth. Mr. Corbin III personally ran the negotiations and helped prepare the November 9 presentation. He received the Findlay Memo, read it, and discussed it with Mr. Findlay in late January 2021. He then reaffirmed the 300-plus and 42-representative figures to Ms. Hausman on February 12, 2021, and signed the EDA warranting those figures on March 1, 2021. Mr. Findlay, who had the true figures, was copied on the October 14, 2020 email and on the later correspondence and never corrected them.</w:t>
      </w:r>
    </w:p>
    <w:p>
      <w:pPr>
        <w:jc w:val="both"/>
      </w:pPr>
      <w:r>
        <w:rPr>
          <w:b/>
        </w:rPr>
        <w:t>(b) Supporting evidence.</w:t>
      </w:r>
    </w:p>
    <w:p>
      <w:pPr>
        <w:spacing w:after="60"/>
        <w:ind w:left="720" w:hanging="288"/>
        <w:jc w:val="both"/>
      </w:pPr>
      <w:r>
        <w:t>•  PX-007 (Findlay Memo) at Closing: "our external negotiations should continue to reflect our full capabilities and market position"; § 3.1 (acknowledging that "external materials reference over 300").</w:t>
      </w:r>
    </w:p>
    <w:p>
      <w:pPr>
        <w:spacing w:after="60"/>
        <w:ind w:left="720" w:hanging="288"/>
        <w:jc w:val="both"/>
      </w:pPr>
      <w:r>
        <w:t>•  Findlay Dep. 22:3–44:18 (Mr. Corbin III "said he’d seen the memo," discussed it with Findlay in late January 2021 "before the contract was signed," and did not direct that the concerns be shared with Ridgeline); Findlay Dep. 48:7–64:21 (the presentation was prepared by "Ted and our marketing team").</w:t>
      </w:r>
    </w:p>
    <w:p>
      <w:pPr>
        <w:spacing w:after="60"/>
        <w:ind w:left="720" w:hanging="288"/>
        <w:jc w:val="both"/>
      </w:pPr>
      <w:r>
        <w:t>•  Corbin Dep. 72:8–86:19 (he is on the Senior Leadership list; Findlay reports to him; "I don’t deny that it was sent to me"; he "may have seen it"). The Findlay testimony directly contradicts this testimony, and Ridgeline will offer it for impeachment.</w:t>
      </w:r>
    </w:p>
    <w:p>
      <w:pPr>
        <w:spacing w:after="60"/>
        <w:ind w:left="720" w:hanging="288"/>
        <w:jc w:val="both"/>
      </w:pPr>
      <w:r>
        <w:t>•  PX-002 (cc: Findlay and Koppel); PX-006 (Feb. 12, 2021, four weeks after the Findlay Memo, reaffirming "300-plus" and "dedicated 42-person hydraulic sales team").</w:t>
      </w:r>
    </w:p>
    <w:p>
      <w:pPr>
        <w:spacing w:after="60"/>
        <w:ind w:left="720" w:hanging="288"/>
        <w:jc w:val="both"/>
      </w:pPr>
      <w:r>
        <w:t>•  The size of the discrepancies: the service center count was overstated by about 60% (113 accounts), the warehouse count by 4 of 11, and the dedicated sales force by about 83% (19 representatives). SJ Op. § II.E.</w:t>
      </w:r>
    </w:p>
    <w:p>
      <w:pPr>
        <w:jc w:val="both"/>
      </w:pPr>
      <w:r>
        <w:rPr>
          <w:b/>
        </w:rPr>
        <w:t>(c) Materiality.</w:t>
      </w:r>
      <w:r>
        <w:t xml:space="preserve"> Scienter is the central contested element of Count II. The Court found it to be a genuine jury question. SJ Op. §§ IV.C.3, IV.D. Ridgeline must prove it by clear and convincing evidence. </w:t>
      </w:r>
      <w:r>
        <w:rPr>
          <w:i/>
        </w:rPr>
        <w:t>Gibbs</w:t>
      </w:r>
      <w:r>
        <w:t>, 647 A.2d at 889–90. The Findlay deposition testimony that Mr. Corbin III read and discussed the memo before signing was not addressed in the summary judgment record as the Court described it, and it bears directly on this issue.</w:t>
      </w:r>
    </w:p>
    <w:p>
      <w:pPr>
        <w:pStyle w:val="Heading3"/>
      </w:pPr>
      <w:r>
        <w:t>Issue 4: Corbin Supply intended Ridgeline to rely on the representations and did not intend to perform as represented</w:t>
      </w:r>
    </w:p>
    <w:p>
      <w:pPr>
        <w:jc w:val="both"/>
      </w:pPr>
      <w:r>
        <w:rPr>
          <w:b/>
        </w:rPr>
        <w:t>(a) Factual proposition.</w:t>
      </w:r>
      <w:r>
        <w:t xml:space="preserve"> Corbin Supply made the representations so that Ridgeline would grant exclusivity and accept Corbin Supply’s own proposed MAPC schedule. Mr. Corbin III proposed that schedule himself, calling the minimums "conservative targets given our market penetration." Internally, Corbin Supply projected Year 1 purchases of only $4.5–$5.5 million, directed that operational resources not be committed to the $6.0 million contractual figure, valued the Ridgeline line mainly as a door-opener for cross-selling fasteners, and planned to "renegotiate or exit after year one."</w:t>
      </w:r>
    </w:p>
    <w:p>
      <w:pPr>
        <w:jc w:val="both"/>
      </w:pPr>
      <w:r>
        <w:rPr>
          <w:b/>
        </w:rPr>
        <w:t>(b) Supporting evidence.</w:t>
      </w:r>
    </w:p>
    <w:p>
      <w:pPr>
        <w:spacing w:after="60"/>
        <w:ind w:left="720" w:hanging="288"/>
        <w:jc w:val="both"/>
      </w:pPr>
      <w:r>
        <w:t>•  PX-004 (Corbin Supply proposes the MAPC schedule; "I characterize these as conservative targets"); PX-003 Slide 13 ("Conservative targets based on our 300+ service center network demand analysis"); PX-006 ("I view the Year 1 commitment of $6.0 million as a floor, not a ceiling").</w:t>
      </w:r>
    </w:p>
    <w:p>
      <w:pPr>
        <w:spacing w:after="60"/>
        <w:ind w:left="720" w:hanging="288"/>
        <w:jc w:val="both"/>
      </w:pPr>
      <w:r>
        <w:t>•  PX-007 § 2 ("These minimums are aggressive but we need the line to cross-sell our fastener inventory. We can renegotiate or exit after year one if hydraulic margins don’t hit 18%"); § 4; § 5, Rec. 5 ("a realistic Year 1 purchase target is $4.5–$5.5 million . . . . We should . . . not commit operational resources based on the $6.0 million contractual figure").</w:t>
      </w:r>
    </w:p>
    <w:p>
      <w:pPr>
        <w:spacing w:after="60"/>
        <w:ind w:left="720" w:hanging="288"/>
        <w:jc w:val="both"/>
      </w:pPr>
      <w:r>
        <w:t>•  Findlay Dep. 22:3–44:18 ("I didn’t think we could hit those numbers in the first two years"); Corbin Dep. 72:8–86:19.</w:t>
      </w:r>
    </w:p>
    <w:p>
      <w:pPr>
        <w:spacing w:after="60"/>
        <w:ind w:left="720" w:hanging="288"/>
        <w:jc w:val="both"/>
      </w:pPr>
      <w:r>
        <w:t>•  Findlay Dep. 71:3–78:15 (Year 1 tracking at about $4.8 million annualized by November 2021, consistent with the internal pre-signing forecast).</w:t>
      </w:r>
    </w:p>
    <w:p>
      <w:pPr>
        <w:jc w:val="both"/>
      </w:pPr>
      <w:r>
        <w:rPr>
          <w:b/>
        </w:rPr>
        <w:t>(c) Materiality.</w:t>
      </w:r>
      <w:r>
        <w:t xml:space="preserve"> This issue goes to the fourth </w:t>
      </w:r>
      <w:r>
        <w:rPr>
          <w:i/>
        </w:rPr>
        <w:t>Gibbs</w:t>
      </w:r>
      <w:r>
        <w:t xml:space="preserve"> element (intent to mislead another into relying). It also rebuts any claim that the MAPC shortfalls were caused by unforeseen market conditions.</w:t>
      </w:r>
    </w:p>
    <w:p>
      <w:pPr>
        <w:pStyle w:val="Heading3"/>
      </w:pPr>
      <w:r>
        <w:t>Issue 5: The representations were material to Ridgeline’s decision to enter the EDA and to the MAPC levels</w:t>
      </w:r>
    </w:p>
    <w:p>
      <w:pPr>
        <w:jc w:val="both"/>
      </w:pPr>
      <w:r>
        <w:rPr>
          <w:b/>
        </w:rPr>
        <w:t>(a) Factual proposition.</w:t>
      </w:r>
      <w:r>
        <w:t xml:space="preserve"> A reasonable manufacturer would treat Corbin Supply’s service-center reach, warehouse network, and dedicated sales force as important in deciding whether to grant a five-year exclusive in twelve states. Ridgeline did treat them that way. Ridgeline’s acceptance of the MAPC schedule, its grant of exclusivity, and its southeastern capital commitments all depended on those capabilities.</w:t>
      </w:r>
    </w:p>
    <w:p>
      <w:pPr>
        <w:jc w:val="both"/>
      </w:pPr>
      <w:r>
        <w:rPr>
          <w:b/>
        </w:rPr>
        <w:t>(b) Supporting evidence.</w:t>
      </w:r>
    </w:p>
    <w:p>
      <w:pPr>
        <w:spacing w:after="60"/>
        <w:ind w:left="720" w:hanging="288"/>
        <w:jc w:val="both"/>
      </w:pPr>
      <w:r>
        <w:t>•  PX-001 § 6.2 (the representations "are material to Manufacturer’s decision to enter into this Agreement and to Manufacturer’s planned capital investments"); PX-001 Recitals ("Manufacturer would not enter into this Agreement absent such representations").</w:t>
      </w:r>
    </w:p>
    <w:p>
      <w:pPr>
        <w:spacing w:after="60"/>
        <w:ind w:left="720" w:hanging="288"/>
        <w:jc w:val="both"/>
      </w:pPr>
      <w:r>
        <w:t>•  Hausman Dep. 18:4–38:22 (the representations were "central to my decision"; "If they only had 187 accounts . . . those minimum purchase levels were always going to be out of reach").</w:t>
      </w:r>
    </w:p>
    <w:p>
      <w:pPr>
        <w:spacing w:after="60"/>
        <w:ind w:left="720" w:hanging="288"/>
        <w:jc w:val="both"/>
      </w:pPr>
      <w:r>
        <w:t>•  Rinaldi Dep. 10:8–27:15 (Ridgeline evaluated the Year 1 MAPC at roughly $20,000 per account across 300 accounts).</w:t>
      </w:r>
    </w:p>
    <w:p>
      <w:pPr>
        <w:spacing w:after="60"/>
        <w:ind w:left="720" w:hanging="288"/>
        <w:jc w:val="both"/>
      </w:pPr>
      <w:r>
        <w:t>•  PX-024 (Oct. 19, 2020 Hausman memorandum) ("If their numbers are accurate — 300-plus active service center accounts . . . this could be transformative"; "The economics only work if we have a distribution partner with the scale Corbin Supply is claiming").</w:t>
      </w:r>
    </w:p>
    <w:p>
      <w:pPr>
        <w:jc w:val="both"/>
      </w:pPr>
      <w:r>
        <w:rPr>
          <w:b/>
        </w:rPr>
        <w:t>(c) Materiality.</w:t>
      </w:r>
      <w:r>
        <w:t xml:space="preserve"> This issue establishes the materiality element of </w:t>
      </w:r>
      <w:r>
        <w:rPr>
          <w:i/>
        </w:rPr>
        <w:t>Gibbs</w:t>
      </w:r>
      <w:r>
        <w:t>, 647 A.2d at 889.</w:t>
      </w:r>
    </w:p>
    <w:p>
      <w:pPr>
        <w:pStyle w:val="Heading3"/>
      </w:pPr>
      <w:r>
        <w:t>Issue 6: Ridgeline justifiably relied on the representations</w:t>
      </w:r>
    </w:p>
    <w:p>
      <w:pPr>
        <w:jc w:val="both"/>
      </w:pPr>
      <w:r>
        <w:rPr>
          <w:b/>
        </w:rPr>
        <w:t>(a) Factual proposition.</w:t>
      </w:r>
      <w:r>
        <w:t xml:space="preserve"> Ridgeline actually and justifiably relied on the representations. They were specific, quantified, written, and repeated by the Managing Member of a company with $285 million in revenue. When Ridgeline sought corroborating information, Corbin Supply declined to provide audited financials. Ridgeline then protected itself in the way sophisticated commercial parties customarily do, by requiring that the representations be made as express warranties in the EDA. Independent verification of hundreds of third-party customer relationships was not practical.</w:t>
      </w:r>
    </w:p>
    <w:p>
      <w:pPr>
        <w:jc w:val="both"/>
      </w:pPr>
      <w:r>
        <w:rPr>
          <w:b/>
        </w:rPr>
        <w:t>(b) Supporting evidence.</w:t>
      </w:r>
    </w:p>
    <w:p>
      <w:pPr>
        <w:spacing w:after="60"/>
        <w:ind w:left="720" w:hanging="288"/>
        <w:jc w:val="both"/>
      </w:pPr>
      <w:r>
        <w:t>•  Rinaldi Dep. 10:8–27:15 ("These were specific, quantified representations from the Managing Member of a $285 million company. We had no reason to disbelieve them").</w:t>
      </w:r>
    </w:p>
    <w:p>
      <w:pPr>
        <w:spacing w:after="60"/>
        <w:ind w:left="720" w:hanging="288"/>
        <w:jc w:val="both"/>
      </w:pPr>
      <w:r>
        <w:t>•  Testimony of Mr. Rinaldi that Ridgeline requested audited financial statements and warehouse data in October 2020, and that Corbin Supply’s General Counsel declined to provide audited financials (to be elicited at trial).</w:t>
      </w:r>
    </w:p>
    <w:p>
      <w:pPr>
        <w:spacing w:after="60"/>
        <w:ind w:left="720" w:hanging="288"/>
        <w:jc w:val="both"/>
      </w:pPr>
      <w:r>
        <w:t>•  PX-001 § 6.2 and Recitals; § 11.1 (reliance damages excluded from the limitation of liability).</w:t>
      </w:r>
    </w:p>
    <w:p>
      <w:pPr>
        <w:spacing w:after="60"/>
        <w:ind w:left="720" w:hanging="288"/>
        <w:jc w:val="both"/>
      </w:pPr>
      <w:r>
        <w:t xml:space="preserve">•  Hausman Dep. 18:4–38:22; Hausman Dep. 42:6–58:19. </w:t>
      </w:r>
      <w:r>
        <w:rPr>
          <w:i/>
        </w:rPr>
        <w:t>See</w:t>
      </w:r>
      <w:r>
        <w:t xml:space="preserve"> SJ Op. § IV.D (reasonable jury could find justifiable reliance).</w:t>
      </w:r>
    </w:p>
    <w:p>
      <w:pPr>
        <w:jc w:val="both"/>
      </w:pPr>
      <w:r>
        <w:rPr>
          <w:b/>
        </w:rPr>
        <w:t>(c) Materiality.</w:t>
      </w:r>
      <w:r>
        <w:t xml:space="preserve"> This issue establishes the fifth </w:t>
      </w:r>
      <w:r>
        <w:rPr>
          <w:i/>
        </w:rPr>
        <w:t>Gibbs</w:t>
      </w:r>
      <w:r>
        <w:t xml:space="preserve"> element. Corbin Supply is expected to argue that Ridgeline’s due diligence was inadequate, which the Court identified as a jury question. SJ Op. § IV.D.</w:t>
      </w:r>
    </w:p>
    <w:p>
      <w:pPr>
        <w:pStyle w:val="Heading3"/>
      </w:pPr>
      <w:r>
        <w:t>Issue 7: Ridgeline’s reliance proximately caused its reliance losses</w:t>
      </w:r>
    </w:p>
    <w:p>
      <w:pPr>
        <w:jc w:val="both"/>
      </w:pPr>
      <w:r>
        <w:rPr>
          <w:b/>
        </w:rPr>
        <w:t>(a) Factual proposition.</w:t>
      </w:r>
      <w:r>
        <w:t xml:space="preserve"> Because of its reliance on the representations, Ridgeline entered the EDA and made two expenditures it would not otherwise have made: (i) the $1,850,000 Greenville shipping hub lease, and (ii) $475,000 in custom packaging equipment configured for Corbin Supply’s warehouse network. Corbin Supply knew before signing that Ridgeline was planning a Greenville shipping facility. The packaging equipment had no alternative use and has been written off.</w:t>
      </w:r>
    </w:p>
    <w:p>
      <w:pPr>
        <w:jc w:val="both"/>
      </w:pPr>
      <w:r>
        <w:rPr>
          <w:b/>
        </w:rPr>
        <w:t>(b) Supporting evidence.</w:t>
      </w:r>
    </w:p>
    <w:p>
      <w:pPr>
        <w:spacing w:after="60"/>
        <w:ind w:left="720" w:hanging="288"/>
        <w:jc w:val="both"/>
      </w:pPr>
      <w:r>
        <w:t>•  PX-005 (Jan. 8, 2021 email to Corbin Supply: "Ridgeline is already exploring options for a dedicated southeastern shipping facility . . . in the Greenville, South Carolina area").</w:t>
      </w:r>
    </w:p>
    <w:p>
      <w:pPr>
        <w:spacing w:after="60"/>
        <w:ind w:left="720" w:hanging="288"/>
        <w:jc w:val="both"/>
      </w:pPr>
      <w:r>
        <w:t>•  PX-018 (Lease recitals tying the facility to the EDA and to "Corbin Supply’s regional warehouse network"); PX-019 (rent payments); PX-021, PX-022 (equipment invoices and write-off records); PX-023 (internal approval memorandum).</w:t>
      </w:r>
    </w:p>
    <w:p>
      <w:pPr>
        <w:spacing w:after="60"/>
        <w:ind w:left="720" w:hanging="288"/>
        <w:jc w:val="both"/>
      </w:pPr>
      <w:r>
        <w:t>•  Hausman Dep. 42:6–58:19 ("We had no business reason to be in Greenville without the Corbin Supply relationship"; the equipment "wasn’t compatible with our existing packaging lines. We’ve written it off").</w:t>
      </w:r>
    </w:p>
    <w:p>
      <w:pPr>
        <w:spacing w:after="60"/>
        <w:ind w:left="720" w:hanging="288"/>
        <w:jc w:val="both"/>
      </w:pPr>
      <w:r>
        <w:t>•  Rinaldi Dep. 84:7–98:19; Prescott Rpt. ¶¶ 64–74; Prescott Dep. 76:2–90:18.</w:t>
      </w:r>
    </w:p>
    <w:p>
      <w:pPr>
        <w:jc w:val="both"/>
      </w:pPr>
      <w:r>
        <w:rPr>
          <w:b/>
        </w:rPr>
        <w:t>(c) Materiality.</w:t>
      </w:r>
      <w:r>
        <w:t xml:space="preserve"> This issue establishes the sixth </w:t>
      </w:r>
      <w:r>
        <w:rPr>
          <w:i/>
        </w:rPr>
        <w:t>Gibbs</w:t>
      </w:r>
      <w:r>
        <w:t xml:space="preserve"> element (injury proximately caused by reliance) and the amount of Count II damages.</w:t>
      </w:r>
    </w:p>
    <w:p>
      <w:pPr>
        <w:pStyle w:val="Heading3"/>
      </w:pPr>
      <w:r>
        <w:t>Issue 8: Ridgeline did not know, and could not reasonably have discovered, the falsity of the representations more than two years before asserting Count II</w:t>
      </w:r>
    </w:p>
    <w:p>
      <w:pPr>
        <w:jc w:val="both"/>
      </w:pPr>
      <w:r>
        <w:rPr>
          <w:b/>
        </w:rPr>
        <w:t>(a) Factual proposition.</w:t>
      </w:r>
      <w:r>
        <w:t xml:space="preserve"> Ridgeline did not know, and through reasonable diligence could not have learned, that the representations were false until Corbin Supply produced its internal CRM data, warehouse records, sales roster, and the Findlay Memo in November and December 2023. The Year 1 shortfall was consistent with ordinary start-up problems. Corbin Supply answered the cure notice by asserting its commitment to the relationship and citing general supply-chain challenges. It never disclosed that its infrastructure was smaller than represented. The facts showing falsity were in Corbin Supply’s exclusive possession.</w:t>
      </w:r>
    </w:p>
    <w:p>
      <w:pPr>
        <w:jc w:val="both"/>
      </w:pPr>
      <w:r>
        <w:rPr>
          <w:b/>
        </w:rPr>
        <w:t>(b) Supporting evidence.</w:t>
      </w:r>
    </w:p>
    <w:p>
      <w:pPr>
        <w:spacing w:after="60"/>
        <w:ind w:left="720" w:hanging="288"/>
        <w:jc w:val="both"/>
      </w:pPr>
      <w:r>
        <w:t>•  Hausman Dep. 62:1–74:16 ("A shortfall in Year 1 didn’t necessarily mean Corbin Supply’s representations were false . . . . What concerned me was the Year 2 decline"; the documents "came through in November and December of 2023").</w:t>
      </w:r>
    </w:p>
    <w:p>
      <w:pPr>
        <w:spacing w:after="60"/>
        <w:ind w:left="720" w:hanging="288"/>
        <w:jc w:val="both"/>
      </w:pPr>
      <w:r>
        <w:t>•  Rinaldi Dep. 32:7–52:22 and 78:2–81:14 (the March 28, 2022 Koppel letter promised to "increase efforts"; Ms. Koppel referred only to general supply-chain challenges in the April 2022 calls); PX-015.</w:t>
      </w:r>
    </w:p>
    <w:p>
      <w:pPr>
        <w:spacing w:after="60"/>
        <w:ind w:left="720" w:hanging="288"/>
        <w:jc w:val="both"/>
      </w:pPr>
      <w:r>
        <w:t>•  Corbin Dep. 98:7–108:22 (attributing the decline to "market conditions" and soft demand).</w:t>
      </w:r>
    </w:p>
    <w:p>
      <w:pPr>
        <w:spacing w:after="60"/>
        <w:ind w:left="720" w:hanging="288"/>
        <w:jc w:val="both"/>
      </w:pPr>
      <w:r>
        <w:t>•  PX-007 (marked "CONFIDENTIAL — INTERNAL USE ONLY"); PX-008 through PX-010 (internal records produced only in discovery).</w:t>
      </w:r>
    </w:p>
    <w:p>
      <w:pPr>
        <w:jc w:val="both"/>
      </w:pPr>
      <w:r>
        <w:rPr>
          <w:b/>
        </w:rPr>
        <w:t>(c) Materiality.</w:t>
      </w:r>
      <w:r>
        <w:t xml:space="preserve"> Corbin Supply has pleaded the two-year limitations period of 42 Pa. C.S. § 5524(7) (Answer ¶ 57, Third Affirmative Defense). When Ridgeline knew or should have known of the fraud is a question of fact under the discovery rule. </w:t>
      </w:r>
      <w:r>
        <w:rPr>
          <w:i/>
        </w:rPr>
        <w:t>Fine v. Checcio</w:t>
      </w:r>
      <w:r>
        <w:t>, 870 A.2d 850, 858–59 (Pa. 2005); SJ Op. § IV.C.2. This issue should be submitted to the jury by special interrogatory if Defendant continues to press the defense.</w:t>
      </w:r>
    </w:p>
    <w:p>
      <w:pPr>
        <w:pStyle w:val="Heading3"/>
      </w:pPr>
      <w:r>
        <w:t>Issue 9: Ridgeline’s lost profits on the Year 1 and Year 2 MAPC shortfalls</w:t>
      </w:r>
    </w:p>
    <w:p>
      <w:pPr>
        <w:jc w:val="both"/>
      </w:pPr>
      <w:r>
        <w:rPr>
          <w:b/>
        </w:rPr>
        <w:t>(a) Factual proposition.</w:t>
      </w:r>
      <w:r>
        <w:t xml:space="preserve"> Had Corbin Supply purchased the contractually required minimums, Ridgeline would have made additional sales of $4,010,000 ($880,000 in Year 1 and $3,130,000 in Year 2) and earned its historical 34% gross margin on distributor-channel sales. Ridgeline’s lost profits on those shortfalls are $1,363,400 ($299,200 for Year 1 and $1,064,200 for Year 2). Ridgeline had the capacity to manufacture and ship the shortfall volume. No additional selling, general, or administrative costs would have been needed.</w:t>
      </w:r>
    </w:p>
    <w:p>
      <w:pPr>
        <w:jc w:val="both"/>
      </w:pPr>
      <w:r>
        <w:rPr>
          <w:b/>
        </w:rPr>
        <w:t>(b) Supporting evidence.</w:t>
      </w:r>
    </w:p>
    <w:p>
      <w:pPr>
        <w:spacing w:after="60"/>
        <w:ind w:left="720" w:hanging="288"/>
        <w:jc w:val="both"/>
      </w:pPr>
      <w:r>
        <w:t>•  Stipulated Facts 16–19 (purchase figures and shortfalls); PX-011, PX-012, PX-031 (summary).</w:t>
      </w:r>
    </w:p>
    <w:p>
      <w:pPr>
        <w:spacing w:after="60"/>
        <w:ind w:left="720" w:hanging="288"/>
        <w:jc w:val="both"/>
      </w:pPr>
      <w:r>
        <w:t>•  PX-028, PX-029 (audited financial statements and distributor-channel cost-of-goods-sold records supporting the 34% gross margin).</w:t>
      </w:r>
    </w:p>
    <w:p>
      <w:pPr>
        <w:spacing w:after="60"/>
        <w:ind w:left="720" w:hanging="288"/>
        <w:jc w:val="both"/>
      </w:pPr>
      <w:r>
        <w:t>•  Prescott Dep. 18:4–30:22 (margin-adjusted Year 1–2 figures of $299,200, $1,064,200, and $1,363,400 total); Prescott Rpt. ¶¶ 47–49.</w:t>
      </w:r>
    </w:p>
    <w:p>
      <w:pPr>
        <w:spacing w:after="60"/>
        <w:ind w:left="720" w:hanging="288"/>
        <w:jc w:val="both"/>
      </w:pPr>
      <w:r>
        <w:t>•  Holt Rpt. § VII.A and § IX.A (does not dispute the arithmetic; "generally concur[s]" that the 34% margin is supported); Holt Dep. 18:3–38:22.</w:t>
      </w:r>
    </w:p>
    <w:p>
      <w:pPr>
        <w:jc w:val="both"/>
      </w:pPr>
      <w:r>
        <w:rPr>
          <w:b/>
        </w:rPr>
        <w:t>(c) Materiality.</w:t>
      </w:r>
      <w:r>
        <w:t xml:space="preserve"> Count I damages are the only remaining Count I issue. Ridgeline claims Year 1–2 damages measured as lost profit (the benefit of the bargain) and does not contend that the EDA makes the gross shortfall payable as a liquidated sum. </w:t>
      </w:r>
      <w:r>
        <w:rPr>
          <w:i/>
        </w:rPr>
        <w:t>See</w:t>
      </w:r>
      <w:r>
        <w:t xml:space="preserve"> Section 5, Issue A.</w:t>
      </w:r>
    </w:p>
    <w:p>
      <w:pPr>
        <w:pStyle w:val="Heading3"/>
      </w:pPr>
      <w:r>
        <w:t>Issue 10: Ridgeline’s future lost profits for the remaining term (Years 3–5), net of mitigation</w:t>
      </w:r>
    </w:p>
    <w:p>
      <w:pPr>
        <w:jc w:val="both"/>
      </w:pPr>
      <w:r>
        <w:rPr>
          <w:b/>
        </w:rPr>
        <w:t>(a) Factual proposition.</w:t>
      </w:r>
      <w:r>
        <w:t xml:space="preserve"> Had Corbin Supply not breached, Ridgeline would have received purchases of at least the contractual minimums for Years 3 through 5 ($9,000,000 + $10,500,000 + $12,000,000 = $31,500,000). At a 34% gross margin, that yields gross lost profits of $10,710,000. After a credit for the profit on replacement sales through Allegheny Industrial Partners ($3,200,000 per year for 2.5 years, or $8,000,000, at 34%, for a credit of $2,720,000), Ridgeline’s net future lost profits are $7,990,000. The 34% margin is stable, audited, and undisputed, and the MAPCs are fixed contractual amounts.</w:t>
      </w:r>
    </w:p>
    <w:p>
      <w:pPr>
        <w:jc w:val="both"/>
      </w:pPr>
      <w:r>
        <w:rPr>
          <w:b/>
        </w:rPr>
        <w:t>(b) Supporting evidence.</w:t>
      </w:r>
    </w:p>
    <w:p>
      <w:pPr>
        <w:spacing w:after="60"/>
        <w:ind w:left="720" w:hanging="288"/>
        <w:jc w:val="both"/>
      </w:pPr>
      <w:r>
        <w:t>•  PX-001 § 4.1 and Schedule B; PX-025, PX-027 (Allegheny agreement and purchase data); PX-028, PX-029, PX-032.</w:t>
      </w:r>
    </w:p>
    <w:p>
      <w:pPr>
        <w:spacing w:after="60"/>
        <w:ind w:left="720" w:hanging="288"/>
        <w:jc w:val="both"/>
      </w:pPr>
      <w:r>
        <w:t>•  Prescott Rpt. ¶¶ 44–63; Prescott Dep. 34:8–56:19.</w:t>
      </w:r>
    </w:p>
    <w:p>
      <w:pPr>
        <w:spacing w:after="60"/>
        <w:ind w:left="720" w:hanging="288"/>
        <w:jc w:val="both"/>
      </w:pPr>
      <w:r>
        <w:t>•  Holt Dep. 18:3–38:22 (contractual minimums are "not inherently speculative"; audited financials are "generally considered reliable data"; the MAPC-based approach "is an accepted approach"); Holt Rpt. § IX.A.</w:t>
      </w:r>
    </w:p>
    <w:p>
      <w:pPr>
        <w:spacing w:after="60"/>
        <w:ind w:left="720" w:hanging="288"/>
        <w:jc w:val="both"/>
      </w:pPr>
      <w:r>
        <w:t>•  Hausman Dep. 78:4–94:17 (Allegheny "met their commitments and then some").</w:t>
      </w:r>
    </w:p>
    <w:p>
      <w:pPr>
        <w:jc w:val="both"/>
      </w:pPr>
      <w:r>
        <w:rPr>
          <w:b/>
        </w:rPr>
        <w:t>(c) Materiality.</w:t>
      </w:r>
      <w:r>
        <w:t xml:space="preserve"> Count I damages turn on this issue, and the Court identified it as a genuine dispute. SJ Op. § IV.A.3. Corbin Supply’s expert limits future damages to twelve months ($1,972,000) and uses Corbin Supply’s declining performance as the baseline. Holt Rpt. § VII.B.</w:t>
      </w:r>
    </w:p>
    <w:p>
      <w:pPr>
        <w:pStyle w:val="Heading3"/>
      </w:pPr>
      <w:r>
        <w:t>Issue 11: Ridgeline acted reasonably to mitigate by engaging a replacement distributor within six months</w:t>
      </w:r>
    </w:p>
    <w:p>
      <w:pPr>
        <w:jc w:val="both"/>
      </w:pPr>
      <w:r>
        <w:rPr>
          <w:b/>
        </w:rPr>
        <w:t>(a) Factual proposition.</w:t>
      </w:r>
      <w:r>
        <w:t xml:space="preserve"> Ridgeline began identifying replacement candidates within weeks of the March 10, 2023 termination. It began formal outreach in April 2023, contacted five candidates, and ran due diligence on three, including on-site visits and reference checks. It selected Allegheny in July 2023, negotiated the agreement, integrated logistics, trained Allegheny’s sales force, and began distribution on September 1, 2023. Four to nine months is typical for replacing an exclusive distributor across twelve states, so this timeline was commercially reasonable and on the fast end. Careful vetting was especially prudent after Corbin Supply’s misrepresentations.</w:t>
      </w:r>
    </w:p>
    <w:p>
      <w:pPr>
        <w:jc w:val="both"/>
      </w:pPr>
      <w:r>
        <w:rPr>
          <w:b/>
        </w:rPr>
        <w:t>(b) Supporting evidence.</w:t>
      </w:r>
    </w:p>
    <w:p>
      <w:pPr>
        <w:spacing w:after="60"/>
        <w:ind w:left="720" w:hanging="288"/>
        <w:jc w:val="both"/>
      </w:pPr>
      <w:r>
        <w:t>•  Hausman Dep. 78:4–94:17; Rinaldi Dep. 56:3–74:18; Torres Dep. 74:11–76:22 (as cited at SJ Op. § IV.A.3); PX-026 (search and due-diligence file).</w:t>
      </w:r>
    </w:p>
    <w:p>
      <w:pPr>
        <w:spacing w:after="60"/>
        <w:ind w:left="720" w:hanging="288"/>
        <w:jc w:val="both"/>
      </w:pPr>
      <w:r>
        <w:t>•  Prescott Dep. 60:3–72:14 (transitions of this scope typically take four to nine months and sometimes 12 to 14).</w:t>
      </w:r>
    </w:p>
    <w:p>
      <w:pPr>
        <w:spacing w:after="60"/>
        <w:ind w:left="720" w:hanging="288"/>
        <w:jc w:val="both"/>
      </w:pPr>
      <w:r>
        <w:t>•  Holt Dep. 42:7–58:14 (Holt is "not a distribution operations expert," has never been involved operationally in replacing a distributor, cites no empirical data, and concedes that "[o]nce they engaged in the search, the timeline was within a reasonable range").</w:t>
      </w:r>
    </w:p>
    <w:p>
      <w:pPr>
        <w:spacing w:after="60"/>
        <w:ind w:left="720" w:hanging="288"/>
        <w:jc w:val="both"/>
      </w:pPr>
      <w:r>
        <w:t>•  Holt Rpt. §§ VII.C and X state that Ridgeline did not begin outreach until "sometime around May" 2023 and was focused on "evaluating [its] legal options." The deposition testimony of Ms. Hausman and Mr. Rinaldi does not support either statement. Hausman Dep. 78:4–94:17; Rinaldi Dep. 56:3–74:18.</w:t>
      </w:r>
    </w:p>
    <w:p>
      <w:pPr>
        <w:jc w:val="both"/>
      </w:pPr>
      <w:r>
        <w:rPr>
          <w:b/>
        </w:rPr>
        <w:t>(c) Materiality.</w:t>
      </w:r>
      <w:r>
        <w:t xml:space="preserve"> Corbin Supply has the burden of proving failure to mitigate, and the Court identified the reasonableness of Ridgeline’s efforts as "a quintessential jury question." SJ Op. § IV.A.3. Holt’s proposed $272,000 additional mitigation credit and his twelve-month cutoff both depend on this issue.</w:t>
      </w:r>
    </w:p>
    <w:p>
      <w:pPr>
        <w:pStyle w:val="Heading3"/>
      </w:pPr>
      <w:r>
        <w:t>Issue 12: The amount of Ridgeline’s reliance losses on the Greenville lease and packaging equipment, and Ridgeline’s efforts to limit them</w:t>
      </w:r>
    </w:p>
    <w:p>
      <w:pPr>
        <w:jc w:val="both"/>
      </w:pPr>
      <w:r>
        <w:rPr>
          <w:b/>
        </w:rPr>
        <w:t>(a) Factual proposition.</w:t>
      </w:r>
      <w:r>
        <w:t xml:space="preserve"> Ridgeline’s out-of-pocket reliance expenditures total $2,325,000 ($1,850,000 in lease rent and $475,000 in equipment). At a minimum, the unrecouped post-termination portion totals $1,245,833.35 ($770,833.35 in rent for March 2023 through May 2024, plus $475,000 in equipment). After termination, Ridgeline tried in good faith to reduce the lease loss. It listed the facility for sublease with a Greenville commercial broker in April 2023, but no subtenant came forward in a soft market. It then used the facility in a limited way to stage shipments to Allegheny. The packaging equipment was custom-configured for Corbin Supply’s network, could not be used on Ridgeline’s Butler lines, and has negligible salvage value.</w:t>
      </w:r>
    </w:p>
    <w:p>
      <w:pPr>
        <w:jc w:val="both"/>
      </w:pPr>
      <w:r>
        <w:rPr>
          <w:b/>
        </w:rPr>
        <w:t>(b) Supporting evidence.</w:t>
      </w:r>
    </w:p>
    <w:p>
      <w:pPr>
        <w:spacing w:after="60"/>
        <w:ind w:left="720" w:hanging="288"/>
        <w:jc w:val="both"/>
      </w:pPr>
      <w:r>
        <w:t>•  PX-018 (Lease §§ 2.1, 3.1–3.2, 7.1–7.3, 9.1); PX-019; PX-020 (sublease listing and broker correspondence); PX-021, PX-022.</w:t>
      </w:r>
    </w:p>
    <w:p>
      <w:pPr>
        <w:spacing w:after="60"/>
        <w:ind w:left="720" w:hanging="288"/>
        <w:jc w:val="both"/>
      </w:pPr>
      <w:r>
        <w:t>•  Rinaldi Dep. 84:7–98:19; Hausman Dep. 42:6–58:19.</w:t>
      </w:r>
    </w:p>
    <w:p>
      <w:pPr>
        <w:spacing w:after="60"/>
        <w:ind w:left="720" w:hanging="288"/>
        <w:jc w:val="both"/>
      </w:pPr>
      <w:r>
        <w:t>•  Prescott Rpt. ¶¶ 67–74; Prescott Dep. 76:2–90:18 (full-cost and post-termination alternatives).</w:t>
      </w:r>
    </w:p>
    <w:p>
      <w:pPr>
        <w:spacing w:after="60"/>
        <w:ind w:left="720" w:hanging="288"/>
        <w:jc w:val="both"/>
      </w:pPr>
      <w:r>
        <w:t>•  Holt Rpt. § VII.D.3 (40–60% residual value asserted "[b]ased on my experience," with no appraisal, market data, or inspection).</w:t>
      </w:r>
    </w:p>
    <w:p>
      <w:pPr>
        <w:jc w:val="both"/>
      </w:pPr>
      <w:r>
        <w:rPr>
          <w:b/>
        </w:rPr>
        <w:t>(c) Materiality.</w:t>
      </w:r>
      <w:r>
        <w:t xml:space="preserve"> This issue determines the amount of Count II damages (and of any alternative reliance recovery on Count I) and whether Corbin Supply has proven any failure to mitigate the lease loss. Corbin Supply contends that Ridgeline should have used the lease’s early-termination option (Lease §§ 7.1–7.2: 90 days’ notice plus a $308,333.34 penalty). Holt Rpt. § VII.D.2. The effect of that option on the recoverable amount is a disputed fact for the jury.</w:t>
      </w:r>
    </w:p>
    <w:p>
      <w:pPr>
        <w:pStyle w:val="Heading3"/>
      </w:pPr>
      <w:r>
        <w:t>Issue 13: Whether any claimed reliance loss would have been recouped from full performance</w:t>
      </w:r>
    </w:p>
    <w:p>
      <w:pPr>
        <w:jc w:val="both"/>
      </w:pPr>
      <w:r>
        <w:rPr>
          <w:b/>
        </w:rPr>
        <w:t>(a) Factual proposition.</w:t>
      </w:r>
      <w:r>
        <w:t xml:space="preserve"> The Greenville lease and packaging equipment were overhead and capital costs that are not part of the cost of goods sold used to calculate Ridgeline’s 34% gross margin. They are therefore not counted within the lost-profit figures. Defendant’s expert admits he did not analyze the cost allocations and cannot identify any actual double-counting.</w:t>
      </w:r>
    </w:p>
    <w:p>
      <w:pPr>
        <w:jc w:val="both"/>
      </w:pPr>
      <w:r>
        <w:rPr>
          <w:b/>
        </w:rPr>
        <w:t>(b) Supporting evidence.</w:t>
      </w:r>
    </w:p>
    <w:p>
      <w:pPr>
        <w:spacing w:after="60"/>
        <w:ind w:left="720" w:hanging="288"/>
        <w:jc w:val="both"/>
      </w:pPr>
      <w:r>
        <w:t>•  Holt Dep. 62:3–78:19 ("I haven’t done that analysis at the line-item level"; he can identify only a "theoretical risk of double-counting").</w:t>
      </w:r>
    </w:p>
    <w:p>
      <w:pPr>
        <w:spacing w:after="60"/>
        <w:ind w:left="720" w:hanging="288"/>
        <w:jc w:val="both"/>
      </w:pPr>
      <w:r>
        <w:t>•  Prescott Rpt. ¶ 48 (margin reflects direct cost of goods sold); PX-029.</w:t>
      </w:r>
    </w:p>
    <w:p>
      <w:pPr>
        <w:jc w:val="both"/>
      </w:pPr>
      <w:r>
        <w:rPr>
          <w:b/>
        </w:rPr>
        <w:t>(c) Materiality.</w:t>
      </w:r>
      <w:r>
        <w:t xml:space="preserve"> This issue bears on whether, and to what extent, reliance and expectation recoveries overlap. SJ Op. § IV.A.3 (third ground). The jury’s findings will allow the Court to mold the verdict to prevent double recovery. </w:t>
      </w:r>
      <w:r>
        <w:rPr>
          <w:i/>
        </w:rPr>
        <w:t>See</w:t>
      </w:r>
      <w:r>
        <w:t xml:space="preserve"> Section 5, Issue D.</w:t>
      </w:r>
    </w:p>
    <w:p>
      <w:pPr>
        <w:pStyle w:val="Heading3"/>
      </w:pPr>
      <w:r>
        <w:t>Issue 14: Corbin Supply did not give force majeure notice, and no force majeure event caused the shortfalls</w:t>
      </w:r>
    </w:p>
    <w:p>
      <w:pPr>
        <w:jc w:val="both"/>
      </w:pPr>
      <w:r>
        <w:rPr>
          <w:b/>
        </w:rPr>
        <w:t>(a) Factual proposition.</w:t>
      </w:r>
      <w:r>
        <w:t xml:space="preserve"> Corbin Supply never gave the written notice that EDA § 12.1 requires within 30 days of a force majeure event. The COVID-19 pandemic began a year before the EDA was signed on March 1, 2021, so it was a known condition when Corbin Supply proposed and accepted the MAPCs. Corbin Supply’s own witnesses attribute the shortfalls to "market conditions," soft demand, and a lack of infrastructure, not to an event beyond its control.</w:t>
      </w:r>
    </w:p>
    <w:p>
      <w:pPr>
        <w:jc w:val="both"/>
      </w:pPr>
      <w:r>
        <w:rPr>
          <w:b/>
        </w:rPr>
        <w:t>(b) Supporting evidence.</w:t>
      </w:r>
    </w:p>
    <w:p>
      <w:pPr>
        <w:spacing w:after="60"/>
        <w:ind w:left="720" w:hanging="288"/>
        <w:jc w:val="both"/>
      </w:pPr>
      <w:r>
        <w:t>•  Corbin Dep. 92:1–97:15 (cannot identify any written notice; did not direct anyone to send one); Rinaldi Dep. 78:2–81:14 (no notice received; thorough records search).</w:t>
      </w:r>
    </w:p>
    <w:p>
      <w:pPr>
        <w:spacing w:after="60"/>
        <w:ind w:left="720" w:hanging="288"/>
        <w:jc w:val="both"/>
      </w:pPr>
      <w:r>
        <w:t>•  Corbin Dep. 98:7–108:22; Findlay Dep. 71:3–78:15; PX-007 § 5.</w:t>
      </w:r>
    </w:p>
    <w:p>
      <w:pPr>
        <w:jc w:val="both"/>
      </w:pPr>
      <w:r>
        <w:rPr>
          <w:b/>
        </w:rPr>
        <w:t>(c) Materiality.</w:t>
      </w:r>
      <w:r>
        <w:t xml:space="preserve"> Ridgeline contends that the force majeure defense fails as a matter of law, because EDA § 12.1 provides that failure to give timely notice "shall constitute a waiver," and Ridgeline will move in limine to exclude it (Section 10). This issue is listed only in case the Court allows the defense to reach the jury. SJ Op. § V.3.c.</w:t>
      </w:r>
    </w:p>
    <w:p>
      <w:pPr>
        <w:pStyle w:val="Heading1"/>
        <w:jc w:val="left"/>
      </w:pPr>
      <w:r>
        <w:rPr>
          <w:u w:val="single"/>
        </w:rPr>
        <w:t>SECTION 4 — DEFENDANT’S CONTESTED FACTUAL ISSUES</w:t>
      </w:r>
    </w:p>
    <w:p>
      <w:pPr>
        <w:jc w:val="both"/>
      </w:pPr>
      <w:r>
        <w:rPr>
          <w:b/>
        </w:rPr>
        <w:t>[Reserved for Defendant Corbin Supply Group, LLC.</w:t>
      </w:r>
      <w:r>
        <w:t xml:space="preserve"> Under Sections II and III.D of the Pretrial Order, Defendant’s counsel must prepare this Section and deliver it to Plaintiff’s counsel by August 11, 2025. Plaintiff will insert Defendant’s submission here without alteration. Plaintiff reserves the right to respond to Defendant’s contested factual issues and to object to any issue that seeks to relitigate matters resolved by the Court’s November 15, 2024 ruling, including breach, cure, termination, waiver, and unclean hands as to Count I.</w:t>
      </w:r>
      <w:r>
        <w:rPr>
          <w:b/>
        </w:rPr>
        <w:t>]</w:t>
      </w:r>
    </w:p>
    <w:p>
      <w:pPr>
        <w:pStyle w:val="Heading1"/>
        <w:jc w:val="left"/>
      </w:pPr>
      <w:r>
        <w:rPr>
          <w:u w:val="single"/>
        </w:rPr>
        <w:t>SECTION 5 — CONTESTED LEGAL ISSUES</w:t>
      </w:r>
    </w:p>
    <w:p>
      <w:pPr>
        <w:jc w:val="both"/>
      </w:pPr>
      <w:r>
        <w:t>Ridgeline identifies the following contested legal issues. For each, Ridgeline states the legal question, the party bearing the burden of proof, Ridgeline’s position, and the authority on which it relies. Defendant’s position on each issue, not to exceed one paragraph, will be inserted where indicated. Consistent with Section III.E of the Pretrial Order, Ridgeline does not ask the Court to revisit liability on Count I.</w:t>
      </w:r>
    </w:p>
    <w:p>
      <w:pPr>
        <w:pStyle w:val="Heading3"/>
      </w:pPr>
      <w:r>
        <w:t>Issue A: Measure of damages on Count I for the Year 1 and Year 2 MAPC shortfalls</w:t>
      </w:r>
    </w:p>
    <w:p>
      <w:pPr>
        <w:jc w:val="both"/>
      </w:pPr>
      <w:r>
        <w:rPr>
          <w:b/>
        </w:rPr>
        <w:t>(a) Legal question.</w:t>
      </w:r>
      <w:r>
        <w:t xml:space="preserve"> Are Ridgeline’s damages for the Year 1 and Year 2 MAPC shortfalls measured by its lost profits on the shortfall volume (the benefit of the bargain), and is Ridgeline entitled to prejudgment interest on that amount?</w:t>
      </w:r>
    </w:p>
    <w:p>
      <w:pPr>
        <w:jc w:val="both"/>
      </w:pPr>
      <w:r>
        <w:rPr>
          <w:b/>
        </w:rPr>
        <w:t>(b) Burden of proof.</w:t>
      </w:r>
      <w:r>
        <w:t xml:space="preserve"> Ridgeline bears the burden of proving the amount of its damages with reasonable certainty by a preponderance of the evidence.</w:t>
      </w:r>
    </w:p>
    <w:p>
      <w:pPr>
        <w:jc w:val="both"/>
      </w:pPr>
      <w:r>
        <w:rPr>
          <w:b/>
        </w:rPr>
        <w:t>(c) Plaintiff’s position.</w:t>
      </w:r>
      <w:r>
        <w:t xml:space="preserve"> Expectation damages put Ridgeline in the position it would have occupied had Corbin Supply bought the minimums. That position is the revenue Ridgeline would have received, less the costs it saved by not making and shipping the goods, which is the 34% gross margin on $4,010,000, or $1,363,400. Ridgeline does not contend that EDA § 8.3 or any other provision makes the gross shortfall payable as a liquidated or take-or-pay sum. Section 8.3 governs remediation plans, and § 4.3 makes a shortfall a "material breach." EDA § 11.1 expressly preserves "lost profits calculated by reference to the MAPC" as direct damages. Prejudgment interest on contract damages that are liquidated or ascertainable from the contract is recoverable as of right at the legal rate of six percent per year from the date each amount became due.</w:t>
      </w:r>
    </w:p>
    <w:p>
      <w:pPr>
        <w:jc w:val="both"/>
      </w:pPr>
      <w:r>
        <w:rPr>
          <w:b/>
        </w:rPr>
        <w:t>Defendant’s position.</w:t>
      </w:r>
      <w:r>
        <w:t xml:space="preserve"> [To be supplied by Defendant.]</w:t>
      </w:r>
    </w:p>
    <w:p>
      <w:pPr>
        <w:jc w:val="both"/>
      </w:pPr>
      <w:r>
        <w:rPr>
          <w:b/>
        </w:rPr>
        <w:t>(d) Authority.</w:t>
      </w:r>
      <w:r>
        <w:t xml:space="preserve"> Restatement (Second) of Contracts §§ 344(a), 347 &amp; cmt. e, 354; </w:t>
      </w:r>
      <w:r>
        <w:rPr>
          <w:i/>
        </w:rPr>
        <w:t>Ware v. Rodale Press, Inc.</w:t>
      </w:r>
      <w:r>
        <w:t xml:space="preserve">, 322 F.3d 218, 225–26 (3d Cir. 2003); </w:t>
      </w:r>
      <w:r>
        <w:rPr>
          <w:i/>
        </w:rPr>
        <w:t>Trosky v. Civil Serv. Comm’n</w:t>
      </w:r>
      <w:r>
        <w:t xml:space="preserve">, 652 A.2d 813, 817 (Pa. 1995); </w:t>
      </w:r>
      <w:r>
        <w:rPr>
          <w:i/>
        </w:rPr>
        <w:t>Fernandez v. Levin</w:t>
      </w:r>
      <w:r>
        <w:t>, 548 A.2d 1191, 1193 (Pa. 1988); 41 P.S. § 202; EDA §§ 4.3, 8.3, 11.1.</w:t>
      </w:r>
    </w:p>
    <w:p>
      <w:pPr>
        <w:pStyle w:val="Heading3"/>
      </w:pPr>
      <w:r>
        <w:t>Issue B: Recoverability and period of future lost profits (Years 3–5)</w:t>
      </w:r>
    </w:p>
    <w:p>
      <w:pPr>
        <w:jc w:val="both"/>
      </w:pPr>
      <w:r>
        <w:rPr>
          <w:b/>
        </w:rPr>
        <w:t>(a) Legal question.</w:t>
      </w:r>
      <w:r>
        <w:t xml:space="preserve"> May Ridgeline recover lost profits for the full remaining contract term (March 1, 2023 through February 28, 2026), measured by the contractual MAPCs, Ridgeline’s audited gross margin, and a credit for replacement-distributor profits? Or must future damages be limited to twelve months, or measured by Corbin Supply’s pre-breach performance trend?</w:t>
      </w:r>
    </w:p>
    <w:p>
      <w:pPr>
        <w:jc w:val="both"/>
      </w:pPr>
      <w:r>
        <w:rPr>
          <w:b/>
        </w:rPr>
        <w:t>(b) Burden of proof.</w:t>
      </w:r>
      <w:r>
        <w:t xml:space="preserve"> Ridgeline bears the burden of proving lost profits with reasonable certainty. Corbin Supply bears the burden on any reduction for failure to mitigate (Issue C).</w:t>
      </w:r>
    </w:p>
    <w:p>
      <w:pPr>
        <w:jc w:val="both"/>
      </w:pPr>
      <w:r>
        <w:rPr>
          <w:b/>
        </w:rPr>
        <w:t>(c) Plaintiff’s position.</w:t>
      </w:r>
      <w:r>
        <w:t xml:space="preserve"> The MAPCs are fixed amounts Corbin Supply promised to buy. Measuring expectation damages against a breaching party’s actual (breaching) performance would reward the breach. Lost profits need only be proven with reasonable certainty, and the law does not require mathematical precision where the defendant’s wrong created the uncertainty. The Court has already observed that contractual minimum-purchase obligations provide "a non-speculative foundation for lost-profit calculations." SJ Op. § IV.A.3. Defendant’s expert concedes the MAPC methodology "is an accepted approach." Holt Dep. 18:3–38:22. Nothing in the EDA limits recovery to a twelve-month period. The earliest a termination for convenience could have taken effect was March 1, 2024, on twelve months’ notice (EDA § 8.1), and Corbin Supply never gave that notice. Whether that provision affects the Year 4–5 calculation is a legal question Ridgeline asks the Court to decide before the charge. Ridgeline’s position is that it does not, because Corbin Supply, as the breaching party, never exercised the option.</w:t>
      </w:r>
    </w:p>
    <w:p>
      <w:pPr>
        <w:jc w:val="both"/>
      </w:pPr>
      <w:r>
        <w:rPr>
          <w:b/>
        </w:rPr>
        <w:t>Defendant’s position.</w:t>
      </w:r>
      <w:r>
        <w:t xml:space="preserve"> [To be supplied by Defendant.]</w:t>
      </w:r>
    </w:p>
    <w:p>
      <w:pPr>
        <w:jc w:val="both"/>
      </w:pPr>
      <w:r>
        <w:rPr>
          <w:b/>
        </w:rPr>
        <w:t>(d) Authority.</w:t>
      </w:r>
      <w:r>
        <w:t xml:space="preserve"> </w:t>
      </w:r>
      <w:r>
        <w:rPr>
          <w:i/>
        </w:rPr>
        <w:t>AM/PM Franchise Ass’n v. Atl. Richfield Co.</w:t>
      </w:r>
      <w:r>
        <w:t xml:space="preserve">, 584 A.2d 915, 920–21, 925–26 (Pa. 1990); </w:t>
      </w:r>
      <w:r>
        <w:rPr>
          <w:i/>
        </w:rPr>
        <w:t>Ware</w:t>
      </w:r>
      <w:r>
        <w:t xml:space="preserve">, 322 F.3d at 225–26; Restatement (Second) of Contracts §§ 347, 352 &amp; cmt. a; </w:t>
      </w:r>
      <w:r>
        <w:rPr>
          <w:i/>
        </w:rPr>
        <w:t>Daubert v. Merrell Dow Pharm., Inc.</w:t>
      </w:r>
      <w:r>
        <w:t>, 509 U.S. 579 (1993); Fed. R. Evid. 702; EDA §§ 4.1, 8.1, 8.4, 11.1.</w:t>
      </w:r>
    </w:p>
    <w:p>
      <w:pPr>
        <w:pStyle w:val="Heading3"/>
      </w:pPr>
      <w:r>
        <w:t>Issue C: Failure to mitigate (Count I and Count II damages)</w:t>
      </w:r>
    </w:p>
    <w:p>
      <w:pPr>
        <w:jc w:val="both"/>
      </w:pPr>
      <w:r>
        <w:rPr>
          <w:b/>
        </w:rPr>
        <w:t>(a) Legal question.</w:t>
      </w:r>
      <w:r>
        <w:t xml:space="preserve"> Did Ridgeline fail to use reasonable efforts to mitigate (i) its lost profits by securing a replacement distributor, or (ii) its lease loss? If so, by what amount should its damages be reduced?</w:t>
      </w:r>
    </w:p>
    <w:p>
      <w:pPr>
        <w:jc w:val="both"/>
      </w:pPr>
      <w:r>
        <w:rPr>
          <w:b/>
        </w:rPr>
        <w:t>(b) Burden of proof.</w:t>
      </w:r>
      <w:r>
        <w:t xml:space="preserve"> Corbin Supply, as the breaching party asserting the defense, bears the burden of proving both that Ridgeline acted unreasonably and the amount of loss that reasonable efforts would have avoided.</w:t>
      </w:r>
    </w:p>
    <w:p>
      <w:pPr>
        <w:jc w:val="both"/>
      </w:pPr>
      <w:r>
        <w:rPr>
          <w:b/>
        </w:rPr>
        <w:t>(c) Plaintiff’s position.</w:t>
      </w:r>
      <w:r>
        <w:t xml:space="preserve"> The duty to mitigate requires reasonable efforts, not perfect ones. The injured party is not required to take steps involving undue risk or burden, and the reasonableness of its conduct is judged at the time, not in hindsight. Ridgeline found and onboarded a replacement exclusive distributor for twelve states in under six months, and Defendant’s expert concedes that time frame was reasonable once the search began. Nothing required Ridgeline to line up a replacement for its exclusive distributor while the EDA’s exclusivity clause (§ 2.1) was still in force. As to the lease, Ridgeline marketed the premises for sublease and made limited use of the facility for Allegheny. Whether Ridgeline also had to use the lease’s early-termination option, and what that would have saved net of the $308,333.34 penalty, the 90-day notice rent, and the loss of the facility for Allegheny staging, is a fact question on which Corbin Supply bears the burden.</w:t>
      </w:r>
    </w:p>
    <w:p>
      <w:pPr>
        <w:jc w:val="both"/>
      </w:pPr>
      <w:r>
        <w:rPr>
          <w:b/>
        </w:rPr>
        <w:t>Defendant’s position.</w:t>
      </w:r>
      <w:r>
        <w:t xml:space="preserve"> [To be supplied by Defendant.]</w:t>
      </w:r>
    </w:p>
    <w:p>
      <w:pPr>
        <w:jc w:val="both"/>
      </w:pPr>
      <w:r>
        <w:rPr>
          <w:b/>
        </w:rPr>
        <w:t>(d) Authority.</w:t>
      </w:r>
      <w:r>
        <w:t xml:space="preserve"> </w:t>
      </w:r>
      <w:r>
        <w:rPr>
          <w:i/>
        </w:rPr>
        <w:t>Prusky v. ReliaStar Life Ins. Co.</w:t>
      </w:r>
      <w:r>
        <w:t xml:space="preserve">, 532 F.3d 252, 258–59 (3d Cir. 2008); </w:t>
      </w:r>
      <w:r>
        <w:rPr>
          <w:i/>
        </w:rPr>
        <w:t>Erie Ins. Exch. v. Claypoole</w:t>
      </w:r>
      <w:r>
        <w:t>, 673 A.2d 348, 354 (Pa. Super. Ct. 1996); Restatement (Second) of Contracts § 350 &amp; cmts. b, c, g; SJ Op. § IV.A.3.</w:t>
      </w:r>
    </w:p>
    <w:p>
      <w:pPr>
        <w:pStyle w:val="Heading3"/>
      </w:pPr>
      <w:r>
        <w:t>Issue D: Relationship between expectation damages (Count I) and reliance damages (Count II); prevention of double recovery</w:t>
      </w:r>
    </w:p>
    <w:p>
      <w:pPr>
        <w:jc w:val="both"/>
      </w:pPr>
      <w:r>
        <w:rPr>
          <w:b/>
        </w:rPr>
        <w:t>(a) Legal question.</w:t>
      </w:r>
      <w:r>
        <w:t xml:space="preserve"> May Ridgeline recover (i) contract expectation damages on Count I and (ii) fraud damages measured by its out-of-pocket reliance expenditures on Count II? How should the verdict be structured and molded to prevent duplicative recovery?</w:t>
      </w:r>
    </w:p>
    <w:p>
      <w:pPr>
        <w:jc w:val="both"/>
      </w:pPr>
      <w:r>
        <w:rPr>
          <w:b/>
        </w:rPr>
        <w:t>(b) Burden of proof.</w:t>
      </w:r>
      <w:r>
        <w:t xml:space="preserve"> Ridgeline bears the burden of proving each category of damages. The Court decides as a matter of law whether any awards overlap and how to mold the verdict.</w:t>
      </w:r>
    </w:p>
    <w:p>
      <w:pPr>
        <w:jc w:val="both"/>
      </w:pPr>
      <w:r>
        <w:rPr>
          <w:b/>
        </w:rPr>
        <w:t>(c) Plaintiff’s position.</w:t>
      </w:r>
      <w:r>
        <w:t xml:space="preserve"> Count I (breach) and Count II (fraudulent inducement) are separate wrongs with separately measured damages. A party fraudulently induced into a contract may affirm the contract, recover its contract damages, and also recover in tort the pecuniary losses caused by its reliance on the misrepresentation. Ridgeline recognizes that it may not recover twice for the same loss. It therefore proposes a special verdict form that asks the jury to find (1) Year 1–2 lost profits, (2) Years 3–5 net lost profits, and (3) reliance losses on Count II, stated both as total expenditures and as post-termination unrecouped expenditures. The Court can then mold the judgment. To the extent any reliance expenditure would have been recouped from the gross profit Ridgeline recovers on Count I, the Court should reduce the Count II award by the overlap only. Defendant’s expert admits he cannot identify any actual overlap. Holt Dep. 62:3–78:19. In the alternative, if Ridgeline does not prove Count II, it may recover its reliance expenditures on Count I as an alternative to expectation damages, subject to Corbin Supply’s right to prove that the contract would have been a losing one.</w:t>
      </w:r>
    </w:p>
    <w:p>
      <w:pPr>
        <w:jc w:val="both"/>
      </w:pPr>
      <w:r>
        <w:rPr>
          <w:b/>
        </w:rPr>
        <w:t>Defendant’s position.</w:t>
      </w:r>
      <w:r>
        <w:t xml:space="preserve"> [To be supplied by Defendant.]</w:t>
      </w:r>
    </w:p>
    <w:p>
      <w:pPr>
        <w:jc w:val="both"/>
      </w:pPr>
      <w:r>
        <w:rPr>
          <w:b/>
        </w:rPr>
        <w:t>(d) Authority.</w:t>
      </w:r>
      <w:r>
        <w:t xml:space="preserve"> Restatement (Second) of Contracts §§ 344, 349 &amp; cmt. a, 378; Restatement (Second) of Torts §§ 525, 549; SJ Op. § IV.A.3 (third ground); EDA § 11.1 ("damages arising from reliance on representations and warranties set forth herein" are not limited).</w:t>
      </w:r>
    </w:p>
    <w:p>
      <w:pPr>
        <w:pStyle w:val="Heading3"/>
      </w:pPr>
      <w:r>
        <w:t>Issue E: Availability of consequential and incidental damages; effect of EDA Article 11</w:t>
      </w:r>
    </w:p>
    <w:p>
      <w:pPr>
        <w:jc w:val="both"/>
      </w:pPr>
      <w:r>
        <w:rPr>
          <w:b/>
        </w:rPr>
        <w:t>(a) Legal question.</w:t>
      </w:r>
      <w:r>
        <w:t xml:space="preserve"> Does EDA § 11.1 bar any category of damages Ridgeline seeks?</w:t>
      </w:r>
    </w:p>
    <w:p>
      <w:pPr>
        <w:jc w:val="both"/>
      </w:pPr>
      <w:r>
        <w:rPr>
          <w:b/>
        </w:rPr>
        <w:t>(b) Burden of proof.</w:t>
      </w:r>
      <w:r>
        <w:t xml:space="preserve"> Corbin Supply bears the burden of establishing that a contractual limitation of liability applies. Ridgeline bears the burden of proving foreseeability for any consequential damages.</w:t>
      </w:r>
    </w:p>
    <w:p>
      <w:pPr>
        <w:jc w:val="both"/>
      </w:pPr>
      <w:r>
        <w:rPr>
          <w:b/>
        </w:rPr>
        <w:t>(c) Plaintiff’s position.</w:t>
      </w:r>
      <w:r>
        <w:t xml:space="preserve"> It does not. Section 11.1 excludes indirect and consequential damages, but it expressly does not limit liability for "fraud or intentional misrepresentation" or for breach of the Article 6 representations and warranties. It also expressly provides that "lost profits calculated by reference to the MAPC and damages arising from reliance on representations and warranties set forth herein" are not subject to the limitation. In any event, the Greenville hub and packaging costs were foreseeable. Ridgeline told Corbin Supply in writing before signing that it was planning a Greenville facility (PX-005), and the EDA recitals disclose Ridgeline’s planned "leasing [of] warehouse and shipping facilities and acquiring specialized packaging equipment."</w:t>
      </w:r>
    </w:p>
    <w:p>
      <w:pPr>
        <w:jc w:val="both"/>
      </w:pPr>
      <w:r>
        <w:rPr>
          <w:b/>
        </w:rPr>
        <w:t>Defendant’s position.</w:t>
      </w:r>
      <w:r>
        <w:t xml:space="preserve"> [To be supplied by Defendant.]</w:t>
      </w:r>
    </w:p>
    <w:p>
      <w:pPr>
        <w:jc w:val="both"/>
      </w:pPr>
      <w:r>
        <w:rPr>
          <w:b/>
        </w:rPr>
        <w:t>(d) Authority.</w:t>
      </w:r>
      <w:r>
        <w:t xml:space="preserve"> EDA § 11.1 and Recitals; Restatement (Second) of Contracts § 351; </w:t>
      </w:r>
      <w:r>
        <w:rPr>
          <w:i/>
        </w:rPr>
        <w:t>Hadley v. Baxendale</w:t>
      </w:r>
      <w:r>
        <w:t xml:space="preserve">, 156 Eng. Rep. 145 (Ex. 1854); </w:t>
      </w:r>
      <w:r>
        <w:rPr>
          <w:i/>
        </w:rPr>
        <w:t>Ware</w:t>
      </w:r>
      <w:r>
        <w:t>, 322 F.3d at 225–26.</w:t>
      </w:r>
    </w:p>
    <w:p>
      <w:pPr>
        <w:pStyle w:val="Heading3"/>
      </w:pPr>
      <w:r>
        <w:t>Issue F: Force majeure</w:t>
      </w:r>
    </w:p>
    <w:p>
      <w:pPr>
        <w:jc w:val="both"/>
      </w:pPr>
      <w:r>
        <w:rPr>
          <w:b/>
        </w:rPr>
        <w:t>(a) Legal question.</w:t>
      </w:r>
      <w:r>
        <w:t xml:space="preserve"> May Corbin Supply rely on EDA § 12.1 to excuse any part of its Year 1 or Year 2 shortfall, given that it gave no written notice within 30 days of the claimed event and the COVID-19 pandemic began before the EDA was executed?</w:t>
      </w:r>
    </w:p>
    <w:p>
      <w:pPr>
        <w:jc w:val="both"/>
      </w:pPr>
      <w:r>
        <w:rPr>
          <w:b/>
        </w:rPr>
        <w:t>(b) Burden of proof.</w:t>
      </w:r>
      <w:r>
        <w:t xml:space="preserve"> Corbin Supply bears the burden of proving every element of its force majeure defense, including satisfaction of the notice condition.</w:t>
      </w:r>
    </w:p>
    <w:p>
      <w:pPr>
        <w:jc w:val="both"/>
      </w:pPr>
      <w:r>
        <w:rPr>
          <w:b/>
        </w:rPr>
        <w:t>(c) Plaintiff’s position.</w:t>
      </w:r>
      <w:r>
        <w:t xml:space="preserve"> The defense fails as a matter of law. Section 12.1 requires written notice within 30 days and states that "[f]ailure to provide such written notice within the thirty (30) day period shall constitute a waiver of the right to claim relief." Corbin Supply admits it sent no notice. The Court found that "the record is devoid of any evidence" of compliance. SJ Op. § IV.A.2. In addition, an event already in progress when a party makes its commitment is not an unforeseen supervening event beyond its control. Corbin Supply proposed and accepted the MAPC schedule in December 2020 through March 2021, well into the pandemic. Ridgeline will move in limine to preclude the defense (Section 10).</w:t>
      </w:r>
    </w:p>
    <w:p>
      <w:pPr>
        <w:jc w:val="both"/>
      </w:pPr>
      <w:r>
        <w:rPr>
          <w:b/>
        </w:rPr>
        <w:t>Defendant’s position.</w:t>
      </w:r>
      <w:r>
        <w:t xml:space="preserve"> [To be supplied by Defendant.]</w:t>
      </w:r>
    </w:p>
    <w:p>
      <w:pPr>
        <w:jc w:val="both"/>
      </w:pPr>
      <w:r>
        <w:rPr>
          <w:b/>
        </w:rPr>
        <w:t>(d) Authority.</w:t>
      </w:r>
      <w:r>
        <w:t xml:space="preserve"> EDA §§ 12.1, 8.5; SJ Op. §§ IV.A.2, V.3.c; Restatement (Second) of Contracts §§ 225, 229, 261 &amp; cmt. c.</w:t>
      </w:r>
    </w:p>
    <w:p>
      <w:pPr>
        <w:pStyle w:val="Heading3"/>
      </w:pPr>
      <w:r>
        <w:t>Issue G: Waiver and unclean hands</w:t>
      </w:r>
    </w:p>
    <w:p>
      <w:pPr>
        <w:jc w:val="both"/>
      </w:pPr>
      <w:r>
        <w:rPr>
          <w:b/>
        </w:rPr>
        <w:t>(a) Legal question.</w:t>
      </w:r>
      <w:r>
        <w:t xml:space="preserve"> May Corbin Supply present waiver or unclean hands to the jury?</w:t>
      </w:r>
    </w:p>
    <w:p>
      <w:pPr>
        <w:jc w:val="both"/>
      </w:pPr>
      <w:r>
        <w:rPr>
          <w:b/>
        </w:rPr>
        <w:t>(b) Burden of proof.</w:t>
      </w:r>
      <w:r>
        <w:t xml:space="preserve"> Corbin Supply bears the burden on its affirmative defenses.</w:t>
      </w:r>
    </w:p>
    <w:p>
      <w:pPr>
        <w:jc w:val="both"/>
      </w:pPr>
      <w:r>
        <w:rPr>
          <w:b/>
        </w:rPr>
        <w:t>(c) Plaintiff’s position.</w:t>
      </w:r>
      <w:r>
        <w:t xml:space="preserve"> No. The Court held that both defenses to Count I "are without merit." SJ Op. §§ IV.B, V.1.a. Waiver is also foreclosed by EDA § 8.5. Unclean hands is an equitable defense that is unavailable against a legal claim for damages, and the Court found no supporting evidence. Neither defense may be relitigated under Rule 16(e).</w:t>
      </w:r>
    </w:p>
    <w:p>
      <w:pPr>
        <w:jc w:val="both"/>
      </w:pPr>
      <w:r>
        <w:rPr>
          <w:b/>
        </w:rPr>
        <w:t>Defendant’s position.</w:t>
      </w:r>
      <w:r>
        <w:t xml:space="preserve"> [To be supplied by Defendant.]</w:t>
      </w:r>
    </w:p>
    <w:p>
      <w:pPr>
        <w:jc w:val="both"/>
      </w:pPr>
      <w:r>
        <w:rPr>
          <w:b/>
        </w:rPr>
        <w:t>(d) Authority.</w:t>
      </w:r>
      <w:r>
        <w:t xml:space="preserve"> SJ Op. §§ IV.A.2, IV.B; EDA § 8.5; Fed. R. Civ. P. 16(e).</w:t>
      </w:r>
    </w:p>
    <w:p>
      <w:pPr>
        <w:pStyle w:val="Heading3"/>
      </w:pPr>
      <w:r>
        <w:t>Issue H: Statute of limitations and the discovery rule (Count II)</w:t>
      </w:r>
    </w:p>
    <w:p>
      <w:pPr>
        <w:jc w:val="both"/>
      </w:pPr>
      <w:r>
        <w:rPr>
          <w:b/>
        </w:rPr>
        <w:t>(a) Legal question.</w:t>
      </w:r>
      <w:r>
        <w:t xml:space="preserve"> Is Count II barred by the two-year limitations period of 42 Pa. C.S. § 5524(7), or was the period tolled until Ridgeline knew or reasonably should have known of the fraud?</w:t>
      </w:r>
    </w:p>
    <w:p>
      <w:pPr>
        <w:jc w:val="both"/>
      </w:pPr>
      <w:r>
        <w:rPr>
          <w:b/>
        </w:rPr>
        <w:t>(b) Burden of proof.</w:t>
      </w:r>
      <w:r>
        <w:t xml:space="preserve"> Corbin Supply bears the burden of proving its affirmative limitations defense. Under Pennsylvania law, the party invoking the discovery rule bears the burden of showing that it exercised reasonable diligence. When the plaintiff reasonably should have discovered the injury and its cause is ordinarily a jury question.</w:t>
      </w:r>
    </w:p>
    <w:p>
      <w:pPr>
        <w:jc w:val="both"/>
      </w:pPr>
      <w:r>
        <w:rPr>
          <w:b/>
        </w:rPr>
        <w:t>(c) Plaintiff’s position.</w:t>
      </w:r>
      <w:r>
        <w:t xml:space="preserve"> Count II is timely. The discovery rule tolls the limitations period until the plaintiff knows, or through reasonable diligence should know, that it has been injured and by whose conduct. The doctrine of fraudulent concealment independently tolls the period where the defendant’s conduct caused the plaintiff to relax its vigilance. Ridgeline could not have discovered the falsity of the infrastructure representations before Corbin Supply produced its internal records in late 2023. Count II was pleaded in the Complaint filed March 10, 2023 (Pretrial Order § I). Even on Corbin Supply’s best theory, that the Year 1 shortfall (February 28, 2022) or the cure notice (March 15, 2022) put Ridgeline on inquiry notice, Count II was asserted well within two years of either date. Corbin Supply gave the defense only "a single perfunctory paragraph" at summary judgment. SJ Op. § IV.D. If the defense is submitted, Ridgeline asks for a special interrogatory on the date of discovery.</w:t>
      </w:r>
    </w:p>
    <w:p>
      <w:pPr>
        <w:jc w:val="both"/>
      </w:pPr>
      <w:r>
        <w:rPr>
          <w:b/>
        </w:rPr>
        <w:t>Defendant’s position.</w:t>
      </w:r>
      <w:r>
        <w:t xml:space="preserve"> [To be supplied by Defendant.]</w:t>
      </w:r>
    </w:p>
    <w:p>
      <w:pPr>
        <w:jc w:val="both"/>
      </w:pPr>
      <w:r>
        <w:rPr>
          <w:b/>
        </w:rPr>
        <w:t>(d) Authority.</w:t>
      </w:r>
      <w:r>
        <w:t xml:space="preserve"> 42 Pa. C.S. § 5524(7); </w:t>
      </w:r>
      <w:r>
        <w:rPr>
          <w:i/>
        </w:rPr>
        <w:t>Fine v. Checcio</w:t>
      </w:r>
      <w:r>
        <w:t xml:space="preserve">, 870 A.2d 850, 858–61 (Pa. 2005); </w:t>
      </w:r>
      <w:r>
        <w:rPr>
          <w:i/>
        </w:rPr>
        <w:t>Cochran v. GAF Corp.</w:t>
      </w:r>
      <w:r>
        <w:t>, 666 A.2d 245, 249–50 (Pa. 1995); SJ Op. §§ IV.C.2, IV.D.</w:t>
      </w:r>
    </w:p>
    <w:p>
      <w:pPr>
        <w:pStyle w:val="Heading3"/>
      </w:pPr>
      <w:r>
        <w:t>Issue I: Elements of fraudulent inducement; effect of the EDA’s integration clause and the gist-of-the-action doctrine</w:t>
      </w:r>
    </w:p>
    <w:p>
      <w:pPr>
        <w:jc w:val="both"/>
      </w:pPr>
      <w:r>
        <w:rPr>
          <w:b/>
        </w:rPr>
        <w:t>(a) Legal question.</w:t>
      </w:r>
      <w:r>
        <w:t xml:space="preserve"> What must Ridgeline prove on Count II, and by what standard? Do EDA § 14.2 (integration and non-reliance), the parol evidence rule, or the gist-of-the-action doctrine bar Count II?</w:t>
      </w:r>
    </w:p>
    <w:p>
      <w:pPr>
        <w:jc w:val="both"/>
      </w:pPr>
      <w:r>
        <w:rPr>
          <w:b/>
        </w:rPr>
        <w:t>(b) Burden of proof.</w:t>
      </w:r>
      <w:r>
        <w:t xml:space="preserve"> Ridgeline must prove each element by clear and convincing evidence. Corbin Supply bears the burden on any contractual or doctrinal bar it asserts.</w:t>
      </w:r>
    </w:p>
    <w:p>
      <w:pPr>
        <w:jc w:val="both"/>
      </w:pPr>
      <w:r>
        <w:rPr>
          <w:b/>
        </w:rPr>
        <w:t>(c) Plaintiff’s position.</w:t>
      </w:r>
      <w:r>
        <w:t xml:space="preserve"> Ridgeline must prove (1) a representation; (2) material to the transaction; (3) made falsely, with knowledge of its falsity or recklessness as to whether it is true or false; (4) with the intent of misleading another into relying on it; (5) justifiable reliance; and (6) resulting injury proximately caused by the reliance. The integration clause does not bar the claim. The parol evidence rule bars fraudulent-inducement claims based on prior representations that the parties omitted from a fully integrated writing. Here, each representation at issue was written into the EDA itself, in the Recitals and in § 6.2. Section 14.2’s non-reliance sentence also expressly excepts representations "expressly set forth in this Agreement." Nor does the gist-of-the-action doctrine apply. Fraud in the inducement concerns a pre-contract duty not to deceive that exists independently of the contract, and the Supreme Court of Pennsylvania looks to the nature of the duty breached. Finally, specific, quantified statements of present capability (such as 300 accounts, 11 operational warehouses, and 42 dedicated representatives) are statements of fact, not puffery or opinion.</w:t>
      </w:r>
    </w:p>
    <w:p>
      <w:pPr>
        <w:jc w:val="both"/>
      </w:pPr>
      <w:r>
        <w:rPr>
          <w:b/>
        </w:rPr>
        <w:t>Defendant’s position.</w:t>
      </w:r>
      <w:r>
        <w:t xml:space="preserve"> [To be supplied by Defendant.]</w:t>
      </w:r>
    </w:p>
    <w:p>
      <w:pPr>
        <w:jc w:val="both"/>
      </w:pPr>
      <w:r>
        <w:rPr>
          <w:b/>
        </w:rPr>
        <w:t>(d) Authority.</w:t>
      </w:r>
      <w:r>
        <w:t xml:space="preserve"> </w:t>
      </w:r>
      <w:r>
        <w:rPr>
          <w:i/>
        </w:rPr>
        <w:t>Gibbs v. Ernst</w:t>
      </w:r>
      <w:r>
        <w:t xml:space="preserve">, 647 A.2d 882, 889–90 (Pa. 1994); </w:t>
      </w:r>
      <w:r>
        <w:rPr>
          <w:i/>
        </w:rPr>
        <w:t>Bortz v. Noon</w:t>
      </w:r>
      <w:r>
        <w:t xml:space="preserve">, 729 A.2d 555, 560 (Pa. 1999); </w:t>
      </w:r>
      <w:r>
        <w:rPr>
          <w:i/>
        </w:rPr>
        <w:t>Yocca v. Pittsburgh Steelers Sports, Inc.</w:t>
      </w:r>
      <w:r>
        <w:t xml:space="preserve">, 854 A.2d 425, 436–39 (Pa. 2004); </w:t>
      </w:r>
      <w:r>
        <w:rPr>
          <w:i/>
        </w:rPr>
        <w:t>Bruno v. Erie Ins. Co.</w:t>
      </w:r>
      <w:r>
        <w:t xml:space="preserve">, 106 A.3d 48, 68–70 (Pa. 2014); </w:t>
      </w:r>
      <w:r>
        <w:rPr>
          <w:i/>
        </w:rPr>
        <w:t>eToll, Inc. v. Elias/Savion Advert., Inc.</w:t>
      </w:r>
      <w:r>
        <w:t>, 811 A.2d 10, 17–19 (Pa. Super. Ct. 2002); Restatement (Second) of Torts §§ 525, 526, 538, 539; EDA §§ 6.2, 14.2.</w:t>
      </w:r>
    </w:p>
    <w:p>
      <w:pPr>
        <w:pStyle w:val="Heading3"/>
      </w:pPr>
      <w:r>
        <w:t>Issue J: Attribution of knowledge and intent to Corbin Supply</w:t>
      </w:r>
    </w:p>
    <w:p>
      <w:pPr>
        <w:jc w:val="both"/>
      </w:pPr>
      <w:r>
        <w:rPr>
          <w:b/>
        </w:rPr>
        <w:t>(a) Legal question.</w:t>
      </w:r>
      <w:r>
        <w:t xml:space="preserve"> May the jury attribute to Corbin Supply the knowledge of its Managing Member and its Vice President of Sales in deciding scienter?</w:t>
      </w:r>
    </w:p>
    <w:p>
      <w:pPr>
        <w:jc w:val="both"/>
      </w:pPr>
      <w:r>
        <w:rPr>
          <w:b/>
        </w:rPr>
        <w:t>(b) Burden of proof.</w:t>
      </w:r>
      <w:r>
        <w:t xml:space="preserve"> Ridgeline bears the burden on scienter (clear and convincing evidence).</w:t>
      </w:r>
    </w:p>
    <w:p>
      <w:pPr>
        <w:jc w:val="both"/>
      </w:pPr>
      <w:r>
        <w:rPr>
          <w:b/>
        </w:rPr>
        <w:t>(c) Plaintiff’s position.</w:t>
      </w:r>
      <w:r>
        <w:t xml:space="preserve"> Yes. A company acts and knows through its officers and agents. The knowledge of an agent acting within the scope of employment, and especially the knowledge of senior officers on a matter within their responsibility, is imputed to the principal. Mr. Findlay was responsible for the sales force and warehouse operations, and Mr. Corbin III personally made the representations. Their knowledge is Corbin Supply’s knowledge. Ridgeline will request an instruction to this effect.</w:t>
      </w:r>
    </w:p>
    <w:p>
      <w:pPr>
        <w:jc w:val="both"/>
      </w:pPr>
      <w:r>
        <w:rPr>
          <w:b/>
        </w:rPr>
        <w:t>Defendant’s position.</w:t>
      </w:r>
      <w:r>
        <w:t xml:space="preserve"> [To be supplied by Defendant.]</w:t>
      </w:r>
    </w:p>
    <w:p>
      <w:pPr>
        <w:jc w:val="both"/>
      </w:pPr>
      <w:r>
        <w:rPr>
          <w:b/>
        </w:rPr>
        <w:t>(d) Authority.</w:t>
      </w:r>
      <w:r>
        <w:t xml:space="preserve"> Restatement (Third) of Agency §§ 5.03, 7.03, 7.07; SJ Op. § IV.C.3.</w:t>
      </w:r>
    </w:p>
    <w:p>
      <w:pPr>
        <w:pStyle w:val="Heading3"/>
      </w:pPr>
      <w:r>
        <w:t>Issue K: Evidentiary issues not presented by separate motion in limine</w:t>
      </w:r>
    </w:p>
    <w:p>
      <w:pPr>
        <w:jc w:val="both"/>
      </w:pPr>
      <w:r>
        <w:rPr>
          <w:b/>
        </w:rPr>
        <w:t>(a) Legal question.</w:t>
      </w:r>
      <w:r>
        <w:t xml:space="preserve"> Are the following admissible: (i) the Findlay Memo and Corbin Supply’s internal CRM, warehouse, and roster records; (ii) summary exhibits of the purchase and damages data; and (iii) a jury instruction that liability on Count I has been established?</w:t>
      </w:r>
    </w:p>
    <w:p>
      <w:pPr>
        <w:jc w:val="both"/>
      </w:pPr>
      <w:r>
        <w:rPr>
          <w:b/>
        </w:rPr>
        <w:t>(b) Burden of proof.</w:t>
      </w:r>
      <w:r>
        <w:t xml:space="preserve"> The proponent bears the burden of establishing the foundational requirements for admissibility.</w:t>
      </w:r>
    </w:p>
    <w:p>
      <w:pPr>
        <w:jc w:val="both"/>
      </w:pPr>
      <w:r>
        <w:rPr>
          <w:b/>
        </w:rPr>
        <w:t>(c) Plaintiff’s position.</w:t>
      </w:r>
      <w:r>
        <w:t xml:space="preserve"> (i) The Findlay Memo (PX-007) and Corbin Supply’s internal records (PX-008 through PX-010) are statements of a party opponent, made by its agents on matters within the scope of their employment. They are also business records. Mr. Findlay authenticated the memo ("I wrote it"). Findlay Dep. 22:3–44:18. (ii) Summaries of voluminous purchase and financial records are admissible under Rule 1006, and the underlying records have been produced. (iii) Because liability is established, the jury should be told so at the outset (Stipulated Facts 22–26), and Corbin Supply should be precluded from suggesting otherwise. Ridgeline asks Defendant to stipulate to the authenticity and business-record status of all produced documents, as Defendant’s counsel indicated at the February 10, 2025 conference.</w:t>
      </w:r>
    </w:p>
    <w:p>
      <w:pPr>
        <w:jc w:val="both"/>
      </w:pPr>
      <w:r>
        <w:rPr>
          <w:b/>
        </w:rPr>
        <w:t>Defendant’s position.</w:t>
      </w:r>
      <w:r>
        <w:t xml:space="preserve"> [To be supplied by Defendant.]</w:t>
      </w:r>
    </w:p>
    <w:p>
      <w:pPr>
        <w:jc w:val="both"/>
      </w:pPr>
      <w:r>
        <w:rPr>
          <w:b/>
        </w:rPr>
        <w:t>(d) Authority.</w:t>
      </w:r>
      <w:r>
        <w:t xml:space="preserve"> Fed. R. Evid. 801(d)(2)(A), (C), (D); 803(6); 901; 1006; Fed. R. Civ. P. 16(e), 56(g).</w:t>
      </w:r>
    </w:p>
    <w:p>
      <w:pPr>
        <w:pStyle w:val="Heading1"/>
        <w:jc w:val="left"/>
      </w:pPr>
      <w:r>
        <w:rPr>
          <w:u w:val="single"/>
        </w:rPr>
        <w:t>SECTION 6 — PLAINTIFF’S WITNESS LIST</w:t>
      </w:r>
    </w:p>
    <w:p>
      <w:pPr>
        <w:jc w:val="both"/>
      </w:pPr>
      <w:r>
        <w:t>Ridgeline may call the following witnesses. "Will call" witnesses are those Ridgeline expects to present in its case-in-chief. "May call" witnesses may be presented depending on stipulations, Defendant’s case, or rebuttal needs. Ridgeline reserves the right to call any witness listed by Defendant and to call records custodians if authenticity or business-record foundations are not stipulated. Deposition designations will be exchanged by September 1, 2025, and counter-designations by September 8, 2025, as the Pretrial Order requires.</w:t>
      </w:r>
    </w:p>
    <w:p>
      <w:pPr>
        <w:pStyle w:val="Heading2"/>
      </w:pPr>
      <w:r>
        <w:t>A. Fact Witnesses</w:t>
      </w:r>
    </w:p>
    <w:tbl>
      <w:tblPr>
        <w:tblStyle w:val="TableGrid"/>
        <w:tblW w:type="auto" w:w="0"/>
        <w:jc w:val="center"/>
        <w:tblLayout w:type="fixed"/>
        <w:tblLook w:firstColumn="1" w:firstRow="1" w:lastColumn="0" w:lastRow="0" w:noHBand="0" w:noVBand="1" w:val="04A0"/>
      </w:tblPr>
      <w:tblGrid>
        <w:gridCol w:w="576"/>
        <w:gridCol w:w="2304"/>
        <w:gridCol w:w="1584"/>
        <w:gridCol w:w="3888"/>
        <w:gridCol w:w="1007"/>
      </w:tblGrid>
      <w:tr>
        <w:trPr>
          <w:tblHeader w:val="true"/>
        </w:trPr>
        <w:tc>
          <w:tcPr>
            <w:tcW w:type="dxa" w:w="576"/>
            <w:shd w:val="clear" w:color="auto" w:fill="D9D9D9"/>
          </w:tcPr>
          <w:p>
            <w:r/>
            <w:r>
              <w:rPr>
                <w:b/>
                <w:sz w:val="18"/>
              </w:rPr>
              <w:t>No.</w:t>
            </w:r>
          </w:p>
        </w:tc>
        <w:tc>
          <w:tcPr>
            <w:tcW w:type="dxa" w:w="2304"/>
            <w:shd w:val="clear" w:color="auto" w:fill="D9D9D9"/>
          </w:tcPr>
          <w:p>
            <w:r/>
            <w:r>
              <w:rPr>
                <w:b/>
                <w:sz w:val="18"/>
              </w:rPr>
              <w:t>Witness / Type / Address</w:t>
            </w:r>
          </w:p>
        </w:tc>
        <w:tc>
          <w:tcPr>
            <w:tcW w:type="dxa" w:w="1584"/>
            <w:shd w:val="clear" w:color="auto" w:fill="D9D9D9"/>
          </w:tcPr>
          <w:p>
            <w:r/>
            <w:r>
              <w:rPr>
                <w:b/>
                <w:sz w:val="18"/>
              </w:rPr>
              <w:t>Manner</w:t>
            </w:r>
          </w:p>
        </w:tc>
        <w:tc>
          <w:tcPr>
            <w:tcW w:type="dxa" w:w="3888"/>
            <w:shd w:val="clear" w:color="auto" w:fill="D9D9D9"/>
          </w:tcPr>
          <w:p>
            <w:r/>
            <w:r>
              <w:rPr>
                <w:b/>
                <w:sz w:val="18"/>
              </w:rPr>
              <w:t>Summary of Expected Testimony</w:t>
            </w:r>
          </w:p>
        </w:tc>
        <w:tc>
          <w:tcPr>
            <w:tcW w:type="dxa" w:w="1008"/>
            <w:shd w:val="clear" w:color="auto" w:fill="D9D9D9"/>
          </w:tcPr>
          <w:p>
            <w:r/>
            <w:r>
              <w:rPr>
                <w:b/>
                <w:sz w:val="18"/>
              </w:rPr>
              <w:t>Est. Direct</w:t>
            </w:r>
          </w:p>
        </w:tc>
      </w:tr>
      <w:tr>
        <w:tc>
          <w:tcPr>
            <w:tcW w:type="dxa" w:w="576"/>
          </w:tcPr>
          <w:p>
            <w:pPr>
              <w:spacing w:after="40"/>
            </w:pPr>
            <w:r/>
            <w:r>
              <w:rPr>
                <w:sz w:val="18"/>
              </w:rPr>
              <w:t>1</w:t>
            </w:r>
          </w:p>
        </w:tc>
        <w:tc>
          <w:tcPr>
            <w:tcW w:type="dxa" w:w="2304"/>
          </w:tcPr>
          <w:p>
            <w:pPr>
              <w:spacing w:after="40"/>
            </w:pPr>
            <w:r/>
            <w:r>
              <w:rPr>
                <w:b/>
                <w:sz w:val="18"/>
              </w:rPr>
              <w:t>Margaret ("Peggy") Hausman</w:t>
            </w:r>
            <w:r>
              <w:rPr>
                <w:sz w:val="18"/>
              </w:rPr>
              <w:t xml:space="preserve"> — Fact</w:t>
            </w:r>
          </w:p>
          <w:p>
            <w:pPr>
              <w:spacing w:after="40"/>
            </w:pPr>
            <w:r>
              <w:rPr>
                <w:sz w:val="18"/>
              </w:rPr>
              <w:t>Founder &amp; CEO, Ridgeline Manufacturing, Inc., 4500 Whitestown Road, Butler, PA 16001</w:t>
            </w:r>
          </w:p>
          <w:p>
            <w:pPr>
              <w:spacing w:after="40"/>
            </w:pPr>
            <w:r>
              <w:rPr>
                <w:b/>
                <w:sz w:val="18"/>
              </w:rPr>
              <w:t>Will call</w:t>
            </w:r>
          </w:p>
        </w:tc>
        <w:tc>
          <w:tcPr>
            <w:tcW w:type="dxa" w:w="1584"/>
          </w:tcPr>
          <w:p>
            <w:pPr>
              <w:spacing w:after="40"/>
            </w:pPr>
            <w:r/>
            <w:r>
              <w:rPr>
                <w:sz w:val="18"/>
              </w:rPr>
              <w:t>Live</w:t>
            </w:r>
          </w:p>
        </w:tc>
        <w:tc>
          <w:tcPr>
            <w:tcW w:type="dxa" w:w="3888"/>
          </w:tcPr>
          <w:p>
            <w:pPr>
              <w:spacing w:after="40"/>
            </w:pPr>
            <w:r/>
            <w:r>
              <w:rPr>
                <w:sz w:val="18"/>
              </w:rPr>
              <w:t>Ridgeline’s history and business; its pre-EDA southeastern sales (about $2.8 million through non-exclusive distributors); the September 2020–February 2021 negotiations with Mr. Corbin III; her receipt of and reliance on PX-002, PX-003, PX-004, and PX-006; the materiality of the service-center, warehouse, and sales-force representations to the exclusivity grant and the MAPCs; her January 8, 2021 disclosure to Corbin Supply of the planned Greenville facility; the Greenville lease and packaging equipment, including the equipment’s lack of alternative use and its write-off; the effect of the shortfalls on Ridgeline; the cure notice and termination decisions; when and how Ridgeline learned the true facts (late 2023 document production); and the replacement-distributor search and the engagement and performance of Allegheny.</w:t>
            </w:r>
          </w:p>
        </w:tc>
        <w:tc>
          <w:tcPr>
            <w:tcW w:type="dxa" w:w="1008"/>
          </w:tcPr>
          <w:p>
            <w:pPr>
              <w:spacing w:after="40"/>
            </w:pPr>
            <w:r/>
            <w:r>
              <w:rPr>
                <w:sz w:val="18"/>
              </w:rPr>
              <w:t>2.5–3 hours</w:t>
            </w:r>
          </w:p>
        </w:tc>
      </w:tr>
      <w:tr>
        <w:tc>
          <w:tcPr>
            <w:tcW w:type="dxa" w:w="576"/>
          </w:tcPr>
          <w:p>
            <w:pPr>
              <w:spacing w:after="40"/>
            </w:pPr>
            <w:r/>
            <w:r>
              <w:rPr>
                <w:sz w:val="18"/>
              </w:rPr>
              <w:t>2</w:t>
            </w:r>
          </w:p>
        </w:tc>
        <w:tc>
          <w:tcPr>
            <w:tcW w:type="dxa" w:w="2304"/>
          </w:tcPr>
          <w:p>
            <w:pPr>
              <w:spacing w:after="40"/>
            </w:pPr>
            <w:r/>
            <w:r>
              <w:rPr>
                <w:b/>
                <w:sz w:val="18"/>
              </w:rPr>
              <w:t>David Rinaldi</w:t>
            </w:r>
            <w:r>
              <w:rPr>
                <w:sz w:val="18"/>
              </w:rPr>
              <w:t xml:space="preserve"> — Fact</w:t>
            </w:r>
          </w:p>
          <w:p>
            <w:pPr>
              <w:spacing w:after="40"/>
            </w:pPr>
            <w:r>
              <w:rPr>
                <w:sz w:val="18"/>
              </w:rPr>
              <w:t>General Counsel, Ridgeline Manufacturing, Inc., 4500 Whitestown Road, Butler, PA 16001</w:t>
            </w:r>
          </w:p>
          <w:p>
            <w:pPr>
              <w:spacing w:after="40"/>
            </w:pPr>
            <w:r>
              <w:rPr>
                <w:b/>
                <w:sz w:val="18"/>
              </w:rPr>
              <w:t>Will call</w:t>
            </w:r>
          </w:p>
        </w:tc>
        <w:tc>
          <w:tcPr>
            <w:tcW w:type="dxa" w:w="1584"/>
          </w:tcPr>
          <w:p>
            <w:pPr>
              <w:spacing w:after="40"/>
            </w:pPr>
            <w:r/>
            <w:r>
              <w:rPr>
                <w:sz w:val="18"/>
              </w:rPr>
              <w:t>Live</w:t>
            </w:r>
          </w:p>
        </w:tc>
        <w:tc>
          <w:tcPr>
            <w:tcW w:type="dxa" w:w="3888"/>
          </w:tcPr>
          <w:p>
            <w:pPr>
              <w:spacing w:after="40"/>
            </w:pPr>
            <w:r/>
            <w:r>
              <w:rPr>
                <w:sz w:val="18"/>
              </w:rPr>
              <w:t>Non-privileged business facts only: drafting and negotiating the EDA and the MAPC schedule with Ms. Koppel; the representations incorporated in the EDA Recitals and § 6.2; Ridgeline’s pre-signing requests for Corbin Supply’s financials and warehouse data and Corbin Supply’s response; the March 15, 2022 cure notice, Ms. Koppel’s March 28, 2022 letter, and his April 3 and April 28, 2022 calls requesting a written remediation plan; the absence of any force majeure notice and his records search; the March 10, 2023 termination; negotiation of the Hargrove lease, the sublease marketing effort, and the early-termination analysis; and the replacement-distributor search (five candidates, three diligenced, two site visits, selection of Allegheny with 9 warehouses and 31 dedicated representatives). Ridgeline does not intend to waive privilege, and Mr. Rinaldi will not testify to legal advice.</w:t>
            </w:r>
          </w:p>
        </w:tc>
        <w:tc>
          <w:tcPr>
            <w:tcW w:type="dxa" w:w="1008"/>
          </w:tcPr>
          <w:p>
            <w:pPr>
              <w:spacing w:after="40"/>
            </w:pPr>
            <w:r/>
            <w:r>
              <w:rPr>
                <w:sz w:val="18"/>
              </w:rPr>
              <w:t>1.5–2 hours</w:t>
            </w:r>
          </w:p>
        </w:tc>
      </w:tr>
      <w:tr>
        <w:tc>
          <w:tcPr>
            <w:tcW w:type="dxa" w:w="576"/>
          </w:tcPr>
          <w:p>
            <w:pPr>
              <w:spacing w:after="40"/>
            </w:pPr>
            <w:r/>
            <w:r>
              <w:rPr>
                <w:sz w:val="18"/>
              </w:rPr>
              <w:t>3</w:t>
            </w:r>
          </w:p>
        </w:tc>
        <w:tc>
          <w:tcPr>
            <w:tcW w:type="dxa" w:w="2304"/>
          </w:tcPr>
          <w:p>
            <w:pPr>
              <w:spacing w:after="40"/>
            </w:pPr>
            <w:r/>
            <w:r>
              <w:rPr>
                <w:b/>
                <w:sz w:val="18"/>
              </w:rPr>
              <w:t>Theodore ("Ted") Corbin III</w:t>
            </w:r>
            <w:r>
              <w:rPr>
                <w:sz w:val="18"/>
              </w:rPr>
              <w:t xml:space="preserve"> — Fact (adverse; Fed. R. Evid. 611(c))</w:t>
            </w:r>
          </w:p>
          <w:p>
            <w:pPr>
              <w:spacing w:after="40"/>
            </w:pPr>
            <w:r>
              <w:rPr>
                <w:sz w:val="18"/>
              </w:rPr>
              <w:t>Managing Member, Corbin Supply Group, LLC, 1200 Tryon Tower, Suite 800, Charlotte, NC 28202</w:t>
            </w:r>
          </w:p>
          <w:p>
            <w:pPr>
              <w:spacing w:after="40"/>
            </w:pPr>
            <w:r>
              <w:rPr>
                <w:b/>
                <w:sz w:val="18"/>
              </w:rPr>
              <w:t>Will call</w:t>
            </w:r>
          </w:p>
        </w:tc>
        <w:tc>
          <w:tcPr>
            <w:tcW w:type="dxa" w:w="1584"/>
          </w:tcPr>
          <w:p>
            <w:pPr>
              <w:spacing w:after="40"/>
            </w:pPr>
            <w:r/>
            <w:r>
              <w:rPr>
                <w:sz w:val="18"/>
              </w:rPr>
              <w:t>Live if Defendant produces him at trial. Otherwise by deposition designation under Fed. R. Civ. P. 32(a)(3) (deposition of an adverse party’s officer usable for any purpose). Corbin Dep. (Jan. 22, 2024).</w:t>
            </w:r>
          </w:p>
        </w:tc>
        <w:tc>
          <w:tcPr>
            <w:tcW w:type="dxa" w:w="3888"/>
          </w:tcPr>
          <w:p>
            <w:pPr>
              <w:spacing w:after="40"/>
            </w:pPr>
            <w:r/>
            <w:r>
              <w:rPr>
                <w:sz w:val="18"/>
              </w:rPr>
              <w:t>His personal role in the negotiations; sending PX-002, delivering PX-003, and signing PX-004 and PX-006; that the representations were stated as present facts; the actual figures of 187 accounts, 7 warehouses, and 23 representatives; his receipt of the Findlay Memo and his late-January 2021 discussion of it with Mr. Findlay; his reaffirmation of the representations on February 12, 2021 and execution of the EDA warranties; the Year 1 and Year 2 shortfalls; the failure to submit a remediation plan; the absence of any force majeure notice; and his attribution of the decline to "market conditions."</w:t>
            </w:r>
          </w:p>
        </w:tc>
        <w:tc>
          <w:tcPr>
            <w:tcW w:type="dxa" w:w="1008"/>
          </w:tcPr>
          <w:p>
            <w:pPr>
              <w:spacing w:after="40"/>
            </w:pPr>
            <w:r/>
            <w:r>
              <w:rPr>
                <w:sz w:val="18"/>
              </w:rPr>
              <w:t>2–2.5 hours</w:t>
            </w:r>
          </w:p>
        </w:tc>
      </w:tr>
      <w:tr>
        <w:tc>
          <w:tcPr>
            <w:tcW w:type="dxa" w:w="576"/>
          </w:tcPr>
          <w:p>
            <w:pPr>
              <w:spacing w:after="40"/>
            </w:pPr>
            <w:r/>
            <w:r>
              <w:rPr>
                <w:sz w:val="18"/>
              </w:rPr>
              <w:t>4</w:t>
            </w:r>
          </w:p>
        </w:tc>
        <w:tc>
          <w:tcPr>
            <w:tcW w:type="dxa" w:w="2304"/>
          </w:tcPr>
          <w:p>
            <w:pPr>
              <w:spacing w:after="40"/>
            </w:pPr>
            <w:r/>
            <w:r>
              <w:rPr>
                <w:b/>
                <w:sz w:val="18"/>
              </w:rPr>
              <w:t>Marcus Findlay</w:t>
            </w:r>
            <w:r>
              <w:rPr>
                <w:sz w:val="18"/>
              </w:rPr>
              <w:t xml:space="preserve"> — Fact (adverse; Fed. R. Evid. 611(c))</w:t>
            </w:r>
          </w:p>
          <w:p>
            <w:pPr>
              <w:spacing w:after="40"/>
            </w:pPr>
            <w:r>
              <w:rPr>
                <w:sz w:val="18"/>
              </w:rPr>
              <w:t>Vice President of Sales, Corbin Supply Group, LLC, 1200 Tryon Tower, Suite 800, Charlotte, NC 28202</w:t>
            </w:r>
          </w:p>
          <w:p>
            <w:pPr>
              <w:spacing w:after="40"/>
            </w:pPr>
            <w:r>
              <w:rPr>
                <w:b/>
                <w:sz w:val="18"/>
              </w:rPr>
              <w:t>Will call</w:t>
            </w:r>
          </w:p>
        </w:tc>
        <w:tc>
          <w:tcPr>
            <w:tcW w:type="dxa" w:w="1584"/>
          </w:tcPr>
          <w:p>
            <w:pPr>
              <w:spacing w:after="40"/>
            </w:pPr>
            <w:r/>
            <w:r>
              <w:rPr>
                <w:sz w:val="18"/>
              </w:rPr>
              <w:t>Live if Defendant produces him at trial. Otherwise by deposition designation under Fed. R. Civ. P. 32(a)(3) (managing agent) or 32(a)(4)(B) (more than 100 miles from the courthouse). Findlay Dep. (Feb. 8, 2024).</w:t>
            </w:r>
          </w:p>
        </w:tc>
        <w:tc>
          <w:tcPr>
            <w:tcW w:type="dxa" w:w="3888"/>
          </w:tcPr>
          <w:p>
            <w:pPr>
              <w:spacing w:after="40"/>
            </w:pPr>
            <w:r/>
            <w:r>
              <w:rPr>
                <w:sz w:val="18"/>
              </w:rPr>
              <w:t>His authorship of the Findlay Memo (PX-007), its distribution to Senior Leadership, and its contents (187 active accounts; 7 operational warehouses, 5 with full climate control; 23 hydraulic representatives; the $4.5–$5.5 million internal Year 1 forecast; "renegotiate or exit after year one"; "external negotiations should continue to reflect our full capabilities"); Mr. Corbin III’s statement that he had seen the memo and their pre-signing discussion; that his concerns were not conveyed to Ridgeline; that the presentation was prepared by Mr. Corbin III and marketing; that the 19 other representatives were never redeployed; the Year 1 tracking data he reported in November 2021; and the unsent remediation proposal.</w:t>
            </w:r>
          </w:p>
        </w:tc>
        <w:tc>
          <w:tcPr>
            <w:tcW w:type="dxa" w:w="1008"/>
          </w:tcPr>
          <w:p>
            <w:pPr>
              <w:spacing w:after="40"/>
            </w:pPr>
            <w:r/>
            <w:r>
              <w:rPr>
                <w:sz w:val="18"/>
              </w:rPr>
              <w:t>1.5–2 hours</w:t>
            </w:r>
          </w:p>
        </w:tc>
      </w:tr>
      <w:tr>
        <w:tc>
          <w:tcPr>
            <w:tcW w:type="dxa" w:w="576"/>
          </w:tcPr>
          <w:p>
            <w:pPr>
              <w:spacing w:after="40"/>
            </w:pPr>
            <w:r/>
            <w:r>
              <w:rPr>
                <w:sz w:val="18"/>
              </w:rPr>
              <w:t>5</w:t>
            </w:r>
          </w:p>
        </w:tc>
        <w:tc>
          <w:tcPr>
            <w:tcW w:type="dxa" w:w="2304"/>
          </w:tcPr>
          <w:p>
            <w:pPr>
              <w:spacing w:after="40"/>
            </w:pPr>
            <w:r/>
            <w:r>
              <w:rPr>
                <w:b/>
                <w:sz w:val="18"/>
              </w:rPr>
              <w:t>Rebecca Torres</w:t>
            </w:r>
            <w:r>
              <w:rPr>
                <w:sz w:val="18"/>
              </w:rPr>
              <w:t xml:space="preserve"> — Fact</w:t>
            </w:r>
          </w:p>
          <w:p>
            <w:pPr>
              <w:spacing w:after="40"/>
            </w:pPr>
            <w:r>
              <w:rPr>
                <w:sz w:val="18"/>
              </w:rPr>
              <w:t>Vice President of Sales, Ridgeline Manufacturing, Inc., 4500 Whitestown Road, Butler, PA 16001</w:t>
            </w:r>
          </w:p>
          <w:p>
            <w:pPr>
              <w:spacing w:after="40"/>
            </w:pPr>
            <w:r>
              <w:rPr>
                <w:b/>
                <w:sz w:val="18"/>
              </w:rPr>
              <w:t>May call</w:t>
            </w:r>
          </w:p>
        </w:tc>
        <w:tc>
          <w:tcPr>
            <w:tcW w:type="dxa" w:w="1584"/>
          </w:tcPr>
          <w:p>
            <w:pPr>
              <w:spacing w:after="40"/>
            </w:pPr>
            <w:r/>
            <w:r>
              <w:rPr>
                <w:sz w:val="18"/>
              </w:rPr>
              <w:t>Live</w:t>
            </w:r>
          </w:p>
        </w:tc>
        <w:tc>
          <w:tcPr>
            <w:tcW w:type="dxa" w:w="3888"/>
          </w:tcPr>
          <w:p>
            <w:pPr>
              <w:spacing w:after="40"/>
            </w:pPr>
            <w:r/>
            <w:r>
              <w:rPr>
                <w:sz w:val="18"/>
              </w:rPr>
              <w:t>Ridgeline’s sales operations in the Territory before and during the EDA; the diligence, negotiation, credit review, logistics setup, and training required to replace an exclusive twelve-state distributor; the 2023 replacement search and Allegheny onboarding; the reasonableness of the six-month timeline (Torres Dep. 74:11–76:22); and Allegheny’s sales performance.</w:t>
            </w:r>
          </w:p>
        </w:tc>
        <w:tc>
          <w:tcPr>
            <w:tcW w:type="dxa" w:w="1008"/>
          </w:tcPr>
          <w:p>
            <w:pPr>
              <w:spacing w:after="40"/>
            </w:pPr>
            <w:r/>
            <w:r>
              <w:rPr>
                <w:sz w:val="18"/>
              </w:rPr>
              <w:t>45 minutes</w:t>
            </w:r>
          </w:p>
        </w:tc>
      </w:tr>
      <w:tr>
        <w:tc>
          <w:tcPr>
            <w:tcW w:type="dxa" w:w="576"/>
          </w:tcPr>
          <w:p>
            <w:pPr>
              <w:spacing w:after="40"/>
            </w:pPr>
            <w:r/>
            <w:r>
              <w:rPr>
                <w:sz w:val="18"/>
              </w:rPr>
              <w:t>6</w:t>
            </w:r>
          </w:p>
        </w:tc>
        <w:tc>
          <w:tcPr>
            <w:tcW w:type="dxa" w:w="2304"/>
          </w:tcPr>
          <w:p>
            <w:pPr>
              <w:spacing w:after="40"/>
            </w:pPr>
            <w:r/>
            <w:r>
              <w:rPr>
                <w:b/>
                <w:sz w:val="18"/>
              </w:rPr>
              <w:t>Records custodian(s) of Allegheny Industrial Partners, LLC</w:t>
            </w:r>
            <w:r>
              <w:rPr>
                <w:sz w:val="18"/>
              </w:rPr>
              <w:t xml:space="preserve"> — Fact</w:t>
            </w:r>
          </w:p>
          <w:p>
            <w:pPr>
              <w:spacing w:after="40"/>
            </w:pPr>
            <w:r>
              <w:rPr>
                <w:sz w:val="18"/>
              </w:rPr>
              <w:t>Address to be supplied</w:t>
            </w:r>
          </w:p>
          <w:p>
            <w:pPr>
              <w:spacing w:after="40"/>
            </w:pPr>
            <w:r>
              <w:rPr>
                <w:b/>
                <w:sz w:val="18"/>
              </w:rPr>
              <w:t>May call</w:t>
            </w:r>
            <w:r>
              <w:rPr>
                <w:sz w:val="18"/>
              </w:rPr>
              <w:t xml:space="preserve"> (only if no stipulation)</w:t>
            </w:r>
          </w:p>
        </w:tc>
        <w:tc>
          <w:tcPr>
            <w:tcW w:type="dxa" w:w="1584"/>
          </w:tcPr>
          <w:p>
            <w:pPr>
              <w:spacing w:after="40"/>
            </w:pPr>
            <w:r/>
            <w:r>
              <w:rPr>
                <w:sz w:val="18"/>
              </w:rPr>
              <w:t>Live or by Fed. R. Evid. 902(11) certification</w:t>
            </w:r>
          </w:p>
        </w:tc>
        <w:tc>
          <w:tcPr>
            <w:tcW w:type="dxa" w:w="3888"/>
          </w:tcPr>
          <w:p>
            <w:pPr>
              <w:spacing w:after="40"/>
            </w:pPr>
            <w:r/>
            <w:r>
              <w:rPr>
                <w:sz w:val="18"/>
              </w:rPr>
              <w:t>Authentication and business-record foundation for PX-025 and PX-027 (Allegheny agreement and purchase data).</w:t>
            </w:r>
          </w:p>
        </w:tc>
        <w:tc>
          <w:tcPr>
            <w:tcW w:type="dxa" w:w="1008"/>
          </w:tcPr>
          <w:p>
            <w:pPr>
              <w:spacing w:after="40"/>
            </w:pPr>
            <w:r/>
            <w:r>
              <w:rPr>
                <w:sz w:val="18"/>
              </w:rPr>
              <w:t>15 minutes</w:t>
            </w:r>
          </w:p>
        </w:tc>
      </w:tr>
      <w:tr>
        <w:tc>
          <w:tcPr>
            <w:tcW w:type="dxa" w:w="576"/>
          </w:tcPr>
          <w:p>
            <w:pPr>
              <w:spacing w:after="40"/>
            </w:pPr>
            <w:r/>
            <w:r>
              <w:rPr>
                <w:sz w:val="18"/>
              </w:rPr>
              <w:t>7</w:t>
            </w:r>
          </w:p>
        </w:tc>
        <w:tc>
          <w:tcPr>
            <w:tcW w:type="dxa" w:w="2304"/>
          </w:tcPr>
          <w:p>
            <w:pPr>
              <w:spacing w:after="40"/>
            </w:pPr>
            <w:r/>
            <w:r>
              <w:rPr>
                <w:b/>
                <w:sz w:val="18"/>
              </w:rPr>
              <w:t>Records custodian of Hargrove Logistics, Inc.</w:t>
            </w:r>
            <w:r>
              <w:rPr>
                <w:sz w:val="18"/>
              </w:rPr>
              <w:t xml:space="preserve"> — Fact</w:t>
            </w:r>
          </w:p>
          <w:p>
            <w:pPr>
              <w:spacing w:after="40"/>
            </w:pPr>
            <w:r>
              <w:rPr>
                <w:sz w:val="18"/>
              </w:rPr>
              <w:t>2280 Industrial Parkway, Greenville, SC 29607</w:t>
            </w:r>
          </w:p>
          <w:p>
            <w:pPr>
              <w:spacing w:after="40"/>
            </w:pPr>
            <w:r>
              <w:rPr>
                <w:b/>
                <w:sz w:val="18"/>
              </w:rPr>
              <w:t>May call</w:t>
            </w:r>
            <w:r>
              <w:rPr>
                <w:sz w:val="18"/>
              </w:rPr>
              <w:t xml:space="preserve"> (only if no stipulation)</w:t>
            </w:r>
          </w:p>
        </w:tc>
        <w:tc>
          <w:tcPr>
            <w:tcW w:type="dxa" w:w="1584"/>
          </w:tcPr>
          <w:p>
            <w:pPr>
              <w:spacing w:after="40"/>
            </w:pPr>
            <w:r/>
            <w:r>
              <w:rPr>
                <w:sz w:val="18"/>
              </w:rPr>
              <w:t>By Fed. R. Evid. 902(11) certification</w:t>
            </w:r>
          </w:p>
        </w:tc>
        <w:tc>
          <w:tcPr>
            <w:tcW w:type="dxa" w:w="3888"/>
          </w:tcPr>
          <w:p>
            <w:pPr>
              <w:spacing w:after="40"/>
            </w:pPr>
            <w:r/>
            <w:r>
              <w:rPr>
                <w:sz w:val="18"/>
              </w:rPr>
              <w:t>Authentication of PX-018 and PX-019 (lease and rent receipts).</w:t>
            </w:r>
          </w:p>
        </w:tc>
        <w:tc>
          <w:tcPr>
            <w:tcW w:type="dxa" w:w="1008"/>
          </w:tcPr>
          <w:p>
            <w:pPr>
              <w:spacing w:after="40"/>
            </w:pPr>
            <w:r/>
            <w:r>
              <w:rPr>
                <w:sz w:val="18"/>
              </w:rPr>
              <w:t>15 minutes</w:t>
            </w:r>
          </w:p>
        </w:tc>
      </w:tr>
      <w:tr>
        <w:tc>
          <w:tcPr>
            <w:tcW w:type="dxa" w:w="576"/>
          </w:tcPr>
          <w:p>
            <w:pPr>
              <w:spacing w:after="40"/>
            </w:pPr>
            <w:r/>
            <w:r>
              <w:rPr>
                <w:sz w:val="18"/>
              </w:rPr>
              <w:t>8</w:t>
            </w:r>
          </w:p>
        </w:tc>
        <w:tc>
          <w:tcPr>
            <w:tcW w:type="dxa" w:w="2304"/>
          </w:tcPr>
          <w:p>
            <w:pPr>
              <w:spacing w:after="40"/>
            </w:pPr>
            <w:r/>
            <w:r>
              <w:rPr>
                <w:b/>
                <w:sz w:val="18"/>
              </w:rPr>
              <w:t>Records custodian of Stonebridge Accounting Group LLP</w:t>
            </w:r>
            <w:r>
              <w:rPr>
                <w:sz w:val="18"/>
              </w:rPr>
              <w:t xml:space="preserve"> — Fact</w:t>
            </w:r>
          </w:p>
          <w:p>
            <w:pPr>
              <w:spacing w:after="40"/>
            </w:pPr>
            <w:r>
              <w:rPr>
                <w:sz w:val="18"/>
              </w:rPr>
              <w:t>Pittsburgh, PA (address to be supplied)</w:t>
            </w:r>
          </w:p>
          <w:p>
            <w:pPr>
              <w:spacing w:after="40"/>
            </w:pPr>
            <w:r>
              <w:rPr>
                <w:b/>
                <w:sz w:val="18"/>
              </w:rPr>
              <w:t>May call</w:t>
            </w:r>
            <w:r>
              <w:rPr>
                <w:sz w:val="18"/>
              </w:rPr>
              <w:t xml:space="preserve"> (only if no stipulation)</w:t>
            </w:r>
          </w:p>
        </w:tc>
        <w:tc>
          <w:tcPr>
            <w:tcW w:type="dxa" w:w="1584"/>
          </w:tcPr>
          <w:p>
            <w:pPr>
              <w:spacing w:after="40"/>
            </w:pPr>
            <w:r/>
            <w:r>
              <w:rPr>
                <w:sz w:val="18"/>
              </w:rPr>
              <w:t>By Fed. R. Evid. 902(11) certification</w:t>
            </w:r>
          </w:p>
        </w:tc>
        <w:tc>
          <w:tcPr>
            <w:tcW w:type="dxa" w:w="3888"/>
          </w:tcPr>
          <w:p>
            <w:pPr>
              <w:spacing w:after="40"/>
            </w:pPr>
            <w:r/>
            <w:r>
              <w:rPr>
                <w:sz w:val="18"/>
              </w:rPr>
              <w:t>Authentication of Ridgeline’s audited financial statements (PX-028).</w:t>
            </w:r>
          </w:p>
        </w:tc>
        <w:tc>
          <w:tcPr>
            <w:tcW w:type="dxa" w:w="1008"/>
          </w:tcPr>
          <w:p>
            <w:pPr>
              <w:spacing w:after="40"/>
            </w:pPr>
            <w:r/>
            <w:r>
              <w:rPr>
                <w:sz w:val="18"/>
              </w:rPr>
              <w:t>15 minutes</w:t>
            </w:r>
          </w:p>
        </w:tc>
      </w:tr>
    </w:tbl>
    <w:p>
      <w:pPr>
        <w:spacing w:after="40"/>
      </w:pPr>
    </w:p>
    <w:p>
      <w:pPr>
        <w:pStyle w:val="Heading2"/>
      </w:pPr>
      <w:r>
        <w:t>B. Expert Witness</w:t>
      </w:r>
    </w:p>
    <w:tbl>
      <w:tblPr>
        <w:tblStyle w:val="TableGrid"/>
        <w:tblW w:type="auto" w:w="0"/>
        <w:jc w:val="center"/>
        <w:tblLayout w:type="fixed"/>
        <w:tblLook w:firstColumn="1" w:firstRow="1" w:lastColumn="0" w:lastRow="0" w:noHBand="0" w:noVBand="1" w:val="04A0"/>
      </w:tblPr>
      <w:tblGrid>
        <w:gridCol w:w="576"/>
        <w:gridCol w:w="2304"/>
        <w:gridCol w:w="1152"/>
        <w:gridCol w:w="4320"/>
        <w:gridCol w:w="1007"/>
      </w:tblGrid>
      <w:tr>
        <w:trPr>
          <w:tblHeader w:val="true"/>
        </w:trPr>
        <w:tc>
          <w:tcPr>
            <w:tcW w:type="dxa" w:w="576"/>
            <w:shd w:val="clear" w:color="auto" w:fill="D9D9D9"/>
          </w:tcPr>
          <w:p>
            <w:r/>
            <w:r>
              <w:rPr>
                <w:b/>
                <w:sz w:val="18"/>
              </w:rPr>
              <w:t>No.</w:t>
            </w:r>
          </w:p>
        </w:tc>
        <w:tc>
          <w:tcPr>
            <w:tcW w:type="dxa" w:w="2304"/>
            <w:shd w:val="clear" w:color="auto" w:fill="D9D9D9"/>
          </w:tcPr>
          <w:p>
            <w:r/>
            <w:r>
              <w:rPr>
                <w:b/>
                <w:sz w:val="18"/>
              </w:rPr>
              <w:t>Witness / Type / Address</w:t>
            </w:r>
          </w:p>
        </w:tc>
        <w:tc>
          <w:tcPr>
            <w:tcW w:type="dxa" w:w="1152"/>
            <w:shd w:val="clear" w:color="auto" w:fill="D9D9D9"/>
          </w:tcPr>
          <w:p>
            <w:r/>
            <w:r>
              <w:rPr>
                <w:b/>
                <w:sz w:val="18"/>
              </w:rPr>
              <w:t>Manner</w:t>
            </w:r>
          </w:p>
        </w:tc>
        <w:tc>
          <w:tcPr>
            <w:tcW w:type="dxa" w:w="4320"/>
            <w:shd w:val="clear" w:color="auto" w:fill="D9D9D9"/>
          </w:tcPr>
          <w:p>
            <w:r/>
            <w:r>
              <w:rPr>
                <w:b/>
                <w:sz w:val="18"/>
              </w:rPr>
              <w:t>Qualifications, Subject Matter, and Opinions</w:t>
            </w:r>
          </w:p>
        </w:tc>
        <w:tc>
          <w:tcPr>
            <w:tcW w:type="dxa" w:w="1008"/>
            <w:shd w:val="clear" w:color="auto" w:fill="D9D9D9"/>
          </w:tcPr>
          <w:p>
            <w:r/>
            <w:r>
              <w:rPr>
                <w:b/>
                <w:sz w:val="18"/>
              </w:rPr>
              <w:t>Est. Direct</w:t>
            </w:r>
          </w:p>
        </w:tc>
      </w:tr>
      <w:tr>
        <w:tc>
          <w:tcPr>
            <w:tcW w:type="dxa" w:w="576"/>
          </w:tcPr>
          <w:p>
            <w:pPr>
              <w:spacing w:after="40"/>
            </w:pPr>
            <w:r/>
            <w:r>
              <w:rPr>
                <w:sz w:val="18"/>
              </w:rPr>
              <w:t>9</w:t>
            </w:r>
          </w:p>
        </w:tc>
        <w:tc>
          <w:tcPr>
            <w:tcW w:type="dxa" w:w="2304"/>
          </w:tcPr>
          <w:p>
            <w:pPr>
              <w:spacing w:after="40"/>
            </w:pPr>
            <w:r/>
            <w:r>
              <w:rPr>
                <w:b/>
                <w:sz w:val="18"/>
              </w:rPr>
              <w:t>Dr. Elaine Prescott, Ph.D.</w:t>
            </w:r>
            <w:r>
              <w:rPr>
                <w:sz w:val="18"/>
              </w:rPr>
              <w:t xml:space="preserve"> — Expert (damages)</w:t>
            </w:r>
          </w:p>
          <w:p>
            <w:pPr>
              <w:spacing w:after="40"/>
            </w:pPr>
            <w:r>
              <w:rPr>
                <w:sz w:val="18"/>
              </w:rPr>
              <w:t>220 Allegheny Center, Suite 410, Pittsburgh, PA 15212</w:t>
            </w:r>
          </w:p>
          <w:p>
            <w:pPr>
              <w:spacing w:after="40"/>
            </w:pPr>
            <w:r>
              <w:rPr>
                <w:b/>
                <w:sz w:val="18"/>
              </w:rPr>
              <w:t>Will call</w:t>
            </w:r>
          </w:p>
        </w:tc>
        <w:tc>
          <w:tcPr>
            <w:tcW w:type="dxa" w:w="1152"/>
          </w:tcPr>
          <w:p>
            <w:pPr>
              <w:spacing w:after="40"/>
            </w:pPr>
            <w:r/>
            <w:r>
              <w:rPr>
                <w:sz w:val="18"/>
              </w:rPr>
              <w:t>Live</w:t>
            </w:r>
          </w:p>
        </w:tc>
        <w:tc>
          <w:tcPr>
            <w:tcW w:type="dxa" w:w="4320"/>
          </w:tcPr>
          <w:p>
            <w:pPr>
              <w:spacing w:after="40"/>
            </w:pPr>
            <w:r/>
            <w:r>
              <w:rPr>
                <w:b/>
                <w:sz w:val="18"/>
              </w:rPr>
              <w:t>Qualifications:</w:t>
            </w:r>
            <w:r>
              <w:rPr>
                <w:sz w:val="18"/>
              </w:rPr>
              <w:t xml:space="preserve"> Ph.D. in Economics, Carnegie Mellon University; more than twenty years in forensic economics and commercial damages; visiting appointment at the University of Pittsburgh Katz Graduate School of Business; testifying expert in federal and state courts including this District (Prescott Rpt. ¶¶ 1–6 &amp; App. A). </w:t>
            </w:r>
            <w:r>
              <w:rPr>
                <w:b/>
                <w:sz w:val="18"/>
              </w:rPr>
              <w:t>Subject matter:</w:t>
            </w:r>
            <w:r>
              <w:rPr>
                <w:sz w:val="18"/>
              </w:rPr>
              <w:t xml:space="preserve"> economic damages on Counts I and II. </w:t>
            </w:r>
            <w:r>
              <w:rPr>
                <w:b/>
                <w:sz w:val="18"/>
              </w:rPr>
              <w:t>Opinions (limited to those disclosed in her May 15, 2024 report, her July 5, 2024 rebuttal report, and her April 18, 2024 deposition):</w:t>
            </w:r>
            <w:r>
              <w:rPr>
                <w:sz w:val="18"/>
              </w:rPr>
              <w:t xml:space="preserve"> (1) Year 1–2 lost gross profit on the $4,010,000 MAPC shortfall at 34% is $1,363,400 (Prescott Dep. 18:4–30:22); (2) the 34% distributor-channel gross margin is derived from audited financials and is stable (Rpt. ¶¶ 47–48, App. B); (3) Years 3–5 gross lost profit is $10,710,000, less a $2,720,000 Allegheny mitigation credit, for net future lost profits of $7,990,000 (Rpt. ¶¶ 44–56); (4) the MAPC-based methodology is reliable and non-speculative (Rpt. ¶¶ 57–63, 79–81); (5) the six-month replacement timeline was commercially reasonable, with four to nine months typical (Prescott Dep. 60:3–72:14); (6) reliance expenditures total $2,325,000, or $1,245,833.35 if limited to post-termination rent plus equipment (Rpt. ¶¶ 64–74; Dep. 76:2–90:18); (7) the reliance and expectation categories can be separated by claim, and the lease and equipment costs are not embedded in the gross margin (Dep. 94:3–108:14); and (8) responses to the opinions of Warren Holt (rebuttal report).</w:t>
            </w:r>
          </w:p>
        </w:tc>
        <w:tc>
          <w:tcPr>
            <w:tcW w:type="dxa" w:w="1008"/>
          </w:tcPr>
          <w:p>
            <w:pPr>
              <w:spacing w:after="40"/>
            </w:pPr>
            <w:r/>
            <w:r>
              <w:rPr>
                <w:sz w:val="18"/>
              </w:rPr>
              <w:t>2–2.5 hours</w:t>
            </w:r>
          </w:p>
        </w:tc>
      </w:tr>
    </w:tbl>
    <w:p>
      <w:pPr>
        <w:spacing w:after="40"/>
      </w:pPr>
    </w:p>
    <w:p>
      <w:pPr>
        <w:pStyle w:val="Heading2"/>
      </w:pPr>
      <w:r>
        <w:t>C. Deposition Designations and Adverse Expert</w:t>
      </w:r>
    </w:p>
    <w:p>
      <w:pPr>
        <w:jc w:val="both"/>
      </w:pPr>
      <w:r>
        <w:t>Ridgeline may offer designated deposition testimony of Warren Holt, CPA/ABV (Defendant’s expert), under Fed. R. Civ. P. 32(a)(3) and Fed. R. Evid. 801(d)(2)(C), including Holt Dep. 18:3–38:22, 42:7–58:14, and 62:3–78:19. This applies if Defendant does not call Mr. Holt or if the testimony is needed for impeachment. Ridgeline will also cross-examine any witness Defendant calls, including Mr. Holt and Ms. Koppel.</w:t>
      </w:r>
    </w:p>
    <w:p>
      <w:pPr>
        <w:pStyle w:val="Heading1"/>
        <w:jc w:val="left"/>
      </w:pPr>
      <w:r>
        <w:rPr>
          <w:u w:val="single"/>
        </w:rPr>
        <w:t>SECTION 7 — DEFENDANT’S WITNESS LIST</w:t>
      </w:r>
    </w:p>
    <w:p>
      <w:pPr>
        <w:jc w:val="both"/>
      </w:pPr>
      <w:r>
        <w:rPr>
          <w:b/>
        </w:rPr>
        <w:t>[Reserved for Defendant Corbin Supply Group, LLC,</w:t>
      </w:r>
      <w:r>
        <w:t xml:space="preserve"> to be prepared in the format prescribed by Section III.F and delivered to Plaintiff’s counsel by August 11, 2025 (Pretrial Order §§ II, III.G). Ridgeline reserves all objections, including objections to any expert opinion not disclosed in Mr. Holt’s June 14, 2024 report or rebuttal report, and to any testimony by Janine Koppel that would place privileged matters at issue.</w:t>
      </w:r>
      <w:r>
        <w:rPr>
          <w:b/>
        </w:rPr>
        <w:t>]</w:t>
      </w:r>
    </w:p>
    <w:p>
      <w:pPr>
        <w:pStyle w:val="Heading1"/>
        <w:jc w:val="left"/>
      </w:pPr>
      <w:r>
        <w:rPr>
          <w:u w:val="single"/>
        </w:rPr>
        <w:t>SECTION 8 — PLAINTIFF’S EXHIBIT LIST</w:t>
      </w:r>
    </w:p>
    <w:p>
      <w:pPr>
        <w:jc w:val="both"/>
      </w:pPr>
      <w:r>
        <w:t>Ridgeline may offer the following exhibits. "Will offer" exhibits are those Ridgeline intends to introduce in its case-in-chief. "May offer" exhibits may be used for rebuttal or impeachment, or if Defendant’s presentation makes them necessary. "Sub." means offered as substantive evidence, "Imp." means impeachment, and "Both" means both. Where a Bates range is shown as "To be confirmed," Ridgeline will provide the final range by the September 1, 2025 exchange. All exhibits were produced in discovery unless otherwise noted. Objections are due September 1, 2025 (Pretrial Order § III.H). Ridgeline reserves the right to use any exhibit listed by Defendant, and to use demonstratives that will be disclosed before use.</w:t>
      </w:r>
    </w:p>
    <w:tbl>
      <w:tblPr>
        <w:tblStyle w:val="TableGrid"/>
        <w:tblW w:type="auto" w:w="0"/>
        <w:jc w:val="center"/>
        <w:tblLayout w:type="fixed"/>
        <w:tblLook w:firstColumn="1" w:firstRow="1" w:lastColumn="0" w:lastRow="0" w:noHBand="0" w:noVBand="1" w:val="04A0"/>
      </w:tblPr>
      <w:tblGrid>
        <w:gridCol w:w="936"/>
        <w:gridCol w:w="4464"/>
        <w:gridCol w:w="1800"/>
        <w:gridCol w:w="1152"/>
        <w:gridCol w:w="1152"/>
      </w:tblGrid>
      <w:tr>
        <w:trPr>
          <w:tblHeader w:val="true"/>
        </w:trPr>
        <w:tc>
          <w:tcPr>
            <w:tcW w:type="dxa" w:w="936"/>
            <w:shd w:val="clear" w:color="auto" w:fill="D9D9D9"/>
          </w:tcPr>
          <w:p>
            <w:r/>
            <w:r>
              <w:rPr>
                <w:b/>
                <w:sz w:val="17"/>
              </w:rPr>
              <w:t>Exhibit</w:t>
            </w:r>
          </w:p>
        </w:tc>
        <w:tc>
          <w:tcPr>
            <w:tcW w:type="dxa" w:w="4464"/>
            <w:shd w:val="clear" w:color="auto" w:fill="D9D9D9"/>
          </w:tcPr>
          <w:p>
            <w:r/>
            <w:r>
              <w:rPr>
                <w:b/>
                <w:sz w:val="17"/>
              </w:rPr>
              <w:t>Description</w:t>
            </w:r>
          </w:p>
        </w:tc>
        <w:tc>
          <w:tcPr>
            <w:tcW w:type="dxa" w:w="1800"/>
            <w:shd w:val="clear" w:color="auto" w:fill="D9D9D9"/>
          </w:tcPr>
          <w:p>
            <w:r/>
            <w:r>
              <w:rPr>
                <w:b/>
                <w:sz w:val="17"/>
              </w:rPr>
              <w:t>Bates Range</w:t>
            </w:r>
          </w:p>
        </w:tc>
        <w:tc>
          <w:tcPr>
            <w:tcW w:type="dxa" w:w="1152"/>
            <w:shd w:val="clear" w:color="auto" w:fill="D9D9D9"/>
          </w:tcPr>
          <w:p>
            <w:r/>
            <w:r>
              <w:rPr>
                <w:b/>
                <w:sz w:val="17"/>
              </w:rPr>
              <w:t>Purpose</w:t>
            </w:r>
          </w:p>
        </w:tc>
        <w:tc>
          <w:tcPr>
            <w:tcW w:type="dxa" w:w="1152"/>
            <w:shd w:val="clear" w:color="auto" w:fill="D9D9D9"/>
          </w:tcPr>
          <w:p>
            <w:r/>
            <w:r>
              <w:rPr>
                <w:b/>
                <w:sz w:val="17"/>
              </w:rPr>
              <w:t>Designation</w:t>
            </w:r>
          </w:p>
        </w:tc>
      </w:tr>
      <w:tr>
        <w:tc>
          <w:tcPr>
            <w:tcW w:type="dxa" w:w="936"/>
          </w:tcPr>
          <w:p>
            <w:pPr>
              <w:spacing w:after="40"/>
            </w:pPr>
            <w:r/>
            <w:r>
              <w:rPr>
                <w:sz w:val="17"/>
              </w:rPr>
              <w:t>PX-001</w:t>
            </w:r>
          </w:p>
        </w:tc>
        <w:tc>
          <w:tcPr>
            <w:tcW w:type="dxa" w:w="4464"/>
          </w:tcPr>
          <w:p>
            <w:pPr>
              <w:spacing w:after="40"/>
            </w:pPr>
            <w:r/>
            <w:r>
              <w:rPr>
                <w:sz w:val="17"/>
              </w:rPr>
              <w:t>Exclusive Distribution Agreement, Contract No. CSG-RM-2021-0301, dated March 1, 2021, with Exhibit A (Products), Schedule B (MAPC schedule), Exhibit C (House Accounts), and Exhibit D (Price List reference).</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PX-002</w:t>
            </w:r>
          </w:p>
        </w:tc>
        <w:tc>
          <w:tcPr>
            <w:tcW w:type="dxa" w:w="4464"/>
          </w:tcPr>
          <w:p>
            <w:pPr>
              <w:spacing w:after="40"/>
            </w:pPr>
            <w:r/>
            <w:r>
              <w:rPr>
                <w:sz w:val="17"/>
              </w:rPr>
              <w:t>Email from T. Corbin III to M. Hausman (cc: M. Findlay, J. Koppel), Oct. 14, 2020, re "Southeastern Distribution Opportunity" ("firm relationships with over 300 OEM service centers"). [Dep. Ex. 14]</w:t>
            </w:r>
          </w:p>
        </w:tc>
        <w:tc>
          <w:tcPr>
            <w:tcW w:type="dxa" w:w="1800"/>
          </w:tcPr>
          <w:p>
            <w:pPr>
              <w:spacing w:after="40"/>
            </w:pPr>
            <w:r/>
            <w:r>
              <w:rPr>
                <w:sz w:val="17"/>
              </w:rPr>
              <w:t>CSG-001204–CSG-001207</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PX-003</w:t>
            </w:r>
          </w:p>
        </w:tc>
        <w:tc>
          <w:tcPr>
            <w:tcW w:type="dxa" w:w="4464"/>
          </w:tcPr>
          <w:p>
            <w:pPr>
              <w:spacing w:after="40"/>
            </w:pPr>
            <w:r/>
            <w:r>
              <w:rPr>
                <w:sz w:val="17"/>
              </w:rPr>
              <w:t>Corbin Supply PowerPoint presentation, "Exclusive Distribution Partnership Proposal," delivered at Ridgeline HQ, Butler, PA, Nov. 9, 2020 (15 slides; incl. Slides 4, 5, 7, 8, 11, 13, 15). [Dep. Ex. 17]</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PX-004</w:t>
            </w:r>
          </w:p>
        </w:tc>
        <w:tc>
          <w:tcPr>
            <w:tcW w:type="dxa" w:w="4464"/>
          </w:tcPr>
          <w:p>
            <w:pPr>
              <w:spacing w:after="40"/>
            </w:pPr>
            <w:r/>
            <w:r>
              <w:rPr>
                <w:sz w:val="17"/>
              </w:rPr>
              <w:t>Letter from T. Corbin III to M. Hausman, Dec. 3, 2020, re follow-up to Nov. 9 presentation (11 warehouses; 42-person dedicated hydraulic sales force; 300+ active relationships; proposed MAPC schedule). [Dep. Ex. 19]</w:t>
            </w:r>
          </w:p>
        </w:tc>
        <w:tc>
          <w:tcPr>
            <w:tcW w:type="dxa" w:w="1800"/>
          </w:tcPr>
          <w:p>
            <w:pPr>
              <w:spacing w:after="40"/>
            </w:pPr>
            <w:r/>
            <w:r>
              <w:rPr>
                <w:sz w:val="17"/>
              </w:rPr>
              <w:t>CSG-001210–CSG-001215</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PX-005</w:t>
            </w:r>
          </w:p>
        </w:tc>
        <w:tc>
          <w:tcPr>
            <w:tcW w:type="dxa" w:w="4464"/>
          </w:tcPr>
          <w:p>
            <w:pPr>
              <w:spacing w:after="40"/>
            </w:pPr>
            <w:r/>
            <w:r>
              <w:rPr>
                <w:sz w:val="17"/>
              </w:rPr>
              <w:t>Email from M. Hausman to T. Corbin III (cc: D. Rinaldi, M. Findlay, J. Koppel), Jan. 8, 2021, transmitting draft EDA and disclosing planned Greenville, SC shipping facility.</w:t>
            </w:r>
          </w:p>
        </w:tc>
        <w:tc>
          <w:tcPr>
            <w:tcW w:type="dxa" w:w="1800"/>
          </w:tcPr>
          <w:p>
            <w:pPr>
              <w:spacing w:after="40"/>
            </w:pPr>
            <w:r/>
            <w:r>
              <w:rPr>
                <w:sz w:val="17"/>
              </w:rPr>
              <w:t>RS-000127–RS-000130</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PX-006</w:t>
            </w:r>
          </w:p>
        </w:tc>
        <w:tc>
          <w:tcPr>
            <w:tcW w:type="dxa" w:w="4464"/>
          </w:tcPr>
          <w:p>
            <w:pPr>
              <w:spacing w:after="40"/>
            </w:pPr>
            <w:r/>
            <w:r>
              <w:rPr>
                <w:sz w:val="17"/>
              </w:rPr>
              <w:t>Email from T. Corbin III to M. Hausman (cc: J. Koppel, D. Rinaldi, M. Findlay), Feb. 12, 2021, re "Exclusive Distribution Agreement — Final Review" (reaffirming "300-plus service center relationships" and "dedicated 42-person hydraulic sales team"), with redline attachment.</w:t>
            </w:r>
          </w:p>
        </w:tc>
        <w:tc>
          <w:tcPr>
            <w:tcW w:type="dxa" w:w="1800"/>
          </w:tcPr>
          <w:p>
            <w:pPr>
              <w:spacing w:after="40"/>
            </w:pPr>
            <w:r/>
            <w:r>
              <w:rPr>
                <w:sz w:val="17"/>
              </w:rPr>
              <w:t>CSG-001230–CSG-001234</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PX-007</w:t>
            </w:r>
          </w:p>
        </w:tc>
        <w:tc>
          <w:tcPr>
            <w:tcW w:type="dxa" w:w="4464"/>
          </w:tcPr>
          <w:p>
            <w:pPr>
              <w:spacing w:after="40"/>
            </w:pPr>
            <w:r/>
            <w:r>
              <w:rPr>
                <w:sz w:val="17"/>
              </w:rPr>
              <w:t>Corbin Supply Internal Memorandum from M. Findlay to "Senior Leadership," Jan. 15, 2021, "Strategic Assessment — Ridgeline Manufacturing Exclusive Distribution Agreement" (the "Findlay Memo"). [Dep. Ex. 31]</w:t>
            </w:r>
          </w:p>
        </w:tc>
        <w:tc>
          <w:tcPr>
            <w:tcW w:type="dxa" w:w="1800"/>
          </w:tcPr>
          <w:p>
            <w:pPr>
              <w:spacing w:after="40"/>
            </w:pPr>
            <w:r/>
            <w:r>
              <w:rPr>
                <w:sz w:val="17"/>
              </w:rPr>
              <w:t>CSG-00004721 (full range 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PX-008</w:t>
            </w:r>
          </w:p>
        </w:tc>
        <w:tc>
          <w:tcPr>
            <w:tcW w:type="dxa" w:w="4464"/>
          </w:tcPr>
          <w:p>
            <w:pPr>
              <w:spacing w:after="40"/>
            </w:pPr>
            <w:r/>
            <w:r>
              <w:rPr>
                <w:sz w:val="17"/>
              </w:rPr>
              <w:t>Corbin Supply CRM database export, OEM service center accounts in the 12-state Territory (187 accounts with "active" status). [Dep. Ex. 23]</w:t>
            </w:r>
          </w:p>
        </w:tc>
        <w:tc>
          <w:tcPr>
            <w:tcW w:type="dxa" w:w="1800"/>
          </w:tcPr>
          <w:p>
            <w:pPr>
              <w:spacing w:after="40"/>
            </w:pPr>
            <w:r/>
            <w:r>
              <w:rPr>
                <w:sz w:val="17"/>
              </w:rPr>
              <w:t>CSG-004217–CSG-004231 (to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PX-009</w:t>
            </w:r>
          </w:p>
        </w:tc>
        <w:tc>
          <w:tcPr>
            <w:tcW w:type="dxa" w:w="4464"/>
          </w:tcPr>
          <w:p>
            <w:pPr>
              <w:spacing w:after="40"/>
            </w:pPr>
            <w:r/>
            <w:r>
              <w:rPr>
                <w:sz w:val="17"/>
              </w:rPr>
              <w:t>Corbin Supply internal warehouse status report (7 operational; 2 under lease negotiation; 2 shared-space without dedicated climate control).</w:t>
            </w:r>
          </w:p>
        </w:tc>
        <w:tc>
          <w:tcPr>
            <w:tcW w:type="dxa" w:w="1800"/>
          </w:tcPr>
          <w:p>
            <w:pPr>
              <w:spacing w:after="40"/>
            </w:pPr>
            <w:r/>
            <w:r>
              <w:rPr>
                <w:sz w:val="17"/>
              </w:rPr>
              <w:t>CSG-005102–CSG-005108</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PX-010</w:t>
            </w:r>
          </w:p>
        </w:tc>
        <w:tc>
          <w:tcPr>
            <w:tcW w:type="dxa" w:w="4464"/>
          </w:tcPr>
          <w:p>
            <w:pPr>
              <w:spacing w:after="40"/>
            </w:pPr>
            <w:r/>
            <w:r>
              <w:rPr>
                <w:sz w:val="17"/>
              </w:rPr>
              <w:t>Corbin Supply sales-force roster with product-line assignments, Feb. 2021 (23 hydraulic representatives with "primary" or "exclusive" designation). [Dep. Ex. 24]</w:t>
            </w:r>
          </w:p>
        </w:tc>
        <w:tc>
          <w:tcPr>
            <w:tcW w:type="dxa" w:w="1800"/>
          </w:tcPr>
          <w:p>
            <w:pPr>
              <w:spacing w:after="40"/>
            </w:pPr>
            <w:r/>
            <w:r>
              <w:rPr>
                <w:sz w:val="17"/>
              </w:rPr>
              <w:t>CSG-005440–CSG-005447</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PX-011</w:t>
            </w:r>
          </w:p>
        </w:tc>
        <w:tc>
          <w:tcPr>
            <w:tcW w:type="dxa" w:w="4464"/>
          </w:tcPr>
          <w:p>
            <w:pPr>
              <w:spacing w:after="40"/>
            </w:pPr>
            <w:r/>
            <w:r>
              <w:rPr>
                <w:sz w:val="17"/>
              </w:rPr>
              <w:t>Corbin Supply purchase orders and invoices, Contract Year 1 (Mar. 1, 2021–Feb. 28, 2022) (total $5,120,000).</w:t>
            </w:r>
          </w:p>
        </w:tc>
        <w:tc>
          <w:tcPr>
            <w:tcW w:type="dxa" w:w="1800"/>
          </w:tcPr>
          <w:p>
            <w:pPr>
              <w:spacing w:after="40"/>
            </w:pPr>
            <w:r/>
            <w:r>
              <w:rPr>
                <w:sz w:val="17"/>
              </w:rPr>
              <w:t>CSG 000101–CSG 000198</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PX-012</w:t>
            </w:r>
          </w:p>
        </w:tc>
        <w:tc>
          <w:tcPr>
            <w:tcW w:type="dxa" w:w="4464"/>
          </w:tcPr>
          <w:p>
            <w:pPr>
              <w:spacing w:after="40"/>
            </w:pPr>
            <w:r/>
            <w:r>
              <w:rPr>
                <w:sz w:val="17"/>
              </w:rPr>
              <w:t>Corbin Supply purchase orders and invoices, Contract Year 2 (Mar. 1, 2022–Feb. 28, 2023) (total $4,370,000).</w:t>
            </w:r>
          </w:p>
        </w:tc>
        <w:tc>
          <w:tcPr>
            <w:tcW w:type="dxa" w:w="1800"/>
          </w:tcPr>
          <w:p>
            <w:pPr>
              <w:spacing w:after="40"/>
            </w:pPr>
            <w:r/>
            <w:r>
              <w:rPr>
                <w:sz w:val="17"/>
              </w:rPr>
              <w:t>CSG 000199–CSG 000314</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PX-013</w:t>
            </w:r>
          </w:p>
        </w:tc>
        <w:tc>
          <w:tcPr>
            <w:tcW w:type="dxa" w:w="4464"/>
          </w:tcPr>
          <w:p>
            <w:pPr>
              <w:spacing w:after="40"/>
            </w:pPr>
            <w:r/>
            <w:r>
              <w:rPr>
                <w:sz w:val="17"/>
              </w:rPr>
              <w:t>Corbin Supply quarterly purchase reports and year-end reconciliation statements delivered under EDA § 4.2, Years 1–2.</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May offer</w:t>
            </w:r>
          </w:p>
        </w:tc>
      </w:tr>
      <w:tr>
        <w:tc>
          <w:tcPr>
            <w:tcW w:type="dxa" w:w="936"/>
          </w:tcPr>
          <w:p>
            <w:pPr>
              <w:spacing w:after="40"/>
            </w:pPr>
            <w:r/>
            <w:r>
              <w:rPr>
                <w:sz w:val="17"/>
              </w:rPr>
              <w:t>PX-014</w:t>
            </w:r>
          </w:p>
        </w:tc>
        <w:tc>
          <w:tcPr>
            <w:tcW w:type="dxa" w:w="4464"/>
          </w:tcPr>
          <w:p>
            <w:pPr>
              <w:spacing w:after="40"/>
            </w:pPr>
            <w:r/>
            <w:r>
              <w:rPr>
                <w:sz w:val="17"/>
              </w:rPr>
              <w:t>Ridgeline cure notice to Corbin Supply under EDA § 8.2, Mar. 15, 2022.</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PX-015</w:t>
            </w:r>
          </w:p>
        </w:tc>
        <w:tc>
          <w:tcPr>
            <w:tcW w:type="dxa" w:w="4464"/>
          </w:tcPr>
          <w:p>
            <w:pPr>
              <w:spacing w:after="40"/>
            </w:pPr>
            <w:r/>
            <w:r>
              <w:rPr>
                <w:sz w:val="17"/>
              </w:rPr>
              <w:t>Letter from J. Koppel (Corbin Supply) to D. Rinaldi, Mar. 28, 2022, responding to cure notice ("committed to the relationship"; "increase efforts").</w:t>
            </w:r>
          </w:p>
        </w:tc>
        <w:tc>
          <w:tcPr>
            <w:tcW w:type="dxa" w:w="1800"/>
          </w:tcPr>
          <w:p>
            <w:pPr>
              <w:spacing w:after="40"/>
            </w:pPr>
            <w:r/>
            <w:r>
              <w:rPr>
                <w:sz w:val="17"/>
              </w:rPr>
              <w:t>To be confirmed</w:t>
            </w:r>
          </w:p>
        </w:tc>
        <w:tc>
          <w:tcPr>
            <w:tcW w:type="dxa" w:w="1152"/>
          </w:tcPr>
          <w:p>
            <w:pPr>
              <w:spacing w:after="40"/>
            </w:pPr>
            <w:r/>
            <w:r>
              <w:rPr>
                <w:sz w:val="17"/>
              </w:rPr>
              <w:t>Both</w:t>
            </w:r>
          </w:p>
        </w:tc>
        <w:tc>
          <w:tcPr>
            <w:tcW w:type="dxa" w:w="1152"/>
          </w:tcPr>
          <w:p>
            <w:pPr>
              <w:spacing w:after="40"/>
            </w:pPr>
            <w:r/>
            <w:r>
              <w:rPr>
                <w:sz w:val="17"/>
              </w:rPr>
              <w:t>Will offer</w:t>
            </w:r>
          </w:p>
        </w:tc>
      </w:tr>
      <w:tr>
        <w:tc>
          <w:tcPr>
            <w:tcW w:type="dxa" w:w="936"/>
          </w:tcPr>
          <w:p>
            <w:pPr>
              <w:spacing w:after="40"/>
            </w:pPr>
            <w:r/>
            <w:r>
              <w:rPr>
                <w:sz w:val="17"/>
              </w:rPr>
              <w:t>PX-016</w:t>
            </w:r>
          </w:p>
        </w:tc>
        <w:tc>
          <w:tcPr>
            <w:tcW w:type="dxa" w:w="4464"/>
          </w:tcPr>
          <w:p>
            <w:pPr>
              <w:spacing w:after="40"/>
            </w:pPr>
            <w:r/>
            <w:r>
              <w:rPr>
                <w:sz w:val="17"/>
              </w:rPr>
              <w:t>D. Rinaldi contemporaneous notes and follow-up correspondence re Apr. 3 and Apr. 28, 2022 calls with J. Koppel requesting a written remediation plan.</w:t>
            </w:r>
          </w:p>
        </w:tc>
        <w:tc>
          <w:tcPr>
            <w:tcW w:type="dxa" w:w="1800"/>
          </w:tcPr>
          <w:p>
            <w:pPr>
              <w:spacing w:after="40"/>
            </w:pPr>
            <w:r/>
            <w:r>
              <w:rPr>
                <w:sz w:val="17"/>
              </w:rPr>
              <w:t>To be confirmed</w:t>
            </w:r>
          </w:p>
        </w:tc>
        <w:tc>
          <w:tcPr>
            <w:tcW w:type="dxa" w:w="1152"/>
          </w:tcPr>
          <w:p>
            <w:pPr>
              <w:spacing w:after="40"/>
            </w:pPr>
            <w:r/>
            <w:r>
              <w:rPr>
                <w:sz w:val="17"/>
              </w:rPr>
              <w:t>Both</w:t>
            </w:r>
          </w:p>
        </w:tc>
        <w:tc>
          <w:tcPr>
            <w:tcW w:type="dxa" w:w="1152"/>
          </w:tcPr>
          <w:p>
            <w:pPr>
              <w:spacing w:after="40"/>
            </w:pPr>
            <w:r/>
            <w:r>
              <w:rPr>
                <w:sz w:val="17"/>
              </w:rPr>
              <w:t>May offer</w:t>
            </w:r>
          </w:p>
        </w:tc>
      </w:tr>
      <w:tr>
        <w:tc>
          <w:tcPr>
            <w:tcW w:type="dxa" w:w="936"/>
          </w:tcPr>
          <w:p>
            <w:pPr>
              <w:spacing w:after="40"/>
            </w:pPr>
            <w:r/>
            <w:r>
              <w:rPr>
                <w:sz w:val="17"/>
              </w:rPr>
              <w:t>PX-017</w:t>
            </w:r>
          </w:p>
        </w:tc>
        <w:tc>
          <w:tcPr>
            <w:tcW w:type="dxa" w:w="4464"/>
          </w:tcPr>
          <w:p>
            <w:pPr>
              <w:spacing w:after="40"/>
            </w:pPr>
            <w:r/>
            <w:r>
              <w:rPr>
                <w:sz w:val="17"/>
              </w:rPr>
              <w:t>Ridgeline notice of termination of the EDA under § 8.4, Mar. 10, 2023.</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PX-018</w:t>
            </w:r>
          </w:p>
        </w:tc>
        <w:tc>
          <w:tcPr>
            <w:tcW w:type="dxa" w:w="4464"/>
          </w:tcPr>
          <w:p>
            <w:pPr>
              <w:spacing w:after="40"/>
            </w:pPr>
            <w:r/>
            <w:r>
              <w:rPr>
                <w:sz w:val="17"/>
              </w:rPr>
              <w:t>Commercial Lease Agreement between Hargrove Logistics, Inc. and Ridgeline, June 1, 2021, 2280 Industrial Parkway, Greenville, SC 29607, with Exhibits A–B (36 months; $51,388.89/month; Total Rent $1,850,000.00; early-termination §§ 7.1–7.3).</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PX-019</w:t>
            </w:r>
          </w:p>
        </w:tc>
        <w:tc>
          <w:tcPr>
            <w:tcW w:type="dxa" w:w="4464"/>
          </w:tcPr>
          <w:p>
            <w:pPr>
              <w:spacing w:after="40"/>
            </w:pPr>
            <w:r/>
            <w:r>
              <w:rPr>
                <w:sz w:val="17"/>
              </w:rPr>
              <w:t>Ridgeline rent payment records to Hargrove Logistics, June 2021–May 2024.</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PX-020</w:t>
            </w:r>
          </w:p>
        </w:tc>
        <w:tc>
          <w:tcPr>
            <w:tcW w:type="dxa" w:w="4464"/>
          </w:tcPr>
          <w:p>
            <w:pPr>
              <w:spacing w:after="40"/>
            </w:pPr>
            <w:r/>
            <w:r>
              <w:rPr>
                <w:sz w:val="17"/>
              </w:rPr>
              <w:t>Sublease listing agreement and broker correspondence for the Greenville premises, Apr. 2023 forward.</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PX-021</w:t>
            </w:r>
          </w:p>
        </w:tc>
        <w:tc>
          <w:tcPr>
            <w:tcW w:type="dxa" w:w="4464"/>
          </w:tcPr>
          <w:p>
            <w:pPr>
              <w:spacing w:after="40"/>
            </w:pPr>
            <w:r/>
            <w:r>
              <w:rPr>
                <w:sz w:val="17"/>
              </w:rPr>
              <w:t>Invoices, purchase orders, specifications, and payment records for specialized packaging equipment ($475,000).</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PX-022</w:t>
            </w:r>
          </w:p>
        </w:tc>
        <w:tc>
          <w:tcPr>
            <w:tcW w:type="dxa" w:w="4464"/>
          </w:tcPr>
          <w:p>
            <w:pPr>
              <w:spacing w:after="40"/>
            </w:pPr>
            <w:r/>
            <w:r>
              <w:rPr>
                <w:sz w:val="17"/>
              </w:rPr>
              <w:t>Ridgeline fixed-asset records reflecting write-off of the specialized packaging equipment.</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PX-023</w:t>
            </w:r>
          </w:p>
        </w:tc>
        <w:tc>
          <w:tcPr>
            <w:tcW w:type="dxa" w:w="4464"/>
          </w:tcPr>
          <w:p>
            <w:pPr>
              <w:spacing w:after="40"/>
            </w:pPr>
            <w:r/>
            <w:r>
              <w:rPr>
                <w:sz w:val="17"/>
              </w:rPr>
              <w:t>Ridgeline internal approval memorandum authorizing the Greenville lease and packaging equipment procurement.</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PX-024</w:t>
            </w:r>
          </w:p>
        </w:tc>
        <w:tc>
          <w:tcPr>
            <w:tcW w:type="dxa" w:w="4464"/>
          </w:tcPr>
          <w:p>
            <w:pPr>
              <w:spacing w:after="40"/>
            </w:pPr>
            <w:r/>
            <w:r>
              <w:rPr>
                <w:sz w:val="17"/>
              </w:rPr>
              <w:t>Ridgeline internal memorandum from M. Hausman to D. Rinaldi, Oct. 19, 2020, "Corbin Supply Distribution Proposal — Preliminary Assessment."</w:t>
            </w:r>
          </w:p>
        </w:tc>
        <w:tc>
          <w:tcPr>
            <w:tcW w:type="dxa" w:w="1800"/>
          </w:tcPr>
          <w:p>
            <w:pPr>
              <w:spacing w:after="40"/>
            </w:pPr>
            <w:r/>
            <w:r>
              <w:rPr>
                <w:sz w:val="17"/>
              </w:rPr>
              <w:t>RS-000112–RS-000114</w:t>
            </w:r>
          </w:p>
        </w:tc>
        <w:tc>
          <w:tcPr>
            <w:tcW w:type="dxa" w:w="1152"/>
          </w:tcPr>
          <w:p>
            <w:pPr>
              <w:spacing w:after="40"/>
            </w:pPr>
            <w:r/>
            <w:r>
              <w:rPr>
                <w:sz w:val="17"/>
              </w:rPr>
              <w:t>Sub.</w:t>
            </w:r>
          </w:p>
        </w:tc>
        <w:tc>
          <w:tcPr>
            <w:tcW w:type="dxa" w:w="1152"/>
          </w:tcPr>
          <w:p>
            <w:pPr>
              <w:spacing w:after="40"/>
            </w:pPr>
            <w:r/>
            <w:r>
              <w:rPr>
                <w:sz w:val="17"/>
              </w:rPr>
              <w:t>May offer</w:t>
            </w:r>
          </w:p>
        </w:tc>
      </w:tr>
      <w:tr>
        <w:tc>
          <w:tcPr>
            <w:tcW w:type="dxa" w:w="936"/>
          </w:tcPr>
          <w:p>
            <w:pPr>
              <w:spacing w:after="40"/>
            </w:pPr>
            <w:r/>
            <w:r>
              <w:rPr>
                <w:sz w:val="17"/>
              </w:rPr>
              <w:t>PX-025</w:t>
            </w:r>
          </w:p>
        </w:tc>
        <w:tc>
          <w:tcPr>
            <w:tcW w:type="dxa" w:w="4464"/>
          </w:tcPr>
          <w:p>
            <w:pPr>
              <w:spacing w:after="40"/>
            </w:pPr>
            <w:r/>
            <w:r>
              <w:rPr>
                <w:sz w:val="17"/>
              </w:rPr>
              <w:t>Distribution Agreement between Ridgeline and Allegheny Industrial Partners, LLC, effective Sept. 1, 2023.</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PX-026</w:t>
            </w:r>
          </w:p>
        </w:tc>
        <w:tc>
          <w:tcPr>
            <w:tcW w:type="dxa" w:w="4464"/>
          </w:tcPr>
          <w:p>
            <w:pPr>
              <w:spacing w:after="40"/>
            </w:pPr>
            <w:r/>
            <w:r>
              <w:rPr>
                <w:sz w:val="17"/>
              </w:rPr>
              <w:t>Ridgeline replacement-distributor search and due-diligence file, Mar.–Aug. 2023 (candidate list, outreach correspondence, site-visit and reference-check records).</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PX-027</w:t>
            </w:r>
          </w:p>
        </w:tc>
        <w:tc>
          <w:tcPr>
            <w:tcW w:type="dxa" w:w="4464"/>
          </w:tcPr>
          <w:p>
            <w:pPr>
              <w:spacing w:after="40"/>
            </w:pPr>
            <w:r/>
            <w:r>
              <w:rPr>
                <w:sz w:val="17"/>
              </w:rPr>
              <w:t>Allegheny Industrial Partners purchase records and projected annual purchase volume ($3.2 million per year), Sept. 2023 to present.</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PX-028</w:t>
            </w:r>
          </w:p>
        </w:tc>
        <w:tc>
          <w:tcPr>
            <w:tcW w:type="dxa" w:w="4464"/>
          </w:tcPr>
          <w:p>
            <w:pPr>
              <w:spacing w:after="40"/>
            </w:pPr>
            <w:r/>
            <w:r>
              <w:rPr>
                <w:sz w:val="17"/>
              </w:rPr>
              <w:t>Ridgeline audited financial statements, FY2018–FY2023, Stonebridge Accounting Group LLP.</w:t>
            </w:r>
          </w:p>
        </w:tc>
        <w:tc>
          <w:tcPr>
            <w:tcW w:type="dxa" w:w="1800"/>
          </w:tcPr>
          <w:p>
            <w:pPr>
              <w:spacing w:after="40"/>
            </w:pPr>
            <w:r/>
            <w:r>
              <w:rPr>
                <w:sz w:val="17"/>
              </w:rPr>
              <w:t>RM 000090–RM 000287 (to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PX-029</w:t>
            </w:r>
          </w:p>
        </w:tc>
        <w:tc>
          <w:tcPr>
            <w:tcW w:type="dxa" w:w="4464"/>
          </w:tcPr>
          <w:p>
            <w:pPr>
              <w:spacing w:after="40"/>
            </w:pPr>
            <w:r/>
            <w:r>
              <w:rPr>
                <w:sz w:val="17"/>
              </w:rPr>
              <w:t>Ridgeline cost-of-goods-sold records and gross-margin reports, distributor channel sales.</w:t>
            </w:r>
          </w:p>
        </w:tc>
        <w:tc>
          <w:tcPr>
            <w:tcW w:type="dxa" w:w="1800"/>
          </w:tcPr>
          <w:p>
            <w:pPr>
              <w:spacing w:after="40"/>
            </w:pPr>
            <w:r/>
            <w:r>
              <w:rPr>
                <w:sz w:val="17"/>
              </w:rPr>
              <w:t>RM 000430–RM 000478 (to be confirmed)</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PX-030</w:t>
            </w:r>
          </w:p>
        </w:tc>
        <w:tc>
          <w:tcPr>
            <w:tcW w:type="dxa" w:w="4464"/>
          </w:tcPr>
          <w:p>
            <w:pPr>
              <w:spacing w:after="40"/>
            </w:pPr>
            <w:r/>
            <w:r>
              <w:rPr>
                <w:sz w:val="17"/>
              </w:rPr>
              <w:t>Ridgeline southeastern sales summary, pre-EDA fiscal years (non-exclusive distributors).</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May offer</w:t>
            </w:r>
          </w:p>
        </w:tc>
      </w:tr>
      <w:tr>
        <w:tc>
          <w:tcPr>
            <w:tcW w:type="dxa" w:w="936"/>
          </w:tcPr>
          <w:p>
            <w:pPr>
              <w:spacing w:after="40"/>
            </w:pPr>
            <w:r/>
            <w:r>
              <w:rPr>
                <w:sz w:val="17"/>
              </w:rPr>
              <w:t>PX-031</w:t>
            </w:r>
          </w:p>
        </w:tc>
        <w:tc>
          <w:tcPr>
            <w:tcW w:type="dxa" w:w="4464"/>
          </w:tcPr>
          <w:p>
            <w:pPr>
              <w:spacing w:after="40"/>
            </w:pPr>
            <w:r/>
            <w:r>
              <w:rPr>
                <w:sz w:val="17"/>
              </w:rPr>
              <w:t>Fed. R. Evid. 1006 summary: MAPC vs. actual purchases, Years 1–2 (from PX-001, PX-011, PX-012).</w:t>
            </w:r>
          </w:p>
        </w:tc>
        <w:tc>
          <w:tcPr>
            <w:tcW w:type="dxa" w:w="1800"/>
          </w:tcPr>
          <w:p>
            <w:pPr>
              <w:spacing w:after="40"/>
            </w:pPr>
            <w:r/>
            <w:r>
              <w:rPr>
                <w:sz w:val="17"/>
              </w:rPr>
              <w:t>N/A (summary)</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PX-032</w:t>
            </w:r>
          </w:p>
        </w:tc>
        <w:tc>
          <w:tcPr>
            <w:tcW w:type="dxa" w:w="4464"/>
          </w:tcPr>
          <w:p>
            <w:pPr>
              <w:spacing w:after="40"/>
            </w:pPr>
            <w:r/>
            <w:r>
              <w:rPr>
                <w:sz w:val="17"/>
              </w:rPr>
              <w:t>Fed. R. Evid. 1006 summary: damages calculations (Year 1–2 lost profit; Years 3–5 net lost profit; reliance expenditures, full and post-termination) (from PX-018–PX-019, PX-021, PX-025, PX-027–PX-029).</w:t>
            </w:r>
          </w:p>
        </w:tc>
        <w:tc>
          <w:tcPr>
            <w:tcW w:type="dxa" w:w="1800"/>
          </w:tcPr>
          <w:p>
            <w:pPr>
              <w:spacing w:after="40"/>
            </w:pPr>
            <w:r/>
            <w:r>
              <w:rPr>
                <w:sz w:val="17"/>
              </w:rPr>
              <w:t>N/A (summary)</w:t>
            </w:r>
          </w:p>
        </w:tc>
        <w:tc>
          <w:tcPr>
            <w:tcW w:type="dxa" w:w="1152"/>
          </w:tcPr>
          <w:p>
            <w:pPr>
              <w:spacing w:after="40"/>
            </w:pPr>
            <w:r/>
            <w:r>
              <w:rPr>
                <w:sz w:val="17"/>
              </w:rPr>
              <w:t>Sub.</w:t>
            </w:r>
          </w:p>
        </w:tc>
        <w:tc>
          <w:tcPr>
            <w:tcW w:type="dxa" w:w="1152"/>
          </w:tcPr>
          <w:p>
            <w:pPr>
              <w:spacing w:after="40"/>
            </w:pPr>
            <w:r/>
            <w:r>
              <w:rPr>
                <w:sz w:val="17"/>
              </w:rPr>
              <w:t>Will offer</w:t>
            </w:r>
          </w:p>
        </w:tc>
      </w:tr>
      <w:tr>
        <w:tc>
          <w:tcPr>
            <w:tcW w:type="dxa" w:w="936"/>
          </w:tcPr>
          <w:p>
            <w:pPr>
              <w:spacing w:after="40"/>
            </w:pPr>
            <w:r/>
            <w:r>
              <w:rPr>
                <w:sz w:val="17"/>
              </w:rPr>
              <w:t>PX-033</w:t>
            </w:r>
          </w:p>
        </w:tc>
        <w:tc>
          <w:tcPr>
            <w:tcW w:type="dxa" w:w="4464"/>
          </w:tcPr>
          <w:p>
            <w:pPr>
              <w:spacing w:after="40"/>
            </w:pPr>
            <w:r/>
            <w:r>
              <w:rPr>
                <w:sz w:val="17"/>
              </w:rPr>
              <w:t>Expert Report of Dr. Elaine Prescott, May 15, 2024, with Appendices A–F.</w:t>
            </w:r>
          </w:p>
        </w:tc>
        <w:tc>
          <w:tcPr>
            <w:tcW w:type="dxa" w:w="1800"/>
          </w:tcPr>
          <w:p>
            <w:pPr>
              <w:spacing w:after="40"/>
            </w:pPr>
            <w:r/>
            <w:r>
              <w:rPr>
                <w:sz w:val="17"/>
              </w:rPr>
              <w:t>N/A</w:t>
            </w:r>
          </w:p>
        </w:tc>
        <w:tc>
          <w:tcPr>
            <w:tcW w:type="dxa" w:w="1152"/>
          </w:tcPr>
          <w:p>
            <w:pPr>
              <w:spacing w:after="40"/>
            </w:pPr>
            <w:r/>
            <w:r>
              <w:rPr>
                <w:sz w:val="17"/>
              </w:rPr>
              <w:t>Imp. (and Sub. only if admitted by stipulation)</w:t>
            </w:r>
          </w:p>
        </w:tc>
        <w:tc>
          <w:tcPr>
            <w:tcW w:type="dxa" w:w="1152"/>
          </w:tcPr>
          <w:p>
            <w:pPr>
              <w:spacing w:after="40"/>
            </w:pPr>
            <w:r/>
            <w:r>
              <w:rPr>
                <w:sz w:val="17"/>
              </w:rPr>
              <w:t>May offer</w:t>
            </w:r>
          </w:p>
        </w:tc>
      </w:tr>
      <w:tr>
        <w:tc>
          <w:tcPr>
            <w:tcW w:type="dxa" w:w="936"/>
          </w:tcPr>
          <w:p>
            <w:pPr>
              <w:spacing w:after="40"/>
            </w:pPr>
            <w:r/>
            <w:r>
              <w:rPr>
                <w:sz w:val="17"/>
              </w:rPr>
              <w:t>PX-034</w:t>
            </w:r>
          </w:p>
        </w:tc>
        <w:tc>
          <w:tcPr>
            <w:tcW w:type="dxa" w:w="4464"/>
          </w:tcPr>
          <w:p>
            <w:pPr>
              <w:spacing w:after="40"/>
            </w:pPr>
            <w:r/>
            <w:r>
              <w:rPr>
                <w:sz w:val="17"/>
              </w:rPr>
              <w:t>Rebuttal Expert Report of Dr. Elaine Prescott, July 5, 2024.</w:t>
            </w:r>
          </w:p>
        </w:tc>
        <w:tc>
          <w:tcPr>
            <w:tcW w:type="dxa" w:w="1800"/>
          </w:tcPr>
          <w:p>
            <w:pPr>
              <w:spacing w:after="40"/>
            </w:pPr>
            <w:r/>
            <w:r>
              <w:rPr>
                <w:sz w:val="17"/>
              </w:rPr>
              <w:t>N/A</w:t>
            </w:r>
          </w:p>
        </w:tc>
        <w:tc>
          <w:tcPr>
            <w:tcW w:type="dxa" w:w="1152"/>
          </w:tcPr>
          <w:p>
            <w:pPr>
              <w:spacing w:after="40"/>
            </w:pPr>
            <w:r/>
            <w:r>
              <w:rPr>
                <w:sz w:val="17"/>
              </w:rPr>
              <w:t>Imp. (and Sub. only if admitted by stipulation)</w:t>
            </w:r>
          </w:p>
        </w:tc>
        <w:tc>
          <w:tcPr>
            <w:tcW w:type="dxa" w:w="1152"/>
          </w:tcPr>
          <w:p>
            <w:pPr>
              <w:spacing w:after="40"/>
            </w:pPr>
            <w:r/>
            <w:r>
              <w:rPr>
                <w:sz w:val="17"/>
              </w:rPr>
              <w:t>May offer</w:t>
            </w:r>
          </w:p>
        </w:tc>
      </w:tr>
      <w:tr>
        <w:tc>
          <w:tcPr>
            <w:tcW w:type="dxa" w:w="936"/>
          </w:tcPr>
          <w:p>
            <w:pPr>
              <w:spacing w:after="40"/>
            </w:pPr>
            <w:r/>
            <w:r>
              <w:rPr>
                <w:sz w:val="17"/>
              </w:rPr>
              <w:t>PX-035</w:t>
            </w:r>
          </w:p>
        </w:tc>
        <w:tc>
          <w:tcPr>
            <w:tcW w:type="dxa" w:w="4464"/>
          </w:tcPr>
          <w:p>
            <w:pPr>
              <w:spacing w:after="40"/>
            </w:pPr>
            <w:r/>
            <w:r>
              <w:rPr>
                <w:sz w:val="17"/>
              </w:rPr>
              <w:t>Curriculum vitae of Dr. Elaine Prescott.</w:t>
            </w:r>
          </w:p>
        </w:tc>
        <w:tc>
          <w:tcPr>
            <w:tcW w:type="dxa" w:w="1800"/>
          </w:tcPr>
          <w:p>
            <w:pPr>
              <w:spacing w:after="40"/>
            </w:pPr>
            <w:r/>
            <w:r>
              <w:rPr>
                <w:sz w:val="17"/>
              </w:rPr>
              <w:t>N/A</w:t>
            </w:r>
          </w:p>
        </w:tc>
        <w:tc>
          <w:tcPr>
            <w:tcW w:type="dxa" w:w="1152"/>
          </w:tcPr>
          <w:p>
            <w:pPr>
              <w:spacing w:after="40"/>
            </w:pPr>
            <w:r/>
            <w:r>
              <w:rPr>
                <w:sz w:val="17"/>
              </w:rPr>
              <w:t>Sub.</w:t>
            </w:r>
          </w:p>
        </w:tc>
        <w:tc>
          <w:tcPr>
            <w:tcW w:type="dxa" w:w="1152"/>
          </w:tcPr>
          <w:p>
            <w:pPr>
              <w:spacing w:after="40"/>
            </w:pPr>
            <w:r/>
            <w:r>
              <w:rPr>
                <w:sz w:val="17"/>
              </w:rPr>
              <w:t>May offer</w:t>
            </w:r>
          </w:p>
        </w:tc>
      </w:tr>
      <w:tr>
        <w:tc>
          <w:tcPr>
            <w:tcW w:type="dxa" w:w="936"/>
          </w:tcPr>
          <w:p>
            <w:pPr>
              <w:spacing w:after="40"/>
            </w:pPr>
            <w:r/>
            <w:r>
              <w:rPr>
                <w:sz w:val="17"/>
              </w:rPr>
              <w:t>PX-036</w:t>
            </w:r>
          </w:p>
        </w:tc>
        <w:tc>
          <w:tcPr>
            <w:tcW w:type="dxa" w:w="4464"/>
          </w:tcPr>
          <w:p>
            <w:pPr>
              <w:spacing w:after="40"/>
            </w:pPr>
            <w:r/>
            <w:r>
              <w:rPr>
                <w:sz w:val="17"/>
              </w:rPr>
              <w:t>Expert Report of Warren Holt, CPA/ABV, June 14, 2024, with Appendices A–B.</w:t>
            </w:r>
          </w:p>
        </w:tc>
        <w:tc>
          <w:tcPr>
            <w:tcW w:type="dxa" w:w="1800"/>
          </w:tcPr>
          <w:p>
            <w:pPr>
              <w:spacing w:after="40"/>
            </w:pPr>
            <w:r/>
            <w:r>
              <w:rPr>
                <w:sz w:val="17"/>
              </w:rPr>
              <w:t>N/A</w:t>
            </w:r>
          </w:p>
        </w:tc>
        <w:tc>
          <w:tcPr>
            <w:tcW w:type="dxa" w:w="1152"/>
          </w:tcPr>
          <w:p>
            <w:pPr>
              <w:spacing w:after="40"/>
            </w:pPr>
            <w:r/>
            <w:r>
              <w:rPr>
                <w:sz w:val="17"/>
              </w:rPr>
              <w:t>Imp.</w:t>
            </w:r>
          </w:p>
        </w:tc>
        <w:tc>
          <w:tcPr>
            <w:tcW w:type="dxa" w:w="1152"/>
          </w:tcPr>
          <w:p>
            <w:pPr>
              <w:spacing w:after="40"/>
            </w:pPr>
            <w:r/>
            <w:r>
              <w:rPr>
                <w:sz w:val="17"/>
              </w:rPr>
              <w:t>May offer</w:t>
            </w:r>
          </w:p>
        </w:tc>
      </w:tr>
      <w:tr>
        <w:tc>
          <w:tcPr>
            <w:tcW w:type="dxa" w:w="936"/>
          </w:tcPr>
          <w:p>
            <w:pPr>
              <w:spacing w:after="40"/>
            </w:pPr>
            <w:r/>
            <w:r>
              <w:rPr>
                <w:sz w:val="17"/>
              </w:rPr>
              <w:t>PX-037</w:t>
            </w:r>
          </w:p>
        </w:tc>
        <w:tc>
          <w:tcPr>
            <w:tcW w:type="dxa" w:w="4464"/>
          </w:tcPr>
          <w:p>
            <w:pPr>
              <w:spacing w:after="40"/>
            </w:pPr>
            <w:r/>
            <w:r>
              <w:rPr>
                <w:sz w:val="17"/>
              </w:rPr>
              <w:t>Deposition transcript of Theodore Corbin III, Jan. 22, 2024 (designated excerpts, incl. 45:3–68:14; 72:8–86:19; 92:1–97:15; 98:7–108:22).</w:t>
            </w:r>
          </w:p>
        </w:tc>
        <w:tc>
          <w:tcPr>
            <w:tcW w:type="dxa" w:w="1800"/>
          </w:tcPr>
          <w:p>
            <w:pPr>
              <w:spacing w:after="40"/>
            </w:pPr>
            <w:r/>
            <w:r>
              <w:rPr>
                <w:sz w:val="17"/>
              </w:rPr>
              <w:t>N/A</w:t>
            </w:r>
          </w:p>
        </w:tc>
        <w:tc>
          <w:tcPr>
            <w:tcW w:type="dxa" w:w="1152"/>
          </w:tcPr>
          <w:p>
            <w:pPr>
              <w:spacing w:after="40"/>
            </w:pPr>
            <w:r/>
            <w:r>
              <w:rPr>
                <w:sz w:val="17"/>
              </w:rPr>
              <w:t>Both</w:t>
            </w:r>
          </w:p>
        </w:tc>
        <w:tc>
          <w:tcPr>
            <w:tcW w:type="dxa" w:w="1152"/>
          </w:tcPr>
          <w:p>
            <w:pPr>
              <w:spacing w:after="40"/>
            </w:pPr>
            <w:r/>
            <w:r>
              <w:rPr>
                <w:sz w:val="17"/>
              </w:rPr>
              <w:t>Will offer (if witness not produced live)</w:t>
            </w:r>
          </w:p>
        </w:tc>
      </w:tr>
      <w:tr>
        <w:tc>
          <w:tcPr>
            <w:tcW w:type="dxa" w:w="936"/>
          </w:tcPr>
          <w:p>
            <w:pPr>
              <w:spacing w:after="40"/>
            </w:pPr>
            <w:r/>
            <w:r>
              <w:rPr>
                <w:sz w:val="17"/>
              </w:rPr>
              <w:t>PX-038</w:t>
            </w:r>
          </w:p>
        </w:tc>
        <w:tc>
          <w:tcPr>
            <w:tcW w:type="dxa" w:w="4464"/>
          </w:tcPr>
          <w:p>
            <w:pPr>
              <w:spacing w:after="40"/>
            </w:pPr>
            <w:r/>
            <w:r>
              <w:rPr>
                <w:sz w:val="17"/>
              </w:rPr>
              <w:t>Deposition transcript of Marcus Findlay, Feb. 8, 2024 (designated excerpts, incl. 8:12–16:5; 22:3–44:18; 48:7–64:21; 71:3–78:15).</w:t>
            </w:r>
          </w:p>
        </w:tc>
        <w:tc>
          <w:tcPr>
            <w:tcW w:type="dxa" w:w="1800"/>
          </w:tcPr>
          <w:p>
            <w:pPr>
              <w:spacing w:after="40"/>
            </w:pPr>
            <w:r/>
            <w:r>
              <w:rPr>
                <w:sz w:val="17"/>
              </w:rPr>
              <w:t>N/A</w:t>
            </w:r>
          </w:p>
        </w:tc>
        <w:tc>
          <w:tcPr>
            <w:tcW w:type="dxa" w:w="1152"/>
          </w:tcPr>
          <w:p>
            <w:pPr>
              <w:spacing w:after="40"/>
            </w:pPr>
            <w:r/>
            <w:r>
              <w:rPr>
                <w:sz w:val="17"/>
              </w:rPr>
              <w:t>Both</w:t>
            </w:r>
          </w:p>
        </w:tc>
        <w:tc>
          <w:tcPr>
            <w:tcW w:type="dxa" w:w="1152"/>
          </w:tcPr>
          <w:p>
            <w:pPr>
              <w:spacing w:after="40"/>
            </w:pPr>
            <w:r/>
            <w:r>
              <w:rPr>
                <w:sz w:val="17"/>
              </w:rPr>
              <w:t>Will offer (if witness not produced live)</w:t>
            </w:r>
          </w:p>
        </w:tc>
      </w:tr>
      <w:tr>
        <w:tc>
          <w:tcPr>
            <w:tcW w:type="dxa" w:w="936"/>
          </w:tcPr>
          <w:p>
            <w:pPr>
              <w:spacing w:after="40"/>
            </w:pPr>
            <w:r/>
            <w:r>
              <w:rPr>
                <w:sz w:val="17"/>
              </w:rPr>
              <w:t>PX-039</w:t>
            </w:r>
          </w:p>
        </w:tc>
        <w:tc>
          <w:tcPr>
            <w:tcW w:type="dxa" w:w="4464"/>
          </w:tcPr>
          <w:p>
            <w:pPr>
              <w:spacing w:after="40"/>
            </w:pPr>
            <w:r/>
            <w:r>
              <w:rPr>
                <w:sz w:val="17"/>
              </w:rPr>
              <w:t>Deposition transcript of Warren Holt, CPA/ABV, May 2, 2024 (designated excerpts, incl. 18:3–38:22; 42:7–58:14; 62:3–78:19; 82:4–84:9).</w:t>
            </w:r>
          </w:p>
        </w:tc>
        <w:tc>
          <w:tcPr>
            <w:tcW w:type="dxa" w:w="1800"/>
          </w:tcPr>
          <w:p>
            <w:pPr>
              <w:spacing w:after="40"/>
            </w:pPr>
            <w:r/>
            <w:r>
              <w:rPr>
                <w:sz w:val="17"/>
              </w:rPr>
              <w:t>N/A</w:t>
            </w:r>
          </w:p>
        </w:tc>
        <w:tc>
          <w:tcPr>
            <w:tcW w:type="dxa" w:w="1152"/>
          </w:tcPr>
          <w:p>
            <w:pPr>
              <w:spacing w:after="40"/>
            </w:pPr>
            <w:r/>
            <w:r>
              <w:rPr>
                <w:sz w:val="17"/>
              </w:rPr>
              <w:t>Both</w:t>
            </w:r>
          </w:p>
        </w:tc>
        <w:tc>
          <w:tcPr>
            <w:tcW w:type="dxa" w:w="1152"/>
          </w:tcPr>
          <w:p>
            <w:pPr>
              <w:spacing w:after="40"/>
            </w:pPr>
            <w:r/>
            <w:r>
              <w:rPr>
                <w:sz w:val="17"/>
              </w:rPr>
              <w:t>May offer</w:t>
            </w:r>
          </w:p>
        </w:tc>
      </w:tr>
      <w:tr>
        <w:tc>
          <w:tcPr>
            <w:tcW w:type="dxa" w:w="936"/>
          </w:tcPr>
          <w:p>
            <w:pPr>
              <w:spacing w:after="40"/>
            </w:pPr>
            <w:r/>
            <w:r>
              <w:rPr>
                <w:sz w:val="17"/>
              </w:rPr>
              <w:t>PX-040</w:t>
            </w:r>
          </w:p>
        </w:tc>
        <w:tc>
          <w:tcPr>
            <w:tcW w:type="dxa" w:w="4464"/>
          </w:tcPr>
          <w:p>
            <w:pPr>
              <w:spacing w:after="40"/>
            </w:pPr>
            <w:r/>
            <w:r>
              <w:rPr>
                <w:sz w:val="17"/>
              </w:rPr>
              <w:t>Corbin Supply’s draft sales-acceleration/remediation proposal prepared by M. Findlay after the Mar. 15, 2022 cure notice (Findlay Dep. 71:3–78:15), to the extent produced.</w:t>
            </w:r>
          </w:p>
        </w:tc>
        <w:tc>
          <w:tcPr>
            <w:tcW w:type="dxa" w:w="1800"/>
          </w:tcPr>
          <w:p>
            <w:pPr>
              <w:spacing w:after="40"/>
            </w:pPr>
            <w:r/>
            <w:r>
              <w:rPr>
                <w:sz w:val="17"/>
              </w:rPr>
              <w:t>To be confirmed</w:t>
            </w:r>
          </w:p>
        </w:tc>
        <w:tc>
          <w:tcPr>
            <w:tcW w:type="dxa" w:w="1152"/>
          </w:tcPr>
          <w:p>
            <w:pPr>
              <w:spacing w:after="40"/>
            </w:pPr>
            <w:r/>
            <w:r>
              <w:rPr>
                <w:sz w:val="17"/>
              </w:rPr>
              <w:t>Sub.</w:t>
            </w:r>
          </w:p>
        </w:tc>
        <w:tc>
          <w:tcPr>
            <w:tcW w:type="dxa" w:w="1152"/>
          </w:tcPr>
          <w:p>
            <w:pPr>
              <w:spacing w:after="40"/>
            </w:pPr>
            <w:r/>
            <w:r>
              <w:rPr>
                <w:sz w:val="17"/>
              </w:rPr>
              <w:t>May offer</w:t>
            </w:r>
          </w:p>
        </w:tc>
      </w:tr>
      <w:tr>
        <w:tc>
          <w:tcPr>
            <w:tcW w:type="dxa" w:w="936"/>
          </w:tcPr>
          <w:p>
            <w:pPr>
              <w:spacing w:after="40"/>
            </w:pPr>
            <w:r/>
            <w:r>
              <w:rPr>
                <w:sz w:val="17"/>
              </w:rPr>
              <w:t>PX-041</w:t>
            </w:r>
          </w:p>
        </w:tc>
        <w:tc>
          <w:tcPr>
            <w:tcW w:type="dxa" w:w="4464"/>
          </w:tcPr>
          <w:p>
            <w:pPr>
              <w:spacing w:after="40"/>
            </w:pPr>
            <w:r/>
            <w:r>
              <w:rPr>
                <w:sz w:val="17"/>
              </w:rPr>
              <w:t>Corbin Supply’s answers to interrogatories and responses to requests for admission.</w:t>
            </w:r>
          </w:p>
        </w:tc>
        <w:tc>
          <w:tcPr>
            <w:tcW w:type="dxa" w:w="1800"/>
          </w:tcPr>
          <w:p>
            <w:pPr>
              <w:spacing w:after="40"/>
            </w:pPr>
            <w:r/>
            <w:r>
              <w:rPr>
                <w:sz w:val="17"/>
              </w:rPr>
              <w:t>N/A</w:t>
            </w:r>
          </w:p>
        </w:tc>
        <w:tc>
          <w:tcPr>
            <w:tcW w:type="dxa" w:w="1152"/>
          </w:tcPr>
          <w:p>
            <w:pPr>
              <w:spacing w:after="40"/>
            </w:pPr>
            <w:r/>
            <w:r>
              <w:rPr>
                <w:sz w:val="17"/>
              </w:rPr>
              <w:t>Both</w:t>
            </w:r>
          </w:p>
        </w:tc>
        <w:tc>
          <w:tcPr>
            <w:tcW w:type="dxa" w:w="1152"/>
          </w:tcPr>
          <w:p>
            <w:pPr>
              <w:spacing w:after="40"/>
            </w:pPr>
            <w:r/>
            <w:r>
              <w:rPr>
                <w:sz w:val="17"/>
              </w:rPr>
              <w:t>May offer</w:t>
            </w:r>
          </w:p>
        </w:tc>
      </w:tr>
    </w:tbl>
    <w:p>
      <w:pPr>
        <w:spacing w:after="40"/>
      </w:pPr>
    </w:p>
    <w:p>
      <w:pPr>
        <w:jc w:val="both"/>
      </w:pPr>
      <w:r>
        <w:rPr>
          <w:b/>
        </w:rPr>
        <w:t>Items removed from the preliminary list.</w:t>
      </w:r>
      <w:r>
        <w:t xml:space="preserve"> Ridgeline has not listed the Court’s November 15, 2024 Memorandum Opinion or Defendant’s Answer as jury exhibits. Ridgeline proposes that the established facts be presented to the jury through Stipulated Facts 22–26 and the Court’s instructions. The EDA’s schedules are included within PX-001 and are not listed separately. The EDA contains no separate territory-map schedule. The Territory is defined in § 1.15.</w:t>
      </w:r>
    </w:p>
    <w:p>
      <w:pPr>
        <w:pStyle w:val="Heading1"/>
        <w:jc w:val="left"/>
      </w:pPr>
      <w:r>
        <w:rPr>
          <w:u w:val="single"/>
        </w:rPr>
        <w:t>SECTION 9 — DEFENDANT’S EXHIBIT LIST</w:t>
      </w:r>
    </w:p>
    <w:p>
      <w:pPr>
        <w:jc w:val="both"/>
      </w:pPr>
      <w:r>
        <w:rPr>
          <w:b/>
        </w:rPr>
        <w:t>[Reserved for Defendant Corbin Supply Group, LLC,</w:t>
      </w:r>
      <w:r>
        <w:t xml:space="preserve"> using sequential numbering beginning DX-001, to be delivered to Plaintiff’s counsel by August 11, 2025 (Pretrial Order §§ II, III.I). Ridgeline will serve written objections by September 1, 2025.</w:t>
      </w:r>
      <w:r>
        <w:rPr>
          <w:b/>
        </w:rPr>
        <w:t>]</w:t>
      </w:r>
    </w:p>
    <w:p>
      <w:pPr>
        <w:pStyle w:val="Heading1"/>
        <w:jc w:val="left"/>
      </w:pPr>
      <w:r>
        <w:rPr>
          <w:u w:val="single"/>
        </w:rPr>
        <w:t>SECTION 10 — MOTIONS IN LIMINE</w:t>
      </w:r>
    </w:p>
    <w:p>
      <w:pPr>
        <w:pStyle w:val="Heading2"/>
      </w:pPr>
      <w:r>
        <w:t>A. Plaintiff’s Anticipated Motions in Limine (to be filed by August 25, 2025)</w:t>
      </w:r>
    </w:p>
    <w:p>
      <w:pPr>
        <w:pStyle w:val="Heading3"/>
      </w:pPr>
      <w:r>
        <w:t>Plaintiff’s MIL No. 1: To exclude or limit the testimony of Warren Holt, CPA/ABV (Fed. R. Evid. 702; *Daubert*).</w:t>
      </w:r>
    </w:p>
    <w:p>
      <w:pPr>
        <w:jc w:val="both"/>
      </w:pPr>
      <w:r>
        <w:t>Ridgeline will move to exclude three sets of opinions. First, Mr. Holt’s opinions that (a) Ridgeline should have engaged a replacement distributor within 60 to 90 days, and (b) future damages must end after twelve months. Mr. Holt admits he is "not a distribution operations expert," has never been involved in replacing a distributor, and relies on no empirical data or industry study. Holt Dep. 42:7–58:14. He also conceded that the six-month search "was within a reasonable range," which undercuts his own opinion. Under amended Rule 702, Defendant must show by a preponderance that each opinion rests on sufficient facts and a reliable application of reliable methods. The mitigation opinions also rest on factual premises that the deposition record does not support: that outreach began "sometime around May" and that Ms. Hausman was "evaluating [its] legal options." Holt Rpt. §§ VII.C, X. Compare Hausman Dep. 78:4–94:17 and Rinaldi Dep. 56:3–74:18. His report also misidentifies the witnesses and documents on which it relies (for example, calling Ms. Hausman Ridgeline’s "Chief Financial Officer" and Mr. Rinaldi its "VP of Sales," and attributing the October 14, 2020 email to Mr. Findlay).</w:t>
      </w:r>
    </w:p>
    <w:p>
      <w:pPr>
        <w:jc w:val="both"/>
      </w:pPr>
      <w:r>
        <w:t>Second, his unsupported 40–60% residual-value opinion on the packaging equipment, which rests only on his "experience" without inspection, appraisal, or market data. Third, his opinions that reliance and expectation damages are "impermissible" and "duplicative" as a matter of "well-established principles of contract damages law." Those are legal conclusions reserved to the Court, and he admits they are "a legal argument" he is "not qualified to render." Holt Dep. 62:3–78:19. In the alternative, Ridgeline will ask that Mr. Holt be precluded from offering these opinions as legal conclusions to the jury.</w:t>
      </w:r>
    </w:p>
    <w:p>
      <w:pPr>
        <w:pStyle w:val="Heading3"/>
      </w:pPr>
      <w:r>
        <w:t>Plaintiff’s MIL No. 2: To preclude evidence and argument supporting a force majeure defense.</w:t>
      </w:r>
    </w:p>
    <w:p>
      <w:pPr>
        <w:jc w:val="both"/>
      </w:pPr>
      <w:r>
        <w:t>EDA § 12.1 requires written notice within 30 days of a force majeure event and provides that failure to give that notice "shall constitute a waiver of the right to claim relief." Corbin Supply admits it gave no notice (Corbin Dep. 92:1–97:15), and the Court found the record "devoid of any evidence" of compliance (SJ Op. § IV.A.2). The Court reserved the defense only to the extent Corbin Supply could proffer evidence of compliance or grounds for excusing the notice requirement. No such evidence was disclosed during discovery, which closed in 2024.</w:t>
      </w:r>
    </w:p>
    <w:p>
      <w:pPr>
        <w:jc w:val="both"/>
      </w:pPr>
      <w:r>
        <w:t>Ridgeline will ask the Court to preclude any evidence, argument, or instruction suggesting that COVID-19 or supply-chain disruption excused the MAPC shortfalls. Because liability is established, such evidence is also irrelevant to damages and would confuse the jury (Fed. R. Evid. 401–403). In the alternative, Ridgeline asks that Corbin Supply be required to make a proffer outside the jury’s presence before mentioning the defense.</w:t>
      </w:r>
    </w:p>
    <w:p>
      <w:pPr>
        <w:pStyle w:val="Heading3"/>
      </w:pPr>
      <w:r>
        <w:t>Plaintiff’s MIL No. 3: To preclude relitigation of liability on Count I and of the waiver and unclean-hands defenses.</w:t>
      </w:r>
    </w:p>
    <w:p>
      <w:pPr>
        <w:jc w:val="both"/>
      </w:pPr>
      <w:r>
        <w:t>The Court entered judgment on liability for breach of the MAPC provisions, found the cure notice and termination proper, and rejected waiver and unclean hands. SJ Op. § V.1.a. Ridgeline will move to preclude Corbin Supply from suggesting to the jury that it did not breach, that the breach was excused, that Ridgeline waived its rights by continuing the relationship after the cure period, or that Ridgeline acted inequitably. Fed. R. Civ. P. 16(e), 56(g).</w:t>
      </w:r>
    </w:p>
    <w:p>
      <w:pPr>
        <w:jc w:val="both"/>
      </w:pPr>
      <w:r>
        <w:t>Ridgeline will also ask that the jury be told of the established liability findings at the outset (Stipulated Facts 22–26) and that the preliminary and final instructions so state.</w:t>
      </w:r>
    </w:p>
    <w:p>
      <w:pPr>
        <w:pStyle w:val="Heading3"/>
      </w:pPr>
      <w:r>
        <w:t>Plaintiff’s MIL No. 4: To preclude argument that the EDA’s integration clause, the parol evidence rule, or the gist-of-the-action doctrine bars Count II.</w:t>
      </w:r>
    </w:p>
    <w:p>
      <w:pPr>
        <w:jc w:val="both"/>
      </w:pPr>
      <w:r>
        <w:t xml:space="preserve">These are questions of law. Corbin Supply did not obtain summary judgment on them, and they would mislead the jury if argued as reasons to disregard the pre-contract representations. The representations at issue are expressly incorporated in the EDA Recitals and § 6.2, and § 14.2’s non-reliance clause excepts representations "expressly set forth in this Agreement." </w:t>
      </w:r>
      <w:r>
        <w:rPr>
          <w:i/>
        </w:rPr>
        <w:t>See</w:t>
      </w:r>
      <w:r>
        <w:t xml:space="preserve"> Section 5, Issue I.</w:t>
      </w:r>
    </w:p>
    <w:p>
      <w:pPr>
        <w:jc w:val="both"/>
      </w:pPr>
      <w:r>
        <w:t>Ridgeline will ask the Court to rule before trial that the pre-contract communications (PX-002 through PX-006) are admissible on Count II. It will also ask that Corbin Supply be precluded from telling the jury that Ridgeline "agreed not to rely" on them.</w:t>
      </w:r>
    </w:p>
    <w:p>
      <w:pPr>
        <w:pStyle w:val="Heading3"/>
      </w:pPr>
      <w:r>
        <w:t>Plaintiff’s MIL No. 5: To preclude references to settlement communications and to the parties’ relative size, litigation funding, or attorneys’ fees.</w:t>
      </w:r>
    </w:p>
    <w:p>
      <w:pPr>
        <w:jc w:val="both"/>
      </w:pPr>
      <w:r>
        <w:t>Evidence of compromise offers and negotiations is inadmissible to prove or disprove the validity or amount of a disputed claim (Fed. R. Evid. 408). References to litigation costs or fees are irrelevant and unfairly prejudicial (Fed. R. Evid. 401–403).</w:t>
      </w:r>
    </w:p>
    <w:p>
      <w:pPr>
        <w:jc w:val="both"/>
      </w:pPr>
      <w:r>
        <w:t>Ridgeline will ask for a reciprocal order binding both parties.</w:t>
      </w:r>
    </w:p>
    <w:p>
      <w:pPr>
        <w:pStyle w:val="Heading2"/>
      </w:pPr>
      <w:r>
        <w:t>B. Plaintiff’s Positions on Defendant’s Anticipated Motions in Limine</w:t>
      </w:r>
    </w:p>
    <w:p>
      <w:pPr>
        <w:jc w:val="both"/>
      </w:pPr>
      <w:r>
        <w:t>Defendant has not yet identified its motions in limine. Based on the summary judgment ruling and the expert discovery, Ridgeline anticipates the following motions and states its positions. Ridgeline will supplement when Defendant’s list is received.</w:t>
      </w:r>
    </w:p>
    <w:tbl>
      <w:tblPr>
        <w:tblStyle w:val="TableGrid"/>
        <w:tblW w:type="auto" w:w="0"/>
        <w:jc w:val="center"/>
        <w:tblLayout w:type="fixed"/>
        <w:tblLook w:firstColumn="1" w:firstRow="1" w:lastColumn="0" w:lastRow="0" w:noHBand="0" w:noVBand="1" w:val="04A0"/>
      </w:tblPr>
      <w:tblGrid>
        <w:gridCol w:w="3744"/>
        <w:gridCol w:w="5616"/>
      </w:tblGrid>
      <w:tr>
        <w:trPr>
          <w:tblHeader w:val="true"/>
        </w:trPr>
        <w:tc>
          <w:tcPr>
            <w:tcW w:type="dxa" w:w="3744"/>
            <w:shd w:val="clear" w:color="auto" w:fill="D9D9D9"/>
          </w:tcPr>
          <w:p>
            <w:r/>
            <w:r>
              <w:rPr>
                <w:b/>
                <w:sz w:val="18"/>
              </w:rPr>
              <w:t>Anticipated Defense Motion</w:t>
            </w:r>
          </w:p>
        </w:tc>
        <w:tc>
          <w:tcPr>
            <w:tcW w:type="dxa" w:w="5616"/>
            <w:shd w:val="clear" w:color="auto" w:fill="D9D9D9"/>
          </w:tcPr>
          <w:p>
            <w:r/>
            <w:r>
              <w:rPr>
                <w:b/>
                <w:sz w:val="18"/>
              </w:rPr>
              <w:t>Plaintiff’s Position</w:t>
            </w:r>
          </w:p>
        </w:tc>
      </w:tr>
      <w:tr>
        <w:tc>
          <w:tcPr>
            <w:tcW w:type="dxa" w:w="3744"/>
          </w:tcPr>
          <w:p>
            <w:pPr>
              <w:spacing w:after="40"/>
            </w:pPr>
            <w:r/>
            <w:r>
              <w:rPr>
                <w:i/>
                <w:sz w:val="18"/>
              </w:rPr>
              <w:t>Daubert</w:t>
            </w:r>
            <w:r>
              <w:rPr>
                <w:sz w:val="18"/>
              </w:rPr>
              <w:t xml:space="preserve"> motion to exclude or limit Dr. Prescott’s future lost-profit opinions (anticipated per SJ Op. §§ IV.A.3, V.5)</w:t>
            </w:r>
          </w:p>
        </w:tc>
        <w:tc>
          <w:tcPr>
            <w:tcW w:type="dxa" w:w="5616"/>
          </w:tcPr>
          <w:p>
            <w:pPr>
              <w:spacing w:after="40"/>
            </w:pPr>
            <w:r/>
            <w:r>
              <w:rPr>
                <w:b/>
                <w:sz w:val="18"/>
              </w:rPr>
              <w:t>Oppose.</w:t>
            </w:r>
            <w:r>
              <w:rPr>
                <w:sz w:val="18"/>
              </w:rPr>
              <w:t xml:space="preserve"> The methodology (contractual minimums, audited margin, mitigation credit) is generally accepted, and Defendant’s own expert concedes it "is an accepted approach." Holt Dep. 18:3–38:22. Objections to the length of the damages period go to weight, not admissibility.</w:t>
            </w:r>
          </w:p>
        </w:tc>
      </w:tr>
      <w:tr>
        <w:tc>
          <w:tcPr>
            <w:tcW w:type="dxa" w:w="3744"/>
          </w:tcPr>
          <w:p>
            <w:pPr>
              <w:spacing w:after="40"/>
            </w:pPr>
            <w:r/>
            <w:r>
              <w:rPr>
                <w:sz w:val="18"/>
              </w:rPr>
              <w:t>Motion to exclude or limit Dr. Prescott’s Year 1–2 opinion to the margin-adjusted figure</w:t>
            </w:r>
          </w:p>
        </w:tc>
        <w:tc>
          <w:tcPr>
            <w:tcW w:type="dxa" w:w="5616"/>
          </w:tcPr>
          <w:p>
            <w:pPr>
              <w:spacing w:after="40"/>
            </w:pPr>
            <w:r/>
            <w:r>
              <w:rPr>
                <w:b/>
                <w:sz w:val="18"/>
              </w:rPr>
              <w:t>No opposition to limiting the Year 1–2 figure to lost profit.</w:t>
            </w:r>
            <w:r>
              <w:rPr>
                <w:sz w:val="18"/>
              </w:rPr>
              <w:t xml:space="preserve"> Ridgeline will present the margin-adjusted figure of $1,363,400 disclosed at Prescott Dep. 18:4–30:22, and will not present the gross $4,010,000 shortfall as a damages measure.</w:t>
            </w:r>
          </w:p>
        </w:tc>
      </w:tr>
      <w:tr>
        <w:tc>
          <w:tcPr>
            <w:tcW w:type="dxa" w:w="3744"/>
          </w:tcPr>
          <w:p>
            <w:pPr>
              <w:spacing w:after="40"/>
            </w:pPr>
            <w:r/>
            <w:r>
              <w:rPr>
                <w:sz w:val="18"/>
              </w:rPr>
              <w:t>Motion to exclude reliance damages as duplicative</w:t>
            </w:r>
          </w:p>
        </w:tc>
        <w:tc>
          <w:tcPr>
            <w:tcW w:type="dxa" w:w="5616"/>
          </w:tcPr>
          <w:p>
            <w:pPr>
              <w:spacing w:after="40"/>
            </w:pPr>
            <w:r/>
            <w:r>
              <w:rPr>
                <w:b/>
                <w:sz w:val="18"/>
              </w:rPr>
              <w:t>Oppose.</w:t>
            </w:r>
            <w:r>
              <w:rPr>
                <w:sz w:val="18"/>
              </w:rPr>
              <w:t xml:space="preserve"> Overlap, if any, is addressed by a special verdict and post-verdict molding, not exclusion. See Section 5, Issue D.</w:t>
            </w:r>
          </w:p>
        </w:tc>
      </w:tr>
      <w:tr>
        <w:tc>
          <w:tcPr>
            <w:tcW w:type="dxa" w:w="3744"/>
          </w:tcPr>
          <w:p>
            <w:pPr>
              <w:spacing w:after="40"/>
            </w:pPr>
            <w:r/>
            <w:r>
              <w:rPr>
                <w:sz w:val="18"/>
              </w:rPr>
              <w:t>Motion to exclude or limit the Findlay Memo (PX-007)</w:t>
            </w:r>
          </w:p>
        </w:tc>
        <w:tc>
          <w:tcPr>
            <w:tcW w:type="dxa" w:w="5616"/>
          </w:tcPr>
          <w:p>
            <w:pPr>
              <w:spacing w:after="40"/>
            </w:pPr>
            <w:r/>
            <w:r>
              <w:rPr>
                <w:b/>
                <w:sz w:val="18"/>
              </w:rPr>
              <w:t>Oppose.</w:t>
            </w:r>
            <w:r>
              <w:rPr>
                <w:sz w:val="18"/>
              </w:rPr>
              <w:t xml:space="preserve"> It is a party-opponent statement and a business record, authenticated by its author, and it is highly probative of scienter and intent. Fed. R. Evid. 801(d)(2)(D), 803(6).</w:t>
            </w:r>
          </w:p>
        </w:tc>
      </w:tr>
      <w:tr>
        <w:tc>
          <w:tcPr>
            <w:tcW w:type="dxa" w:w="3744"/>
          </w:tcPr>
          <w:p>
            <w:pPr>
              <w:spacing w:after="40"/>
            </w:pPr>
            <w:r/>
            <w:r>
              <w:rPr>
                <w:sz w:val="18"/>
              </w:rPr>
              <w:t>Motion to preclude evidence of Ridgeline’s reliance expenditures under EDA § 11.1</w:t>
            </w:r>
          </w:p>
        </w:tc>
        <w:tc>
          <w:tcPr>
            <w:tcW w:type="dxa" w:w="5616"/>
          </w:tcPr>
          <w:p>
            <w:pPr>
              <w:spacing w:after="40"/>
            </w:pPr>
            <w:r/>
            <w:r>
              <w:rPr>
                <w:b/>
                <w:sz w:val="18"/>
              </w:rPr>
              <w:t>Oppose.</w:t>
            </w:r>
            <w:r>
              <w:rPr>
                <w:sz w:val="18"/>
              </w:rPr>
              <w:t xml:space="preserve"> Section 11.1 expressly exempts fraud and reliance damages from the limitation.</w:t>
            </w:r>
          </w:p>
        </w:tc>
      </w:tr>
    </w:tbl>
    <w:p>
      <w:pPr>
        <w:spacing w:after="40"/>
      </w:pPr>
    </w:p>
    <w:p>
      <w:pPr>
        <w:pStyle w:val="Heading2"/>
      </w:pPr>
      <w:r>
        <w:t>C. Defendant’s Motions in Limine and Positions on Plaintiff’s Motions</w:t>
      </w:r>
    </w:p>
    <w:p>
      <w:pPr>
        <w:jc w:val="both"/>
      </w:pPr>
      <w:r>
        <w:t>[To be supplied by Defendant.]</w:t>
      </w:r>
    </w:p>
    <w:p>
      <w:pPr>
        <w:pStyle w:val="Heading1"/>
        <w:jc w:val="left"/>
      </w:pPr>
      <w:r>
        <w:rPr>
          <w:u w:val="single"/>
        </w:rPr>
        <w:t>SECTION 11 — ESTIMATED TRIAL TIME</w:t>
      </w:r>
    </w:p>
    <w:p>
      <w:pPr>
        <w:jc w:val="both"/>
      </w:pPr>
      <w:r>
        <w:rPr>
          <w:b/>
        </w:rPr>
        <w:t>Plaintiff’s case-in-chief.</w:t>
      </w:r>
      <w:r>
        <w:t xml:space="preserve"> Ridgeline estimates about </w:t>
      </w:r>
      <w:r>
        <w:rPr>
          <w:b/>
        </w:rPr>
        <w:t>3 to 3.5 trial days</w:t>
      </w:r>
      <w:r>
        <w:t xml:space="preserve"> for its case-in-chief, including cross-examination by Defendant and the introduction of documentary and summary exhibits. This assumes that Defendant stipulates to authenticity and business-record foundations and that the deposition designations for Mr. Corbin III and Mr. Findlay are shorter than live examination would be if those witnesses are not produced. Ridgeline estimates its direct examinations at about 10 to 12.5 hours (Section 6), plus about 6 to 8 hours of cross-examination.</w:t>
      </w:r>
    </w:p>
    <w:p>
      <w:pPr>
        <w:jc w:val="both"/>
      </w:pPr>
      <w:r>
        <w:rPr>
          <w:b/>
        </w:rPr>
        <w:t>Defendant’s case-in-chief.</w:t>
      </w:r>
      <w:r>
        <w:t xml:space="preserve"> [To be supplied by Defendant.]</w:t>
      </w:r>
    </w:p>
    <w:p>
      <w:pPr>
        <w:jc w:val="both"/>
      </w:pPr>
      <w:r>
        <w:rPr>
          <w:b/>
        </w:rPr>
        <w:t>Proposed joint estimate of total trial time (subject to Defendant’s input).</w:t>
      </w:r>
    </w:p>
    <w:tbl>
      <w:tblPr>
        <w:tblStyle w:val="TableGrid"/>
        <w:tblW w:type="auto" w:w="0"/>
        <w:jc w:val="center"/>
        <w:tblLayout w:type="fixed"/>
        <w:tblLook w:firstColumn="1" w:firstRow="1" w:lastColumn="0" w:lastRow="0" w:noHBand="0" w:noVBand="1" w:val="04A0"/>
      </w:tblPr>
      <w:tblGrid>
        <w:gridCol w:w="6480"/>
        <w:gridCol w:w="2880"/>
      </w:tblGrid>
      <w:tr>
        <w:trPr>
          <w:tblHeader w:val="true"/>
        </w:trPr>
        <w:tc>
          <w:tcPr>
            <w:tcW w:type="dxa" w:w="6480"/>
            <w:shd w:val="clear" w:color="auto" w:fill="D9D9D9"/>
          </w:tcPr>
          <w:p>
            <w:r/>
            <w:r>
              <w:rPr>
                <w:b/>
                <w:sz w:val="20"/>
              </w:rPr>
              <w:t>Phase</w:t>
            </w:r>
          </w:p>
        </w:tc>
        <w:tc>
          <w:tcPr>
            <w:tcW w:type="dxa" w:w="2880"/>
            <w:shd w:val="clear" w:color="auto" w:fill="D9D9D9"/>
          </w:tcPr>
          <w:p>
            <w:r/>
            <w:r>
              <w:rPr>
                <w:b/>
                <w:sz w:val="20"/>
              </w:rPr>
              <w:t>Estimate</w:t>
            </w:r>
          </w:p>
        </w:tc>
      </w:tr>
      <w:tr>
        <w:tc>
          <w:tcPr>
            <w:tcW w:type="dxa" w:w="6480"/>
          </w:tcPr>
          <w:p>
            <w:pPr>
              <w:spacing w:after="40"/>
            </w:pPr>
            <w:r/>
            <w:r>
              <w:rPr>
                <w:sz w:val="20"/>
              </w:rPr>
              <w:t>Jury selection (morning of Sept. 15, 2025)</w:t>
            </w:r>
          </w:p>
        </w:tc>
        <w:tc>
          <w:tcPr>
            <w:tcW w:type="dxa" w:w="2880"/>
          </w:tcPr>
          <w:p>
            <w:pPr>
              <w:spacing w:after="40"/>
            </w:pPr>
            <w:r/>
            <w:r>
              <w:rPr>
                <w:sz w:val="20"/>
              </w:rPr>
              <w:t>0.5 day</w:t>
            </w:r>
          </w:p>
        </w:tc>
      </w:tr>
      <w:tr>
        <w:tc>
          <w:tcPr>
            <w:tcW w:type="dxa" w:w="6480"/>
          </w:tcPr>
          <w:p>
            <w:pPr>
              <w:spacing w:after="40"/>
            </w:pPr>
            <w:r/>
            <w:r>
              <w:rPr>
                <w:sz w:val="20"/>
              </w:rPr>
              <w:t>Opening statements (afternoon of Sept. 15, 2025)</w:t>
            </w:r>
          </w:p>
        </w:tc>
        <w:tc>
          <w:tcPr>
            <w:tcW w:type="dxa" w:w="2880"/>
          </w:tcPr>
          <w:p>
            <w:pPr>
              <w:spacing w:after="40"/>
            </w:pPr>
            <w:r/>
            <w:r>
              <w:rPr>
                <w:sz w:val="20"/>
              </w:rPr>
              <w:t>0.5 day</w:t>
            </w:r>
          </w:p>
        </w:tc>
      </w:tr>
      <w:tr>
        <w:tc>
          <w:tcPr>
            <w:tcW w:type="dxa" w:w="6480"/>
          </w:tcPr>
          <w:p>
            <w:pPr>
              <w:spacing w:after="40"/>
            </w:pPr>
            <w:r/>
            <w:r>
              <w:rPr>
                <w:sz w:val="20"/>
              </w:rPr>
              <w:t>Plaintiff’s case-in-chief</w:t>
            </w:r>
          </w:p>
        </w:tc>
        <w:tc>
          <w:tcPr>
            <w:tcW w:type="dxa" w:w="2880"/>
          </w:tcPr>
          <w:p>
            <w:pPr>
              <w:spacing w:after="40"/>
            </w:pPr>
            <w:r/>
            <w:r>
              <w:rPr>
                <w:sz w:val="20"/>
              </w:rPr>
              <w:t>3.0–3.5 days</w:t>
            </w:r>
          </w:p>
        </w:tc>
      </w:tr>
      <w:tr>
        <w:tc>
          <w:tcPr>
            <w:tcW w:type="dxa" w:w="6480"/>
          </w:tcPr>
          <w:p>
            <w:pPr>
              <w:spacing w:after="40"/>
            </w:pPr>
            <w:r/>
            <w:r>
              <w:rPr>
                <w:sz w:val="20"/>
              </w:rPr>
              <w:t>Defendant’s case-in-chief (estimate pending Defendant’s submission)</w:t>
            </w:r>
          </w:p>
        </w:tc>
        <w:tc>
          <w:tcPr>
            <w:tcW w:type="dxa" w:w="2880"/>
          </w:tcPr>
          <w:p>
            <w:pPr>
              <w:spacing w:after="40"/>
            </w:pPr>
            <w:r/>
            <w:r>
              <w:rPr>
                <w:sz w:val="20"/>
              </w:rPr>
              <w:t>1.5–2.0 days</w:t>
            </w:r>
          </w:p>
        </w:tc>
      </w:tr>
      <w:tr>
        <w:tc>
          <w:tcPr>
            <w:tcW w:type="dxa" w:w="6480"/>
          </w:tcPr>
          <w:p>
            <w:pPr>
              <w:spacing w:after="40"/>
            </w:pPr>
            <w:r/>
            <w:r>
              <w:rPr>
                <w:sz w:val="20"/>
              </w:rPr>
              <w:t>Plaintiff’s rebuttal case</w:t>
            </w:r>
          </w:p>
        </w:tc>
        <w:tc>
          <w:tcPr>
            <w:tcW w:type="dxa" w:w="2880"/>
          </w:tcPr>
          <w:p>
            <w:pPr>
              <w:spacing w:after="40"/>
            </w:pPr>
            <w:r/>
            <w:r>
              <w:rPr>
                <w:sz w:val="20"/>
              </w:rPr>
              <w:t>0.25 day</w:t>
            </w:r>
          </w:p>
        </w:tc>
      </w:tr>
      <w:tr>
        <w:tc>
          <w:tcPr>
            <w:tcW w:type="dxa" w:w="6480"/>
          </w:tcPr>
          <w:p>
            <w:pPr>
              <w:spacing w:after="40"/>
            </w:pPr>
            <w:r/>
            <w:r>
              <w:rPr>
                <w:sz w:val="20"/>
              </w:rPr>
              <w:t>Charge conference, closing arguments, and jury charge</w:t>
            </w:r>
          </w:p>
        </w:tc>
        <w:tc>
          <w:tcPr>
            <w:tcW w:type="dxa" w:w="2880"/>
          </w:tcPr>
          <w:p>
            <w:pPr>
              <w:spacing w:after="40"/>
            </w:pPr>
            <w:r/>
            <w:r>
              <w:rPr>
                <w:sz w:val="20"/>
              </w:rPr>
              <w:t>0.5–0.75 day</w:t>
            </w:r>
          </w:p>
        </w:tc>
      </w:tr>
      <w:tr>
        <w:tc>
          <w:tcPr>
            <w:tcW w:type="dxa" w:w="6480"/>
          </w:tcPr>
          <w:p>
            <w:pPr>
              <w:spacing w:after="40"/>
            </w:pPr>
            <w:r/>
            <w:r>
              <w:rPr>
                <w:b/>
                <w:sz w:val="20"/>
              </w:rPr>
              <w:t>Total (excluding deliberations)</w:t>
            </w:r>
          </w:p>
        </w:tc>
        <w:tc>
          <w:tcPr>
            <w:tcW w:type="dxa" w:w="2880"/>
          </w:tcPr>
          <w:p>
            <w:pPr>
              <w:spacing w:after="40"/>
            </w:pPr>
            <w:r/>
            <w:r>
              <w:rPr>
                <w:b/>
                <w:sz w:val="20"/>
              </w:rPr>
              <w:t>6.25–7.5 days</w:t>
            </w:r>
          </w:p>
        </w:tc>
      </w:tr>
      <w:tr>
        <w:tc>
          <w:tcPr>
            <w:tcW w:type="dxa" w:w="6480"/>
          </w:tcPr>
          <w:p>
            <w:pPr>
              <w:spacing w:after="40"/>
            </w:pPr>
            <w:r/>
            <w:r>
              <w:rPr>
                <w:sz w:val="20"/>
              </w:rPr>
              <w:t>Jury deliberations</w:t>
            </w:r>
          </w:p>
        </w:tc>
        <w:tc>
          <w:tcPr>
            <w:tcW w:type="dxa" w:w="2880"/>
          </w:tcPr>
          <w:p>
            <w:pPr>
              <w:spacing w:after="40"/>
            </w:pPr>
            <w:r/>
            <w:r>
              <w:rPr>
                <w:sz w:val="20"/>
              </w:rPr>
              <w:t>0.5–1 day</w:t>
            </w:r>
          </w:p>
        </w:tc>
      </w:tr>
    </w:tbl>
    <w:p>
      <w:pPr>
        <w:spacing w:after="40"/>
      </w:pPr>
    </w:p>
    <w:p>
      <w:pPr>
        <w:jc w:val="both"/>
      </w:pPr>
      <w:r>
        <w:t>Ridgeline believes the case can be tried within the seven trial days the Court has allotted, and it does not request additional time at this point. If Defendant’s estimate pushes the total beyond seven days, Ridgeline proposes a time-allocation order with chess-clock accounting for each side.</w:t>
      </w:r>
    </w:p>
    <w:p>
      <w:pPr>
        <w:pStyle w:val="Heading1"/>
        <w:jc w:val="left"/>
      </w:pPr>
      <w:r>
        <w:rPr>
          <w:u w:val="single"/>
        </w:rPr>
        <w:t>SECTION 12 — SETTLEMENT STATUS</w:t>
      </w:r>
    </w:p>
    <w:p>
      <w:pPr>
        <w:jc w:val="both"/>
      </w:pPr>
      <w:r>
        <w:rPr>
          <w:b/>
        </w:rPr>
        <w:t>(a) Whether settlement discussions have occurred.</w:t>
      </w:r>
      <w:r>
        <w:t xml:space="preserve"> [Plaintiff to confirm: describe, without disclosing any offer or demand, whether and when the parties have engaged in settlement discussions or mediation, including any ADR process under the Court’s ADR program.]</w:t>
      </w:r>
    </w:p>
    <w:p>
      <w:pPr>
        <w:jc w:val="both"/>
      </w:pPr>
      <w:r>
        <w:rPr>
          <w:b/>
        </w:rPr>
        <w:t>(b) Whether further discussions would be productive.</w:t>
      </w:r>
      <w:r>
        <w:t xml:space="preserve"> Ridgeline remains willing to discuss resolution in good faith. Ridgeline believes that discussions would be most productive after the Court rules on the </w:t>
      </w:r>
      <w:r>
        <w:rPr>
          <w:i/>
        </w:rPr>
        <w:t>Daubert</w:t>
      </w:r>
      <w:r>
        <w:t xml:space="preserve"> motions and other motions in limine, because those rulings bear directly on the range of recoverable damages.</w:t>
      </w:r>
    </w:p>
    <w:p>
      <w:pPr>
        <w:jc w:val="both"/>
      </w:pPr>
      <w:r>
        <w:rPr>
          <w:b/>
        </w:rPr>
        <w:t>(c) Consent to referral.</w:t>
      </w:r>
      <w:r>
        <w:t xml:space="preserve"> Ridgeline consents to referral to a United States Magistrate Judge for a settlement conference, or alternatively to a private mediator acceptable to both parties, to take place before the September 15, 2025 trial date. [Defendant to state its position.]</w:t>
      </w:r>
    </w:p>
    <w:p/>
    <w:p>
      <w:pPr>
        <w:spacing w:after="240"/>
      </w:pPr>
      <w:r>
        <w:t>Dated: August 18, 2025</w:t>
      </w:r>
    </w:p>
    <w:p>
      <w:pPr>
        <w:spacing w:after="120"/>
      </w:pPr>
      <w:r>
        <w:t>Respectfully submitted,</w:t>
      </w:r>
    </w:p>
    <w:p>
      <w:pPr>
        <w:spacing w:after="360"/>
      </w:pPr>
      <w:r>
        <w:rPr>
          <w:b/>
        </w:rPr>
        <w:t>HALDANE &amp; FITCH LLP</w:t>
      </w:r>
    </w:p>
    <w:p>
      <w:pPr>
        <w:spacing w:after="0"/>
      </w:pPr>
      <w:r>
        <w:t xml:space="preserve">/s/ Victoria Szabo                              </w:t>
      </w:r>
    </w:p>
    <w:p>
      <w:pPr>
        <w:spacing w:after="0"/>
      </w:pPr>
      <w:r>
        <w:t>Victoria Szabo, Esquire (PA Bar No. 78342)</w:t>
      </w:r>
    </w:p>
    <w:p>
      <w:pPr>
        <w:spacing w:after="0"/>
      </w:pPr>
      <w:r>
        <w:t>Brian Colavito, Esquire (PA Bar No. 112908)</w:t>
      </w:r>
    </w:p>
    <w:p>
      <w:pPr>
        <w:spacing w:after="0"/>
      </w:pPr>
      <w:r>
        <w:t>610 Grant Street, Suite 3100</w:t>
      </w:r>
    </w:p>
    <w:p>
      <w:pPr>
        <w:spacing w:after="0"/>
      </w:pPr>
      <w:r>
        <w:t>Pittsburgh, Pennsylvania 15219</w:t>
      </w:r>
    </w:p>
    <w:p>
      <w:pPr>
        <w:spacing w:after="0"/>
      </w:pPr>
      <w:r>
        <w:t>Telephone: (412) 555-7400</w:t>
      </w:r>
    </w:p>
    <w:p>
      <w:pPr>
        <w:spacing w:after="0"/>
      </w:pPr>
      <w:r>
        <w:t>Facsimile: (412) 555-7401</w:t>
      </w:r>
    </w:p>
    <w:p>
      <w:pPr>
        <w:spacing w:after="0"/>
      </w:pPr>
      <w:r>
        <w:t>vszabo@haldanefitch.com</w:t>
      </w:r>
    </w:p>
    <w:p>
      <w:pPr>
        <w:spacing w:after="0"/>
      </w:pPr>
    </w:p>
    <w:p>
      <w:pPr>
        <w:spacing w:after="0"/>
      </w:pPr>
      <w:r>
        <w:rPr>
          <w:i/>
        </w:rPr>
        <w:t>Counsel for Plaintiff Ridgeline Manufacturing, Inc.</w:t>
      </w:r>
    </w:p>
    <w:p>
      <w:r>
        <w:br w:type="page"/>
      </w:r>
    </w:p>
    <w:p>
      <w:pPr>
        <w:spacing w:after="240"/>
        <w:jc w:val="center"/>
      </w:pPr>
      <w:r>
        <w:rPr>
          <w:b/>
        </w:rPr>
        <w:t>CERTIFICATE OF SERVICE</w:t>
      </w:r>
    </w:p>
    <w:p>
      <w:pPr>
        <w:jc w:val="both"/>
      </w:pPr>
      <w:r>
        <w:t xml:space="preserve">I certify that on August 18, 2025, I electronically filed the foregoing with the Clerk of Court using the CM/ECF system, which will send notice of the filing to all counsel of record, including: Raymond Daly, Esquire, and Christine Park, Esquire, Breck Thornton &amp; Daly LLP, 525 William Penn Place, Suite 1800, Pittsburgh, Pennsylvania 15219, </w:t>
      </w:r>
      <w:r>
        <w:rPr>
          <w:i/>
        </w:rPr>
        <w:t>Counsel for Defendant Corbin Supply Group, LLC</w:t>
      </w:r>
      <w:r>
        <w:t>.</w:t>
      </w:r>
    </w:p>
    <w:p/>
    <w:p>
      <w:pPr>
        <w:spacing w:after="0"/>
      </w:pPr>
      <w:r>
        <w:t>/s/ Victoria Szabo</w:t>
      </w:r>
    </w:p>
    <w:p>
      <w:pPr>
        <w:spacing w:after="0"/>
      </w:pPr>
      <w:r>
        <w:t>Victoria Szabo, Esquire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Plaintiff’s Portions of Joint Pretrial Statement — Case No. 2:23-cv-00417-KMG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