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color w:val="17365D"/>
          <w:sz w:val="22"/>
        </w:rPr>
        <w:t>BLACKWELL, TRENT &amp; GALLAGHER LLP</w:t>
      </w:r>
    </w:p>
    <w:p>
      <w:pPr>
        <w:spacing w:after="80"/>
        <w:jc w:val="center"/>
      </w:pPr>
      <w:r>
        <w:rPr>
          <w:rFonts w:ascii="Times New Roman" w:hAnsi="Times New Roman"/>
          <w:b/>
          <w:color w:val="8B0000"/>
          <w:sz w:val="20"/>
        </w:rPr>
        <w:t>ATTORNEY-CLIENT PRIVILEGED AND ATTORNEY WORK PRODUCT</w:t>
      </w:r>
    </w:p>
    <w:p>
      <w:pPr>
        <w:spacing w:after="180"/>
        <w:jc w:val="center"/>
      </w:pPr>
      <w:r>
        <w:rPr>
          <w:rFonts w:ascii="Times New Roman" w:hAnsi="Times New Roman"/>
          <w:b/>
          <w:color w:val="8B0000"/>
          <w:sz w:val="20"/>
        </w:rPr>
        <w:t>INTERNAL — NOT FOR SERVICE OR DISCLOSURE</w:t>
      </w:r>
    </w:p>
    <w:p>
      <w:pPr>
        <w:spacing w:after="140"/>
        <w:jc w:val="center"/>
      </w:pPr>
      <w:r>
        <w:rPr>
          <w:rFonts w:ascii="Times New Roman" w:hAnsi="Times New Roman"/>
          <w:b/>
          <w:color w:val="17365D"/>
          <w:sz w:val="32"/>
        </w:rPr>
        <w:t>DISCOVERY ISSUES MEMORANDUM</w:t>
      </w:r>
    </w:p>
    <w:tbl>
      <w:tblPr>
        <w:tblW w:type="auto" w:w="0"/>
        <w:jc w:val="center"/>
        <w:tblLayout w:type="fixed"/>
        <w:tblLook w:firstColumn="1" w:firstRow="1" w:lastColumn="0" w:lastRow="0" w:noHBand="0" w:noVBand="1" w:val="04A0"/>
      </w:tblPr>
      <w:tblGrid>
        <w:gridCol w:w="4680"/>
        <w:gridCol w:w="4680"/>
      </w:tblGrid>
      <w:tr>
        <w:tc>
          <w:tcPr>
            <w:tcW w:type="dxa" w:w="1440"/>
            <w:shd w:fill="D9E2F3"/>
            <w:tcBorders>
              <w:bottom w:val="single" w:sz="4" w:color="B7C9E2"/>
            </w:tcBorders>
          </w:tcPr>
          <w:p>
            <w:pPr>
              <w:spacing w:after="40"/>
            </w:pPr>
            <w:r>
              <w:rPr>
                <w:rFonts w:ascii="Times New Roman" w:hAnsi="Times New Roman"/>
                <w:b/>
                <w:sz w:val="19"/>
              </w:rPr>
              <w:t>TO</w:t>
            </w:r>
          </w:p>
        </w:tc>
        <w:tc>
          <w:tcPr>
            <w:tcW w:type="dxa" w:w="8208"/>
            <w:tcBorders>
              <w:bottom w:val="single" w:sz="4" w:color="B7C9E2"/>
            </w:tcBorders>
          </w:tcPr>
          <w:p>
            <w:pPr>
              <w:spacing w:after="40"/>
            </w:pPr>
            <w:r>
              <w:rPr>
                <w:rFonts w:ascii="Times New Roman" w:hAnsi="Times New Roman"/>
                <w:b w:val="0"/>
                <w:sz w:val="19"/>
              </w:rPr>
              <w:t>Jonathan Trent, Partner</w:t>
            </w:r>
          </w:p>
        </w:tc>
      </w:tr>
      <w:tr>
        <w:tc>
          <w:tcPr>
            <w:tcW w:type="dxa" w:w="1440"/>
            <w:shd w:fill="D9E2F3"/>
            <w:tcBorders>
              <w:bottom w:val="single" w:sz="4" w:color="B7C9E2"/>
            </w:tcBorders>
          </w:tcPr>
          <w:p>
            <w:pPr>
              <w:spacing w:after="40"/>
            </w:pPr>
            <w:r>
              <w:rPr>
                <w:rFonts w:ascii="Times New Roman" w:hAnsi="Times New Roman"/>
                <w:b/>
                <w:sz w:val="19"/>
              </w:rPr>
              <w:t>FROM</w:t>
            </w:r>
          </w:p>
        </w:tc>
        <w:tc>
          <w:tcPr>
            <w:tcW w:type="dxa" w:w="8208"/>
            <w:tcBorders>
              <w:bottom w:val="single" w:sz="4" w:color="B7C9E2"/>
            </w:tcBorders>
          </w:tcPr>
          <w:p>
            <w:pPr>
              <w:spacing w:after="40"/>
            </w:pPr>
            <w:r>
              <w:rPr>
                <w:rFonts w:ascii="Times New Roman" w:hAnsi="Times New Roman"/>
                <w:b w:val="0"/>
                <w:sz w:val="19"/>
              </w:rPr>
              <w:t>Maya Vasquez, Senior Associate</w:t>
            </w:r>
          </w:p>
        </w:tc>
      </w:tr>
      <w:tr>
        <w:tc>
          <w:tcPr>
            <w:tcW w:type="dxa" w:w="1440"/>
            <w:shd w:fill="D9E2F3"/>
            <w:tcBorders>
              <w:bottom w:val="single" w:sz="4" w:color="B7C9E2"/>
            </w:tcBorders>
          </w:tcPr>
          <w:p>
            <w:pPr>
              <w:spacing w:after="40"/>
            </w:pPr>
            <w:r>
              <w:rPr>
                <w:rFonts w:ascii="Times New Roman" w:hAnsi="Times New Roman"/>
                <w:b/>
                <w:sz w:val="19"/>
              </w:rPr>
              <w:t>DATE</w:t>
            </w:r>
          </w:p>
        </w:tc>
        <w:tc>
          <w:tcPr>
            <w:tcW w:type="dxa" w:w="8208"/>
            <w:tcBorders>
              <w:bottom w:val="single" w:sz="4" w:color="B7C9E2"/>
            </w:tcBorders>
          </w:tcPr>
          <w:p>
            <w:pPr>
              <w:spacing w:after="40"/>
            </w:pPr>
            <w:r>
              <w:rPr>
                <w:rFonts w:ascii="Times New Roman" w:hAnsi="Times New Roman"/>
                <w:b w:val="0"/>
                <w:sz w:val="19"/>
              </w:rPr>
              <w:t>January 3, 2025</w:t>
            </w:r>
          </w:p>
        </w:tc>
      </w:tr>
      <w:tr>
        <w:tc>
          <w:tcPr>
            <w:tcW w:type="dxa" w:w="1440"/>
            <w:shd w:fill="D9E2F3"/>
            <w:tcBorders>
              <w:bottom w:val="single" w:sz="4" w:color="B7C9E2"/>
            </w:tcBorders>
          </w:tcPr>
          <w:p>
            <w:pPr>
              <w:spacing w:after="40"/>
            </w:pPr>
            <w:r>
              <w:rPr>
                <w:rFonts w:ascii="Times New Roman" w:hAnsi="Times New Roman"/>
                <w:b/>
                <w:sz w:val="19"/>
              </w:rPr>
              <w:t>RE</w:t>
            </w:r>
          </w:p>
        </w:tc>
        <w:tc>
          <w:tcPr>
            <w:tcW w:type="dxa" w:w="8208"/>
            <w:tcBorders>
              <w:bottom w:val="single" w:sz="4" w:color="B7C9E2"/>
            </w:tcBorders>
          </w:tcPr>
          <w:p>
            <w:pPr>
              <w:spacing w:after="40"/>
            </w:pPr>
            <w:r>
              <w:rPr>
                <w:rFonts w:ascii="Times New Roman" w:hAnsi="Times New Roman"/>
                <w:b w:val="0"/>
                <w:sz w:val="19"/>
              </w:rPr>
              <w:t>Lakeshore Supply Partners, LLC v. Redfield Manufacturing, Inc. — Plaintiff’s First RFPs (Nos. 1–25), responses due January 6, 2025</w:t>
            </w:r>
          </w:p>
        </w:tc>
      </w:tr>
    </w:tbl>
    <w:p/>
    <w:p>
      <w:pPr>
        <w:pStyle w:val="Heading1"/>
      </w:pPr>
      <w:r>
        <w:t>EXECUTIVE SUMMARY — DECISIONS REQUIRED BEFORE SERVICE</w:t>
      </w:r>
    </w:p>
    <w:p>
      <w:r>
        <w:t>The draft responses take a candid, scoped approach rather than asserting blanket objections. Four matters require immediate partner direction: (1) a serious Slack preservation gap after a litigation hold that omitted the platform; (2) an inadvertently produced April 22, 2023 in-house-counsel email for which no clawback demand has yet been sent; (3) material defects and chronology conflicts in the current privilege log, including weak pre-retention entries and Northpoint common-interest claims; and (4) documentary evidence materially inconsistent with the current account of the Northpoint relationship and the Year 3 minimum-purchase defense.</w:t>
      </w:r>
    </w:p>
    <w:p>
      <w:pPr>
        <w:pStyle w:val="ListBullet"/>
        <w:spacing w:after="60"/>
      </w:pPr>
      <w:r>
        <w:t>Serve only after confirming the factual record and the response date. The RFPs were served December 2, 2024 and state responses are due January 6, 2025. The draft’s open searches and protective-order conditions should be resolved or expressly addressed with opposing counsel before service.</w:t>
      </w:r>
    </w:p>
    <w:p>
      <w:pPr>
        <w:pStyle w:val="ListBullet"/>
        <w:spacing w:after="60"/>
      </w:pPr>
      <w:r>
        <w:t>Do not describe collection as complete. Email was collected from 2020 forward; Slack/Teams, personal devices, voicemail, older data, and Decatur hard-copy records have material limitations or remain uncollected.</w:t>
      </w:r>
    </w:p>
    <w:p>
      <w:pPr>
        <w:pStyle w:val="ListBullet"/>
        <w:spacing w:after="60"/>
      </w:pPr>
      <w:r>
        <w:t>The supplied record does not show a clawback demand for REDFIELD-000847. Confirm immediately whether one has since been sent; if not, issue notice, seek sequestration/no use/return or destruction, and negotiate an agreed clawback/protective order. Confirm whether any protective order or clawback agreement already exists.</w:t>
      </w:r>
    </w:p>
    <w:p>
      <w:pPr>
        <w:pStyle w:val="ListBullet"/>
        <w:spacing w:after="60"/>
      </w:pPr>
      <w:r>
        <w:t>Reconcile the 183-entry log before serving it. Entries and dates conflict with the December 10 collection summary; several privilege claims are facially under-described or rely on a common-interest theory not documented in the log.</w:t>
      </w:r>
    </w:p>
    <w:p>
      <w:pPr>
        <w:pStyle w:val="Heading1"/>
      </w:pPr>
      <w:r>
        <w:t>1. PROCEDURAL POSTURE AND RECORD BASE</w:t>
      </w:r>
    </w:p>
    <w:p>
      <w:r>
        <w:t>Lakeshore’s First Set of Requests for Production (Nos. 1–25) was served December 2, 2024. Its face states a January 6, 2025 response deadline. The Agreement was effective January 15, 2021 and expired January 14, 2024 absent a written renewal. Redfield’s Answer, filed November 5, 2024, asserts defenses based on Lakeshore’s Year 3 shortfall, material breach, mitigation, limitations, comparative fault, privity, and waiver/estoppel. There is a commencement-date discrepancy to verify against the docket: the Answer and Pinnacle summary say the Complaint was filed October 1, 2024, while the RFP’s destruction instruction refers to commencement on October 7, 2024. Use the docket date in any final preservation chronology.</w:t>
      </w:r>
    </w:p>
    <w:p>
      <w:r>
        <w:t>Pinnacle’s December 10, 2024 collection summary reports 14,832 unique documents; email from January 1, 2020 through December 1, 2024; shared-drive data; local images for eight custodians; Slack available only from approximately August 3, 2024 forward; Teams from approximately November 2023 forward; and 1,200 pages collected only from the Grand Rapids offices. It notes no personal mobile collection, no voicemail collection, and no Decatur paper collection. The November 20 preliminary production contains 1,247 documents (REDFIELD-000001–REDFIELD-001247), including the Agreement, transaction records, and selected correspondence. The record provided does not establish that all RFP-responsive documents were included in that batch.</w:t>
      </w:r>
    </w:p>
    <w:p>
      <w:r>
        <w:t>The December 10 collection summary, the January 3 privilege-log spreadsheet, the RFPs, the Answer, the Agreement, and the February 12, 2023 Kessler–Foss email chain were used to prepare this draft. The collection summary and privilege log are attorney-client privileged/work product materials and must not be produced as such. RFP No. 22 nevertheless calls for discoverable factual information about preservation steps and known data limitations; provide those facts without disclosing counsel’s legal analysis or mental impressions.</w:t>
      </w:r>
    </w:p>
    <w:p>
      <w:pPr>
        <w:pStyle w:val="Heading1"/>
      </w:pPr>
      <w:r>
        <w:t>2. HIGH-PRIORITY PRESERVATION AND COMPLETENESS ISSUES</w:t>
      </w:r>
    </w:p>
    <w:p>
      <w:pPr>
        <w:pStyle w:val="Heading2"/>
      </w:pPr>
      <w:r>
        <w:t>2.1 Slack: hold omitted the primary internal platform</w:t>
      </w:r>
    </w:p>
    <w:p>
      <w:r>
        <w:t>The September 16, 2024 hold covered Exchange email, shared drives, and local drives, but did not identify Slack or Teams. No Slack retention suspension occurred at that time. On November 1, after custodian interviews, a supplemental hold covered Slack and Teams. Kessler, Morell, and Reeves reportedly used Slack as a primary internal channel for sales, account, territory, and Northpoint discussions; relevant matters may not have been duplicated in email.</w:t>
      </w:r>
    </w:p>
    <w:p>
      <w:r>
        <w:t>Slack applies a rolling 90-day auto-delete policy. By the November 1 collection, messages dated before approximately August 3, 2024 were no longer available through ordinary export or support, and no independent backup or prior export was identified. The lost interval overlaps the entire Agreement term (January 15, 2021–January 14, 2024), the Northpoint relationship, the Q3 2022/Q1 2023 testing, the August 2023 advisory, and the pre-suit period. Pinnacle reports that standard recovery avenues were exhausted, but recommends local-cache/device forensics; that limited forensic step has not been done.</w:t>
      </w:r>
    </w:p>
    <w:p>
      <w:r>
        <w:t>Duty-timing concern: on September 16, messages older than approximately June 18, 2024 were already outside a 90-day window, but messages created from approximately June 18 through August 2 would have been deleted on rolling dates approximately September 16–October 31, after the September 16 hold and before the November 1 supplement. Some of that deletion window may postdate the Complaint’s filing (the source documents conflict on whether filing was October 1 or October 7). Exact message-level deletion dates and content are unavailable. Do not state categorically that all lost Slack data predates the preservation duty. The pre-suit demand and outside-counsel retention on September 15 strongly warrant treating the preservation duty as active by September 16. Have IT/Pinnacle document the retention configuration, when it was changed (if it was), available audit logs, affected channels/custodians, and forensic recovery efforts. Preserve all surviving Slack data immediately; consider an independent forensic review of the three heavy users’ laptops/mobile devices and browser caches.</w:t>
      </w:r>
    </w:p>
    <w:p>
      <w:pPr>
        <w:pStyle w:val="Heading2"/>
      </w:pPr>
      <w:r>
        <w:t>2.2 Other uncollected or unavailable sources</w:t>
      </w:r>
    </w:p>
    <w:p>
      <w:pPr>
        <w:pStyle w:val="ListBullet"/>
        <w:spacing w:after="60"/>
      </w:pPr>
      <w:r>
        <w:t>Microsoft Teams: one-year retention; collection begins around November 2023. Confirm whether messages from September/October 2023 were deleted after the hold but before the November 1 supplement, and whether Teams retention was suspended. RFP 6/22 and other subject-matter requests may be affected.</w:t>
      </w:r>
    </w:p>
    <w:p>
      <w:pPr>
        <w:pStyle w:val="ListBullet"/>
        <w:spacing w:after="60"/>
      </w:pPr>
      <w:r>
        <w:t>Cisco voicemail: 60-day maximum retention; no voicemail was preserved or collected, and responsive recordings had expired by collection. Determine whether any deletion occurred after September 16, 2024, identify the system administrator and retention records, and document the specific date range and users affected.</w:t>
      </w:r>
    </w:p>
    <w:p>
      <w:pPr>
        <w:pStyle w:val="ListBullet"/>
        <w:spacing w:after="60"/>
      </w:pPr>
      <w:r>
        <w:t>Kessler’s personal phone: Kessler disclosed texts with Gerald Foss, Northpoint’s CEO, and could not rule out substantive business discussions. This is directly implicated by RFPs 8, 9, and 15. Obtain consent and promptly conduct a targeted collection with date/topic limitations, appropriate privilege/privacy protocol, and a documented chain of custody. Preserve the device and cloud backups now.</w:t>
      </w:r>
    </w:p>
    <w:p>
      <w:pPr>
        <w:pStyle w:val="ListBullet"/>
        <w:spacing w:after="60"/>
      </w:pPr>
      <w:r>
        <w:t>Decatur facility: no hard-copy search occurred. Operations identified potentially exclusive production run logs, maintenance records, and quality-inspection checklists. Arrange a targeted on-site collection for RFPs 7, 14, 17, and 18; document custodians, date range, search, and outcome.</w:t>
      </w:r>
    </w:p>
    <w:p>
      <w:pPr>
        <w:pStyle w:val="ListBullet"/>
        <w:spacing w:after="60"/>
      </w:pPr>
      <w:r>
        <w:t>Older sources: corporate email collection starts January 1, 2020, although RFPs 3, 7, 11, and 18 reach back to 2015. Shared drives were collected without date filtering at intake, but later relevance screening was search-term based and approximately 3,632 documents were set aside as nonresponsive. Confirm older archives, file shares, and search-term coverage; expand searches for the 2015–2019 period only to the extent relevant after custodian/data-map review.</w:t>
      </w:r>
    </w:p>
    <w:p>
      <w:pPr>
        <w:pStyle w:val="ListBullet"/>
        <w:spacing w:after="60"/>
      </w:pPr>
      <w:r>
        <w:t>The collection report describes 12 custodians but no collection from personal accounts, personal mobile devices, or voicemail. Reconcile the custodian/source inventory to each RFP response and avoid an unqualified completeness representation.</w:t>
      </w:r>
    </w:p>
    <w:p>
      <w:pPr>
        <w:pStyle w:val="Heading2"/>
      </w:pPr>
      <w:r>
        <w:t>2.3 RFP No. 22 response posture</w:t>
      </w:r>
    </w:p>
    <w:p>
      <w:r>
        <w:t>Produce factual hold notices/acknowledgments, hold dates, recipients, data-source descriptions, nonprivileged IT instructions/settings, and factual collection records. The firm’s framework treats the fact of a hold, its date, custodians, and sources as discoverable; redact only counsel’s legal analysis, mental impressions, and strategic recommendations, and log withheld portions. The response draft discloses the Slack/Teams/voicemail/personal-device/Decatur limitations and expressly reserves supplementation. Do not produce the Pinnacle report itself without a separate privilege/work-product assessment; use it to prepare a truthful factual response and collect underlying nonprivileged technical records.</w:t>
      </w:r>
    </w:p>
    <w:p>
      <w:pPr>
        <w:pStyle w:val="Heading1"/>
      </w:pPr>
      <w:r>
        <w:t>3. INADVERTENT DISCLOSURE AND PRIVILEGE-LOG DEFECTS</w:t>
      </w:r>
    </w:p>
    <w:p>
      <w:pPr>
        <w:pStyle w:val="Heading2"/>
      </w:pPr>
      <w:r>
        <w:t>3.1 REDFIELD-000847 / April 22, 2023 Ng-to-Chen email</w:t>
      </w:r>
    </w:p>
    <w:p>
      <w:r>
        <w:t>The November 20 production included REDFIELD-000847, an April 22, 2023 email from Patricia Ng to Linda Chen that expressly says to consult outside counsel before disclosure and “Privilege applies.” Privilege review identified it November 27; Pinnacle was notified November 28; its post-production audit confirmed production December 3. No clawback demand had been sent as of the December 10 collection summary; confirm whether one followed. The spreadsheet lists the same email as privilege-log Entry 2, Bates RMI-PRIV-000002, creating a Bates mismatch and implying it is withheld even though it was already produced.</w:t>
      </w:r>
    </w:p>
    <w:p>
      <w:r>
        <w:t>Action now: confirm the document’s exact content, prior recipients, and whether Lakeshore has used or forwarded it; identify any existing clawback term/order; if no notice has been sent since December 10, immediately notify Corwin &amp; Desmond in writing, identify REDFIELD-000847, assert privilege, request sequestration and no use/dissemination pending resolution, and demand return/destruction or other agreed treatment. Document the notice and follow-up. Seek a stipulated clawback provision/protective order for future productions. The delay since the November 27 identification is significant; do not delay further. Correct the log so the document is not represented as an unproduced item and provide the applicable production/privilege status accurately.</w:t>
      </w:r>
    </w:p>
    <w:p>
      <w:pPr>
        <w:pStyle w:val="Heading2"/>
      </w:pPr>
      <w:r>
        <w:t>3.2 Log quality, chronology, and category reconciliation</w:t>
      </w:r>
    </w:p>
    <w:p>
      <w:pPr>
        <w:pStyle w:val="ListBullet"/>
        <w:spacing w:after="60"/>
      </w:pPr>
      <w:r>
        <w:t>Entries 1–7 (April–September 2023, Ng/Chen quality communications) predate outside counsel’s September 15, 2024 retention. Entry 2 has a detailed legal-purpose description but was inadvertently produced. Entries 1 and 3–7 say only “discussion of quality testing results,” which does not establish that the primary purpose was legal advice rather than ordinary quality/business work. Re-review each document and attachment individually; produce nonprivileged factual/business communications and segregable technical records; improve descriptions only where the facts support privilege. Do not log by sender/title alone.</w:t>
      </w:r>
    </w:p>
    <w:p>
      <w:pPr>
        <w:pStyle w:val="ListBullet"/>
        <w:spacing w:after="60"/>
      </w:pPr>
      <w:r>
        <w:t>The collection summary says the log spans April 20, 2023–December 5, 2024 and that final entries were confirmed December 8; the spreadsheet says its log date is January 3, 2025 and includes entries through December 15, 2024 (Nos. 166–183). The December 10 collection summary cannot describe privilege determinations made through December 15. Reconcile source versions, dates, custodians, entry count, and the counts of 112 AC + 54 WP + 17 AC/WP = 183 before service.</w:t>
      </w:r>
    </w:p>
    <w:p>
      <w:pPr>
        <w:pStyle w:val="ListBullet"/>
        <w:spacing w:after="60"/>
      </w:pPr>
      <w:r>
        <w:t>Bates conventions conflict: the privilege workbook uses RMI-PRIV-000001–000183, while the inadvertent production uses REDFIELD-000847. Confirm whether RMI-PRIV is a withheld-document identifier or a production Bates range and ensure each log entry uniquely maps to an actual withheld item. Align Entry 2 with the already produced document and avoid implying that a Bates-stamped copy in the production was withheld.</w:t>
      </w:r>
    </w:p>
    <w:p>
      <w:pPr>
        <w:pStyle w:val="ListBullet"/>
        <w:spacing w:after="60"/>
      </w:pPr>
      <w:r>
        <w:t>Entries 45–48 assert common-interest protection for communications between Redfield counsel and Northpoint counsel. The log notes no written joint-defense/common-interest agreement and no specific shared legal interest. Northpoint’s interests may diverge or be adverse, including possible exposure related to the alleged interference and V-Series distribution. Verify alignment, purpose, participants, confidentiality, and whether a common legal interest existed for each communication. Do not assert common-interest protection merely because counsel coordinated or the parties shared commercial interests. Evaluate waiver separately and consider obtaining a prospective written agreement only if the legal interests are genuinely aligned; it cannot retroactively cure prior disclosure.</w:t>
      </w:r>
    </w:p>
    <w:p>
      <w:pPr>
        <w:pStyle w:val="ListBullet"/>
        <w:spacing w:after="60"/>
      </w:pPr>
      <w:r>
        <w:t>Confirm the privilege designation counts and treatment of the four common-interest entries (described as a subset of AC in the summary but labeled Common Interest Privilege in the detail). Entries involving in-house counsel require a description establishing legal advice as the primary purpose. Segregate business advice, underlying facts, attachments, and preexisting records.</w:t>
      </w:r>
    </w:p>
    <w:p>
      <w:pPr>
        <w:pStyle w:val="Heading1"/>
      </w:pPr>
      <w:r>
        <w:t>4. MERITS AND DOCUMENTARY RISK</w:t>
      </w:r>
    </w:p>
    <w:p>
      <w:pPr>
        <w:pStyle w:val="Heading2"/>
      </w:pPr>
      <w:r>
        <w:t>4.1 Northpoint: February 12, 2023 Kessler–Foss chain</w:t>
      </w:r>
    </w:p>
    <w:p>
      <w:r>
        <w:t>The email chain is a critical liability document and directly responsive to RFPs 9 and 15 (and likely Nos. 4 and 8). Kessler writes that Lakeshore has the exclusive for V-Series in Michigan, Wisconsin, Minnesota, and parts of northern Illinois; says V-Series “falls squarely within that coverage”; acknowledges a direct overlap; discusses whether to characterize V-Series as Industrial Series using a different SKU/product-line classification; asks Foss to keep the discussions “between us”; and says he does not want the matter to reach Lakeshore before the parties have “our ducks in a row.” Foss discusses expected V-Series sales of approximately $1.2–$1.5 million annually and asks for pricing, specs, BOM, and quality data. This materially undercuts the Answer’s categorical position that the Northpoint arrangement was limited to a separate Industrial Series product line and involved no V-Series distribution discussions.</w:t>
      </w:r>
    </w:p>
    <w:p>
      <w:r>
        <w:t>Confirm whether the complete thread (including all headers, attachments, and any separate spec/pricing transmissions) was included in REDFIELD-000001–001247 and identify exact Bates numbers. If not, produce promptly. Search Kessler’s mailbox, shared drives, mobile texts, Northpoint files, and communications concerning SKU/product-family treatment, pricing/spec sheets, V-Series volume, territory, and Foss’s request for quality data. Reassess the Answer and defenses against the actual documents; do not characterize the thread as privileged—it is an external business communication.</w:t>
      </w:r>
    </w:p>
    <w:p>
      <w:pPr>
        <w:pStyle w:val="Heading2"/>
      </w:pPr>
      <w:r>
        <w:t>4.2 Year 3 minimum volume and breach/waiver defense</w:t>
      </w:r>
    </w:p>
    <w:p>
      <w:r>
        <w:t>The Answer alleges a $4.17 million Year 3 shortfall and calls it a material breach excusing Redfield’s performance. The Agreement’s Section 3.3 is materially more specific: a shortfall alone is not a material breach unless Redfield timely elects in writing to waive, reduce territory, or terminate for cause; failure to exercise a remedy within 60 days after the Contract Year ends is deemed a waiver of that year’s shortfall. Contract Year 3 ended January 14, 2024; identify whether Redfield made a written election by approximately March 14, 2024 and whether any 90-day Section 9.1 notice/cure process was followed. If no timely election exists, the stand-alone Year 3 defense is substantially weakened.</w:t>
      </w:r>
    </w:p>
    <w:p>
      <w:r>
        <w:t>Also validate the $7.83 million calculation against Section 3.2, which measures aggregate List Price of Orders accepted during the Contract Year, net of returns/credits—not discounted invoice revenue or shipments alone. Obtain quarterly reports and reconciliations; test acceptance date, credits, returns, cancellations, backorders, and the accounting treatment. The Answer’s second affirmative defense references marketing, territory coverage, and promotional expenditure duties under Sections 4 and 6; those sections in the Agreement govern orders and product quality/warranty, while the express promotion commitment appears in Section 2.1 and no promotional-spend covenant is apparent in the supplied agreement. Verify before repeating the contention.</w:t>
      </w:r>
    </w:p>
    <w:p>
      <w:pPr>
        <w:pStyle w:val="Heading2"/>
      </w:pPr>
      <w:r>
        <w:t>4.3 V-Series quality and advisory</w:t>
      </w:r>
    </w:p>
    <w:p>
      <w:r>
        <w:t>The Answer admits the Q3 2022 test’s 3.2% failure rate was within Redfield’s 5% tolerance and the Q1 2023 result was 7.8%, above the contractual threshold. Section 6.2 requires manufacturing to published Quality Standards, maintenance of complete QA records, and five-year retention. Section 6.4 allocates advisory/recall implementation costs to Redfield. The defense that no automatic disclosure duty existed does not remove the relevance of the elevated result, the four-month interval to the August 15 advisory, or communications about the proper response. Obtain raw Elkhorn data, methods, sample/lot identification, repeat testing, engineering change orders, CAPA/root-cause records, decision chronology, advisory scope/distribution records, warranty/return counts, and records at Decatur. Determine what V-Series specs/testing data Kessler shared or offered to Foss and whether any quality materials were disclosed to Northpoint.</w:t>
      </w:r>
    </w:p>
    <w:p>
      <w:pPr>
        <w:pStyle w:val="Heading2"/>
      </w:pPr>
      <w:r>
        <w:t>4.4 Damages, customers, and mitigation</w:t>
      </w:r>
    </w:p>
    <w:p>
      <w:r>
        <w:t>The current defenses assert failure to mitigate and challenge the $6.2 million demand, including $281,600 attributed to $1.28 million in Northpoint V-Series sales, $3.9 million in customer attrition, and $2.02 million in warranty-related claims. Preserve and produce the account-level sales, margin, customer, credit, return, and warranty records relevant to Lakeshore. Determine whether the alleged $1.28 million Northpoint V-Series figure and geography are supported by Redfield’s own records. Avoid equating Lakeshore’s purchase-volume shortfall with causation or damages without analyzing the contract’s remedy and the market/customer evidence.</w:t>
      </w:r>
    </w:p>
    <w:p>
      <w:pPr>
        <w:pStyle w:val="Heading1"/>
      </w:pPr>
      <w:r>
        <w:t>5. RESPONSE-DRAFTING AND PRODUCTION DECISIONS</w:t>
      </w:r>
    </w:p>
    <w:p>
      <w:pPr>
        <w:pStyle w:val="ListBullet"/>
        <w:spacing w:after="60"/>
      </w:pPr>
      <w:r>
        <w:t>Nos. 4, 8, 15, and 19 overlap. Make a consolidated Northpoint production and cross-reference Bates ranges in an index; avoid duplicate processing while ensuring that contracts, correspondence, territory and sales data, and Kessler–Foss communications are all covered.</w:t>
      </w:r>
    </w:p>
    <w:p>
      <w:pPr>
        <w:pStyle w:val="ListBullet"/>
        <w:spacing w:after="60"/>
      </w:pPr>
      <w:r>
        <w:t>Nos. 3, 7, 11, and 18 reach 2015. State tailored date/product/custodian limits with concrete case relevance, but verify older sources rather than treating the January 2020 email cutoff as complete. Do not rely on unsupported “burden” assertions; identify actual search scope and available sources.</w:t>
      </w:r>
    </w:p>
    <w:p>
      <w:pPr>
        <w:pStyle w:val="ListBullet"/>
        <w:spacing w:after="60"/>
      </w:pPr>
      <w:r>
        <w:t>Nos. 11, 14, 19, and 25 seek confidential pricing, margins, BOM, costs, engineering, and account information. Confidentiality does not justify nonproduction. Negotiate a protective order with a meaningful attorneys’-eyes-only tier, use restrictions, challenge procedure, and return/destruction terms. Produce relevant material when protection is in place; identify any temporary withholding clearly.</w:t>
      </w:r>
    </w:p>
    <w:p>
      <w:pPr>
        <w:pStyle w:val="ListBullet"/>
        <w:spacing w:after="60"/>
      </w:pPr>
      <w:r>
        <w:t>No. 21: limit to relevant job duties, reporting, authority, and directly relevant performance/disciplinary material; redact medical, tax, benefits, emergency-contact, and irrelevant personal information. Notify affected employees and use a protective order if needed.</w:t>
      </w:r>
    </w:p>
    <w:p>
      <w:pPr>
        <w:pStyle w:val="ListBullet"/>
        <w:spacing w:after="60"/>
      </w:pPr>
      <w:r>
        <w:t>No. 23: conduct a document-level privilege review of Ng/Chen communications; produce ordinary quality/business facts and nonprivileged attachments. Log only communications that meet the privilege/work-product test with a description establishing legal purpose.</w:t>
      </w:r>
    </w:p>
    <w:p>
      <w:pPr>
        <w:pStyle w:val="ListBullet"/>
        <w:spacing w:after="60"/>
      </w:pPr>
      <w:r>
        <w:t>No. 24: object to marshaling evidence by affirmative defense, but do not refuse underlying responsive categories. Produce the business records in ordinary course and reserve later contention discovery under the correct mechanism.</w:t>
      </w:r>
    </w:p>
    <w:p>
      <w:pPr>
        <w:pStyle w:val="ListBullet"/>
        <w:spacing w:after="60"/>
      </w:pPr>
      <w:r>
        <w:t>No. 16: determine whether Redfield issued a Section 3.3 election, Section 9.1 termination/default notice, or any relevant written cure communication. Confirm the actual expiration and any post-term correspondence before stating that no notice exists.</w:t>
      </w:r>
    </w:p>
    <w:p>
      <w:pPr>
        <w:pStyle w:val="Heading1"/>
      </w:pPr>
      <w:r>
        <w:t>6. IMMEDIATE ACTION LIST</w:t>
      </w:r>
    </w:p>
    <w:p>
      <w:pPr>
        <w:pStyle w:val="ListNumber"/>
        <w:spacing w:after="60"/>
      </w:pPr>
      <w:r>
        <w:t>Today: send the REDFIELD-000847 clawback/sequestration notice, confirm status of any protective order/clawback agreement, and preserve the relevant email and production/QC audit trail.</w:t>
      </w:r>
    </w:p>
    <w:p>
      <w:pPr>
        <w:pStyle w:val="ListNumber"/>
        <w:spacing w:after="60"/>
      </w:pPr>
      <w:r>
        <w:t>Before service: reconcile the privilege log’s Bates mapping, dates, entries, categories, and totals; re-review entries 1–7 and 45–48; remove Entry 2 from the withheld set or accurately account for its prior production; finalize a proper log for documents actually withheld.</w:t>
      </w:r>
    </w:p>
    <w:p>
      <w:pPr>
        <w:pStyle w:val="ListNumber"/>
        <w:spacing w:after="60"/>
      </w:pPr>
      <w:r>
        <w:t>Immediately preserve and investigate surviving Slack/Teams data, retention settings, audit logs, local caches, and device/cloud backups; obtain a targeted Kessler phone collection; document the scope and outcome of each effort.</w:t>
      </w:r>
    </w:p>
    <w:p>
      <w:pPr>
        <w:pStyle w:val="ListNumber"/>
        <w:spacing w:after="60"/>
      </w:pPr>
      <w:r>
        <w:t>Complete targeted Decatur hard-copy collection and review older data sources/search terms where relevant; confirm the 12-custodian map, all data sources, and what remains uncollected.</w:t>
      </w:r>
    </w:p>
    <w:p>
      <w:pPr>
        <w:pStyle w:val="ListNumber"/>
        <w:spacing w:after="60"/>
      </w:pPr>
      <w:r>
        <w:t>Validate Lakeshore’s purchase-volume metric and search for a timely written Section 3.3 election, any Section 9.1 notice/cure record, and the relevant deadline/waiver evidence.</w:t>
      </w:r>
    </w:p>
    <w:p>
      <w:pPr>
        <w:pStyle w:val="ListNumber"/>
        <w:spacing w:after="60"/>
      </w:pPr>
      <w:r>
        <w:t>Confirm whether the February 12, 2023 Kessler–Foss thread, attachments, and related transmissions are in the November 20 production; produce any missing responsive nonprivileged records and identify the Bates range.</w:t>
      </w:r>
    </w:p>
    <w:p>
      <w:pPr>
        <w:pStyle w:val="ListNumber"/>
        <w:spacing w:after="60"/>
      </w:pPr>
      <w:r>
        <w:t>Agree a protective order for sensitive pricing, financial, and technical information; add a clawback procedure for future productions. If agreement is not reached, raise promptly through meet-and-confer or appropriate motion practice rather than withholding indefinitely.</w:t>
      </w:r>
    </w:p>
    <w:p>
      <w:pPr>
        <w:pStyle w:val="ListNumber"/>
        <w:spacing w:after="60"/>
      </w:pPr>
      <w:r>
        <w:t>Review the draft response’s factual statements with Ng, Kessler, Kowalski, Chen, Tanaka, and Pinnacle, preserving a written record of who verified each fact. Update the responses and privilege log before signature/service; disclose known preservation limits accurately and supplement as required.</w:t>
      </w:r>
    </w:p>
    <w:p>
      <w:pPr>
        <w:pStyle w:val="Heading1"/>
      </w:pPr>
      <w:r>
        <w:t>BOTTOM LINE</w:t>
      </w:r>
    </w:p>
    <w:p>
      <w:r>
        <w:t>The strongest near-term risk is preservation: Slack was omitted from the initial hold despite its later-confirmed role as the primary internal sales channel, and a substantial pre-August 2024 corpus is unrecoverable, including potentially relevant messages that may have been deleted after the duty attached. The second immediate risk is the outstanding inadvertent-disclosure clawback. On the merits, the February 12, 2023 Kessler–Foss emails and Section 3.3’s written-election/60-day waiver terms require prompt reassessment of the current defenses. The response should be candid about known data gaps, narrow only with concrete alternatives, produce nonprivileged facts promptly, and avoid unsupported privilege or burden positions.</w:t>
      </w:r>
    </w:p>
    <w:p>
      <w:pPr>
        <w:spacing w:before="240"/>
      </w:pPr>
      <w:r>
        <w:rPr>
          <w:b/>
          <w:color w:val="8B0000"/>
        </w:rPr>
        <w:t>CONFIDENTIAL: This memorandum contains counsel’s legal analysis, mental impressions, and litigation strategy. Do not forward to the client or opposing counsel without partner approval.</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666666"/>
        <w:sz w:val="16"/>
      </w:rPr>
      <w:t>ATTORNEY-CLIENT PRIVILEGED • ATTORNEY WORK PRODUCT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