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BLACKWELL, TRENT &amp; GALLAGHER LLP</w:t>
      </w:r>
    </w:p>
    <w:p>
      <w:pPr>
        <w:spacing w:after="120"/>
        <w:jc w:val="center"/>
      </w:pPr>
      <w:r>
        <w:rPr>
          <w:b/>
          <w:i w:val="0"/>
        </w:rPr>
        <w:t>INTERNAL MEMORANDUM</w:t>
      </w:r>
    </w:p>
    <w:tbl>
      <w:tblPr>
        <w:tblStyle w:val="TableGrid"/>
        <w:tblW w:type="auto" w:w="0"/>
        <w:tblLook w:firstColumn="1" w:firstRow="1" w:lastColumn="0" w:lastRow="0" w:noHBand="0" w:noVBand="1" w:val="04A0"/>
      </w:tblPr>
      <w:tblGrid>
        <w:gridCol w:w="4680"/>
        <w:gridCol w:w="4680"/>
      </w:tblGrid>
      <w:tr>
        <w:tc>
          <w:tcPr>
            <w:tcW w:type="dxa" w:w="1440"/>
          </w:tcPr>
          <w:p>
            <w:r/>
            <w:r>
              <w:rPr>
                <w:b w:val="0"/>
                <w:sz w:val="20"/>
              </w:rPr>
              <w:t>TO:</w:t>
            </w:r>
          </w:p>
        </w:tc>
        <w:tc>
          <w:tcPr>
            <w:tcW w:type="dxa" w:w="7920"/>
          </w:tcPr>
          <w:p>
            <w:r/>
            <w:r>
              <w:rPr>
                <w:b w:val="0"/>
                <w:sz w:val="20"/>
              </w:rPr>
              <w:t>Jonathan Trent, Partner</w:t>
            </w:r>
          </w:p>
        </w:tc>
      </w:tr>
      <w:tr>
        <w:tc>
          <w:tcPr>
            <w:tcW w:type="dxa" w:w="1440"/>
          </w:tcPr>
          <w:p>
            <w:r/>
            <w:r>
              <w:rPr>
                <w:b w:val="0"/>
                <w:sz w:val="20"/>
              </w:rPr>
              <w:t>CC:</w:t>
            </w:r>
          </w:p>
        </w:tc>
        <w:tc>
          <w:tcPr>
            <w:tcW w:type="dxa" w:w="7920"/>
          </w:tcPr>
          <w:p>
            <w:r/>
            <w:r>
              <w:rPr>
                <w:b w:val="0"/>
                <w:sz w:val="20"/>
              </w:rPr>
              <w:t>Maya Vasquez, Senior Associate</w:t>
            </w:r>
          </w:p>
        </w:tc>
      </w:tr>
      <w:tr>
        <w:tc>
          <w:tcPr>
            <w:tcW w:type="dxa" w:w="1440"/>
          </w:tcPr>
          <w:p>
            <w:r/>
            <w:r>
              <w:rPr>
                <w:b w:val="0"/>
                <w:sz w:val="20"/>
              </w:rPr>
              <w:t>FROM:</w:t>
            </w:r>
          </w:p>
        </w:tc>
        <w:tc>
          <w:tcPr>
            <w:tcW w:type="dxa" w:w="7920"/>
          </w:tcPr>
          <w:p>
            <w:r/>
            <w:r>
              <w:rPr>
                <w:b w:val="0"/>
                <w:sz w:val="20"/>
              </w:rPr>
              <w:t>[Associate]</w:t>
            </w:r>
          </w:p>
        </w:tc>
      </w:tr>
      <w:tr>
        <w:tc>
          <w:tcPr>
            <w:tcW w:type="dxa" w:w="1440"/>
          </w:tcPr>
          <w:p>
            <w:r/>
            <w:r>
              <w:rPr>
                <w:b w:val="0"/>
                <w:sz w:val="20"/>
              </w:rPr>
              <w:t>DATE:</w:t>
            </w:r>
          </w:p>
        </w:tc>
        <w:tc>
          <w:tcPr>
            <w:tcW w:type="dxa" w:w="7920"/>
          </w:tcPr>
          <w:p>
            <w:r/>
            <w:r>
              <w:rPr>
                <w:b w:val="0"/>
                <w:sz w:val="20"/>
              </w:rPr>
              <w:t>December [__], 2024</w:t>
            </w:r>
          </w:p>
        </w:tc>
      </w:tr>
      <w:tr>
        <w:tc>
          <w:tcPr>
            <w:tcW w:type="dxa" w:w="1440"/>
          </w:tcPr>
          <w:p>
            <w:r/>
            <w:r>
              <w:rPr>
                <w:b w:val="0"/>
                <w:sz w:val="20"/>
              </w:rPr>
              <w:t>RE:</w:t>
            </w:r>
          </w:p>
        </w:tc>
        <w:tc>
          <w:tcPr>
            <w:tcW w:type="dxa" w:w="7920"/>
          </w:tcPr>
          <w:p>
            <w:r/>
            <w:r>
              <w:rPr>
                <w:b w:val="0"/>
                <w:sz w:val="20"/>
              </w:rPr>
              <w:t>Lakeshore Supply Partners, LLC v. Redfield Manufacturing, Inc., No. 24-CV-04817 (Kent Cty. Cir. Ct.): Draft responses to Plaintiff’s First RFPs and discovery issues requiring your decision</w:t>
            </w:r>
          </w:p>
        </w:tc>
      </w:tr>
    </w:tbl>
    <w:p/>
    <w:p>
      <w:pPr>
        <w:pStyle w:val="Heading1"/>
      </w:pPr>
      <w:r>
        <w:t>I. Summary and Urgent Action Items</w:t>
      </w:r>
    </w:p>
    <w:p>
      <w:pPr>
        <w:spacing w:after="120"/>
        <w:jc w:val="both"/>
      </w:pPr>
      <w:r>
        <w:rPr>
          <w:b w:val="0"/>
        </w:rPr>
        <w:t xml:space="preserve">The draft responses and objections to RFP Nos. 1–25 are attached (rfp-responses.docx). They follow the firm’s October 2024 objection framework: each objection is tailored to its Request, proposes a narrower scope where we object, and states expressly whether documents are withheld. But the drafting surfaced several problems that go beyond objection strategy. </w:t>
      </w:r>
      <w:r>
        <w:rPr>
          <w:b/>
        </w:rPr>
        <w:t>Five of them need your attention before anything is served</w:t>
      </w:r>
      <w:r>
        <w:rPr>
          <w:b w:val="0"/>
        </w:rPr>
        <w:t>, and the first two have real sanctions and candor exposure:</w:t>
      </w:r>
    </w:p>
    <w:p>
      <w:pPr>
        <w:spacing w:after="120"/>
        <w:jc w:val="both"/>
      </w:pPr>
      <w:r>
        <w:rPr>
          <w:b w:val="0"/>
        </w:rPr>
        <w:t xml:space="preserve">1.  </w:t>
      </w:r>
      <w:r>
        <w:rPr>
          <w:b/>
        </w:rPr>
        <w:t>The Kessler–Foss email of February 12, 2023 is responsive to RFP 4, 8, and 15, is not privileged, and must be produced.</w:t>
      </w:r>
      <w:r>
        <w:rPr>
          <w:b w:val="0"/>
        </w:rPr>
        <w:t xml:space="preserve"> It undercuts ¶¶ 22, 25, and 26 of our Answer. In it, Kessler discusses V-Series distribution through Northpoint in Lakeshore’s territory, calls the deal something to “keep between us,” and floats relabeling V-Series units as “Industrial Series” to get “more flexibility.” We should evaluate amending the Answer (Section III).</w:t>
      </w:r>
    </w:p>
    <w:p>
      <w:pPr>
        <w:spacing w:after="120"/>
        <w:jc w:val="both"/>
      </w:pPr>
      <w:r>
        <w:rPr>
          <w:b w:val="0"/>
        </w:rPr>
        <w:t xml:space="preserve">2.  </w:t>
      </w:r>
      <w:r>
        <w:rPr>
          <w:b/>
        </w:rPr>
        <w:t>Slack, Teams, and voicemail data were lost after the September 16, 2024 litigation hold, not only before it.</w:t>
      </w:r>
      <w:r>
        <w:rPr>
          <w:b w:val="0"/>
        </w:rPr>
        <w:t xml:space="preserve"> Pinnacle’s memo does not frame it this way. The lost post-hold data includes about 46 days of Slack messages, about 6 weeks of Teams messages from the fall of 2023, and all voicemail. RFP Instruction 7 requires disclosure, and the draft responses disclose the loss in Section III. That disclosure needs your and the client’s sign-off (Section IV).</w:t>
      </w:r>
    </w:p>
    <w:p>
      <w:pPr>
        <w:spacing w:after="120"/>
        <w:jc w:val="both"/>
      </w:pPr>
      <w:r>
        <w:rPr>
          <w:b w:val="0"/>
        </w:rPr>
        <w:t xml:space="preserve">3.  </w:t>
      </w:r>
      <w:r>
        <w:rPr>
          <w:b/>
        </w:rPr>
        <w:t>The clawback of REDFIELD-000847 (the Ng–Chen email of April 22, 2023) has not been sent.</w:t>
      </w:r>
      <w:r>
        <w:rPr>
          <w:b w:val="0"/>
        </w:rPr>
        <w:t xml:space="preserve"> We identified the problem on November 27. Each additional day of delay strengthens a waiver argument. The clawback letter should go out immediately, before the responses are served (Section V).</w:t>
      </w:r>
    </w:p>
    <w:p>
      <w:pPr>
        <w:spacing w:after="120"/>
        <w:jc w:val="both"/>
      </w:pPr>
      <w:r>
        <w:rPr>
          <w:b w:val="0"/>
        </w:rPr>
        <w:t xml:space="preserve">4.  </w:t>
      </w:r>
      <w:r>
        <w:rPr>
          <w:b/>
        </w:rPr>
        <w:t>The privilege log is not ready to serve.</w:t>
      </w:r>
      <w:r>
        <w:rPr>
          <w:b w:val="0"/>
        </w:rPr>
        <w:t xml:space="preserve"> Its summary statistics do not match its own entries. It has vague pre-retention entries, unsupported common-interest entries, wrong RFP and contract-section references, and descriptions that reveal strategy (Section VI).</w:t>
      </w:r>
    </w:p>
    <w:p>
      <w:pPr>
        <w:spacing w:after="120"/>
        <w:jc w:val="both"/>
      </w:pPr>
      <w:r>
        <w:rPr>
          <w:b w:val="0"/>
        </w:rPr>
        <w:t xml:space="preserve">5.  </w:t>
      </w:r>
      <w:r>
        <w:rPr>
          <w:b/>
        </w:rPr>
        <w:t>The response deadline may be December 30, not January 6</w:t>
      </w:r>
      <w:r>
        <w:rPr>
          <w:b w:val="0"/>
        </w:rPr>
        <w:t xml:space="preserve"> (Section II).</w:t>
      </w:r>
    </w:p>
    <w:p>
      <w:pPr>
        <w:pStyle w:val="Heading2"/>
      </w:pPr>
      <w:r>
        <w:t>Action checklist</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fill="D9D9D9"/>
          </w:tcPr>
          <w:p>
            <w:r/>
            <w:r>
              <w:rPr>
                <w:b/>
                <w:sz w:val="20"/>
              </w:rPr>
              <w:t>#</w:t>
            </w:r>
          </w:p>
        </w:tc>
        <w:tc>
          <w:tcPr>
            <w:tcW w:type="dxa" w:w="5616"/>
            <w:shd w:val="clear" w:fill="D9D9D9"/>
          </w:tcPr>
          <w:p>
            <w:r/>
            <w:r>
              <w:rPr>
                <w:b/>
                <w:sz w:val="20"/>
              </w:rPr>
              <w:t>Action</w:t>
            </w:r>
          </w:p>
        </w:tc>
        <w:tc>
          <w:tcPr>
            <w:tcW w:type="dxa" w:w="1584"/>
            <w:shd w:val="clear" w:fill="D9D9D9"/>
          </w:tcPr>
          <w:p>
            <w:r/>
            <w:r>
              <w:rPr>
                <w:b/>
                <w:sz w:val="20"/>
              </w:rPr>
              <w:t>Owner</w:t>
            </w:r>
          </w:p>
        </w:tc>
        <w:tc>
          <w:tcPr>
            <w:tcW w:type="dxa" w:w="1728"/>
            <w:shd w:val="clear" w:fill="D9D9D9"/>
          </w:tcPr>
          <w:p>
            <w:r/>
            <w:r>
              <w:rPr>
                <w:b/>
                <w:sz w:val="20"/>
              </w:rPr>
              <w:t>Target</w:t>
            </w:r>
          </w:p>
        </w:tc>
      </w:tr>
      <w:tr>
        <w:tc>
          <w:tcPr>
            <w:tcW w:type="dxa" w:w="432"/>
          </w:tcPr>
          <w:p>
            <w:r/>
            <w:r>
              <w:rPr>
                <w:b w:val="0"/>
                <w:sz w:val="20"/>
              </w:rPr>
              <w:t>1</w:t>
            </w:r>
          </w:p>
        </w:tc>
        <w:tc>
          <w:tcPr>
            <w:tcW w:type="dxa" w:w="5616"/>
          </w:tcPr>
          <w:p>
            <w:r/>
            <w:r>
              <w:rPr>
                <w:b w:val="0"/>
                <w:sz w:val="20"/>
              </w:rPr>
              <w:t>Confirm the response deadline under MCR 2.310(B)(2). Get a written stipulation from Corwin extending to Jan. 6 if needed.</w:t>
            </w:r>
          </w:p>
        </w:tc>
        <w:tc>
          <w:tcPr>
            <w:tcW w:type="dxa" w:w="1584"/>
          </w:tcPr>
          <w:p>
            <w:r/>
            <w:r>
              <w:rPr>
                <w:b w:val="0"/>
                <w:sz w:val="20"/>
              </w:rPr>
              <w:t>Associate / JT</w:t>
            </w:r>
          </w:p>
        </w:tc>
        <w:tc>
          <w:tcPr>
            <w:tcW w:type="dxa" w:w="1728"/>
          </w:tcPr>
          <w:p>
            <w:r/>
            <w:r>
              <w:rPr>
                <w:b w:val="0"/>
                <w:sz w:val="20"/>
              </w:rPr>
              <w:t>Immediately</w:t>
            </w:r>
          </w:p>
        </w:tc>
      </w:tr>
      <w:tr>
        <w:tc>
          <w:tcPr>
            <w:tcW w:type="dxa" w:w="432"/>
          </w:tcPr>
          <w:p>
            <w:r/>
            <w:r>
              <w:rPr>
                <w:b w:val="0"/>
                <w:sz w:val="20"/>
              </w:rPr>
              <w:t>2</w:t>
            </w:r>
          </w:p>
        </w:tc>
        <w:tc>
          <w:tcPr>
            <w:tcW w:type="dxa" w:w="5616"/>
          </w:tcPr>
          <w:p>
            <w:r/>
            <w:r>
              <w:rPr>
                <w:b w:val="0"/>
                <w:sz w:val="20"/>
              </w:rPr>
              <w:t>Send the clawback letter for REDFIELD-000847 under MCR 2.302(B)(7). Request sequestration and certification of destruction.</w:t>
            </w:r>
          </w:p>
        </w:tc>
        <w:tc>
          <w:tcPr>
            <w:tcW w:type="dxa" w:w="1584"/>
          </w:tcPr>
          <w:p>
            <w:r/>
            <w:r>
              <w:rPr>
                <w:b w:val="0"/>
                <w:sz w:val="20"/>
              </w:rPr>
              <w:t>JT</w:t>
            </w:r>
          </w:p>
        </w:tc>
        <w:tc>
          <w:tcPr>
            <w:tcW w:type="dxa" w:w="1728"/>
          </w:tcPr>
          <w:p>
            <w:r/>
            <w:r>
              <w:rPr>
                <w:b w:val="0"/>
                <w:sz w:val="20"/>
              </w:rPr>
              <w:t>Immediately</w:t>
            </w:r>
          </w:p>
        </w:tc>
      </w:tr>
      <w:tr>
        <w:tc>
          <w:tcPr>
            <w:tcW w:type="dxa" w:w="432"/>
          </w:tcPr>
          <w:p>
            <w:r/>
            <w:r>
              <w:rPr>
                <w:b w:val="0"/>
                <w:sz w:val="20"/>
              </w:rPr>
              <w:t>3</w:t>
            </w:r>
          </w:p>
        </w:tc>
        <w:tc>
          <w:tcPr>
            <w:tcW w:type="dxa" w:w="5616"/>
          </w:tcPr>
          <w:p>
            <w:r/>
            <w:r>
              <w:rPr>
                <w:b w:val="0"/>
                <w:sz w:val="20"/>
              </w:rPr>
              <w:t>Send Corwin a proposed stipulated protective order: two confidentiality tiers, a clawback/non-waiver clause, and a proposed cutoff for logging communications with litigation counsel.</w:t>
            </w:r>
          </w:p>
        </w:tc>
        <w:tc>
          <w:tcPr>
            <w:tcW w:type="dxa" w:w="1584"/>
          </w:tcPr>
          <w:p>
            <w:r/>
            <w:r>
              <w:rPr>
                <w:b w:val="0"/>
                <w:sz w:val="20"/>
              </w:rPr>
              <w:t>Associate</w:t>
            </w:r>
          </w:p>
        </w:tc>
        <w:tc>
          <w:tcPr>
            <w:tcW w:type="dxa" w:w="1728"/>
          </w:tcPr>
          <w:p>
            <w:r/>
            <w:r>
              <w:rPr>
                <w:b w:val="0"/>
                <w:sz w:val="20"/>
              </w:rPr>
              <w:t>With the clawback letter</w:t>
            </w:r>
          </w:p>
        </w:tc>
      </w:tr>
      <w:tr>
        <w:tc>
          <w:tcPr>
            <w:tcW w:type="dxa" w:w="432"/>
          </w:tcPr>
          <w:p>
            <w:r/>
            <w:r>
              <w:rPr>
                <w:b w:val="0"/>
                <w:sz w:val="20"/>
              </w:rPr>
              <w:t>4</w:t>
            </w:r>
          </w:p>
        </w:tc>
        <w:tc>
          <w:tcPr>
            <w:tcW w:type="dxa" w:w="5616"/>
          </w:tcPr>
          <w:p>
            <w:r/>
            <w:r>
              <w:rPr>
                <w:b w:val="0"/>
                <w:sz w:val="20"/>
              </w:rPr>
              <w:t>Call the client (Ng, Redfield III) about the Kessler email, possible amendment of the Answer, and the preservation disclosure.</w:t>
            </w:r>
          </w:p>
        </w:tc>
        <w:tc>
          <w:tcPr>
            <w:tcW w:type="dxa" w:w="1584"/>
          </w:tcPr>
          <w:p>
            <w:r/>
            <w:r>
              <w:rPr>
                <w:b w:val="0"/>
                <w:sz w:val="20"/>
              </w:rPr>
              <w:t>JT</w:t>
            </w:r>
          </w:p>
        </w:tc>
        <w:tc>
          <w:tcPr>
            <w:tcW w:type="dxa" w:w="1728"/>
          </w:tcPr>
          <w:p>
            <w:r/>
            <w:r>
              <w:rPr>
                <w:b w:val="0"/>
                <w:sz w:val="20"/>
              </w:rPr>
              <w:t>This week</w:t>
            </w:r>
          </w:p>
        </w:tc>
      </w:tr>
      <w:tr>
        <w:tc>
          <w:tcPr>
            <w:tcW w:type="dxa" w:w="432"/>
          </w:tcPr>
          <w:p>
            <w:r/>
            <w:r>
              <w:rPr>
                <w:b w:val="0"/>
                <w:sz w:val="20"/>
              </w:rPr>
              <w:t>5</w:t>
            </w:r>
          </w:p>
        </w:tc>
        <w:tc>
          <w:tcPr>
            <w:tcW w:type="dxa" w:w="5616"/>
          </w:tcPr>
          <w:p>
            <w:r/>
            <w:r>
              <w:rPr>
                <w:b w:val="0"/>
                <w:sz w:val="20"/>
              </w:rPr>
              <w:t>Authorize forensic collection of business texts from Kessler’s personal phone, plus a residual-Slack forensic exam of the Kessler, Morell, and Reeves devices.</w:t>
            </w:r>
          </w:p>
        </w:tc>
        <w:tc>
          <w:tcPr>
            <w:tcW w:type="dxa" w:w="1584"/>
          </w:tcPr>
          <w:p>
            <w:r/>
            <w:r>
              <w:rPr>
                <w:b w:val="0"/>
                <w:sz w:val="20"/>
              </w:rPr>
              <w:t>JT</w:t>
            </w:r>
          </w:p>
        </w:tc>
        <w:tc>
          <w:tcPr>
            <w:tcW w:type="dxa" w:w="1728"/>
          </w:tcPr>
          <w:p>
            <w:r/>
            <w:r>
              <w:rPr>
                <w:b w:val="0"/>
                <w:sz w:val="20"/>
              </w:rPr>
              <w:t>This week</w:t>
            </w:r>
          </w:p>
        </w:tc>
      </w:tr>
      <w:tr>
        <w:tc>
          <w:tcPr>
            <w:tcW w:type="dxa" w:w="432"/>
          </w:tcPr>
          <w:p>
            <w:r/>
            <w:r>
              <w:rPr>
                <w:b w:val="0"/>
                <w:sz w:val="20"/>
              </w:rPr>
              <w:t>6</w:t>
            </w:r>
          </w:p>
        </w:tc>
        <w:tc>
          <w:tcPr>
            <w:tcW w:type="dxa" w:w="5616"/>
          </w:tcPr>
          <w:p>
            <w:r/>
            <w:r>
              <w:rPr>
                <w:b w:val="0"/>
                <w:sz w:val="20"/>
              </w:rPr>
              <w:t>Direct Pinnacle to (a) collect ERP transactional data, (b) collect Decatur hard copy, and (c) run expanded search terms and sample the 3,632-document null set.</w:t>
            </w:r>
          </w:p>
        </w:tc>
        <w:tc>
          <w:tcPr>
            <w:tcW w:type="dxa" w:w="1584"/>
          </w:tcPr>
          <w:p>
            <w:r/>
            <w:r>
              <w:rPr>
                <w:b w:val="0"/>
                <w:sz w:val="20"/>
              </w:rPr>
              <w:t>Associate</w:t>
            </w:r>
          </w:p>
        </w:tc>
        <w:tc>
          <w:tcPr>
            <w:tcW w:type="dxa" w:w="1728"/>
          </w:tcPr>
          <w:p>
            <w:r/>
            <w:r>
              <w:rPr>
                <w:b w:val="0"/>
                <w:sz w:val="20"/>
              </w:rPr>
              <w:t>Before first rolling production</w:t>
            </w:r>
          </w:p>
        </w:tc>
      </w:tr>
      <w:tr>
        <w:tc>
          <w:tcPr>
            <w:tcW w:type="dxa" w:w="432"/>
          </w:tcPr>
          <w:p>
            <w:r/>
            <w:r>
              <w:rPr>
                <w:b w:val="0"/>
                <w:sz w:val="20"/>
              </w:rPr>
              <w:t>7</w:t>
            </w:r>
          </w:p>
        </w:tc>
        <w:tc>
          <w:tcPr>
            <w:tcW w:type="dxa" w:w="5616"/>
          </w:tcPr>
          <w:p>
            <w:r/>
            <w:r>
              <w:rPr>
                <w:b w:val="0"/>
                <w:sz w:val="20"/>
              </w:rPr>
              <w:t>Revise the privilege log (Section VI) and re-review entries 1 and 3–7.</w:t>
            </w:r>
          </w:p>
        </w:tc>
        <w:tc>
          <w:tcPr>
            <w:tcW w:type="dxa" w:w="1584"/>
          </w:tcPr>
          <w:p>
            <w:r/>
            <w:r>
              <w:rPr>
                <w:b w:val="0"/>
                <w:sz w:val="20"/>
              </w:rPr>
              <w:t>MV / Associate</w:t>
            </w:r>
          </w:p>
        </w:tc>
        <w:tc>
          <w:tcPr>
            <w:tcW w:type="dxa" w:w="1728"/>
          </w:tcPr>
          <w:p>
            <w:r/>
            <w:r>
              <w:rPr>
                <w:b w:val="0"/>
                <w:sz w:val="20"/>
              </w:rPr>
              <w:t>Before service</w:t>
            </w:r>
          </w:p>
        </w:tc>
      </w:tr>
      <w:tr>
        <w:tc>
          <w:tcPr>
            <w:tcW w:type="dxa" w:w="432"/>
          </w:tcPr>
          <w:p>
            <w:r/>
            <w:r>
              <w:rPr>
                <w:b w:val="0"/>
                <w:sz w:val="20"/>
              </w:rPr>
              <w:t>8</w:t>
            </w:r>
          </w:p>
        </w:tc>
        <w:tc>
          <w:tcPr>
            <w:tcW w:type="dxa" w:w="5616"/>
          </w:tcPr>
          <w:p>
            <w:r/>
            <w:r>
              <w:rPr>
                <w:b w:val="0"/>
                <w:sz w:val="20"/>
              </w:rPr>
              <w:t>Confirm the date of Lakeshore’s pre-suit demand letter and what was said at the April 2024 Lakeshore meeting (log entry 33, “Margaret Okafor”).</w:t>
            </w:r>
          </w:p>
        </w:tc>
        <w:tc>
          <w:tcPr>
            <w:tcW w:type="dxa" w:w="1584"/>
          </w:tcPr>
          <w:p>
            <w:r/>
            <w:r>
              <w:rPr>
                <w:b w:val="0"/>
                <w:sz w:val="20"/>
              </w:rPr>
              <w:t>Associate</w:t>
            </w:r>
          </w:p>
        </w:tc>
        <w:tc>
          <w:tcPr>
            <w:tcW w:type="dxa" w:w="1728"/>
          </w:tcPr>
          <w:p>
            <w:r/>
            <w:r>
              <w:rPr>
                <w:b w:val="0"/>
                <w:sz w:val="20"/>
              </w:rPr>
              <w:t>This week</w:t>
            </w:r>
          </w:p>
        </w:tc>
      </w:tr>
      <w:tr>
        <w:tc>
          <w:tcPr>
            <w:tcW w:type="dxa" w:w="432"/>
          </w:tcPr>
          <w:p>
            <w:r/>
            <w:r>
              <w:rPr>
                <w:b w:val="0"/>
                <w:sz w:val="20"/>
              </w:rPr>
              <w:t>9</w:t>
            </w:r>
          </w:p>
        </w:tc>
        <w:tc>
          <w:tcPr>
            <w:tcW w:type="dxa" w:w="5616"/>
          </w:tcPr>
          <w:p>
            <w:r/>
            <w:r>
              <w:rPr>
                <w:b w:val="0"/>
                <w:sz w:val="20"/>
              </w:rPr>
              <w:t>Fix the bar number and email conflicts in our signature blocks (Section VIII.F).</w:t>
            </w:r>
          </w:p>
        </w:tc>
        <w:tc>
          <w:tcPr>
            <w:tcW w:type="dxa" w:w="1584"/>
          </w:tcPr>
          <w:p>
            <w:r/>
            <w:r>
              <w:rPr>
                <w:b w:val="0"/>
                <w:sz w:val="20"/>
              </w:rPr>
              <w:t>Associate</w:t>
            </w:r>
          </w:p>
        </w:tc>
        <w:tc>
          <w:tcPr>
            <w:tcW w:type="dxa" w:w="1728"/>
          </w:tcPr>
          <w:p>
            <w:r/>
            <w:r>
              <w:rPr>
                <w:b w:val="0"/>
                <w:sz w:val="20"/>
              </w:rPr>
              <w:t>Before service</w:t>
            </w:r>
          </w:p>
        </w:tc>
      </w:tr>
    </w:tbl>
    <w:p/>
    <w:p>
      <w:pPr>
        <w:pStyle w:val="Heading1"/>
      </w:pPr>
      <w:r>
        <w:t>II. Response Deadline</w:t>
      </w:r>
    </w:p>
    <w:p>
      <w:pPr>
        <w:spacing w:after="120"/>
        <w:jc w:val="both"/>
      </w:pPr>
      <w:r>
        <w:rPr>
          <w:b w:val="0"/>
        </w:rPr>
        <w:t xml:space="preserve">The RFPs were e-served on December 2, 2024. Both the RFPs and our playbook state that responses are due 35 days after service, which is January 6, 2025. My reading of MCR 2.310(B)(2), however, is that a written response is due </w:t>
      </w:r>
      <w:r>
        <w:rPr>
          <w:b/>
        </w:rPr>
        <w:t>28 days after service</w:t>
      </w:r>
      <w:r>
        <w:rPr>
          <w:b w:val="0"/>
        </w:rPr>
        <w:t xml:space="preserve">, with a longer period only for a defendant served with the requests together with the complaint. That would make the deadline </w:t>
      </w:r>
      <w:r>
        <w:rPr>
          <w:b/>
        </w:rPr>
        <w:t>Monday, December 30, 2024</w:t>
      </w:r>
      <w:r>
        <w:rPr>
          <w:b w:val="0"/>
        </w:rPr>
        <w:t>, and e-service does not add days. I have not been able to confirm which version of the rule controls, so please treat this as unverified. The safe course is either to serve by December 30 or to get a short written stipulation from Corwin &amp; Desmond extending the deadline to January 6. The first of those options preserves our objections and avoids any argument that they were waived.</w:t>
      </w:r>
    </w:p>
    <w:p>
      <w:pPr>
        <w:pStyle w:val="Heading1"/>
      </w:pPr>
      <w:r>
        <w:t>III. The Kessler–Foss Email (Feb. 12, 2023)</w:t>
      </w:r>
    </w:p>
    <w:p>
      <w:pPr>
        <w:pStyle w:val="Heading2"/>
      </w:pPr>
      <w:r>
        <w:t>A. What it says</w:t>
      </w:r>
    </w:p>
    <w:p>
      <w:pPr>
        <w:pStyle w:val="ListBullet"/>
        <w:spacing w:after="60"/>
      </w:pPr>
      <w:r>
        <w:rPr>
          <w:b w:val="0"/>
        </w:rPr>
        <w:t>Foss proposed adding V-Series condensing units to Northpoint’s portfolio for “Milwaukee metro, Madison, and the Twin Cities corridor,” estimated $1–1.5M a year in V-Series sales, and asked for pricing, the discount structure, and Bill of Materials data.</w:t>
      </w:r>
    </w:p>
    <w:p>
      <w:pPr>
        <w:pStyle w:val="ListBullet"/>
        <w:spacing w:after="60"/>
      </w:pPr>
      <w:r>
        <w:rPr>
          <w:b w:val="0"/>
        </w:rPr>
        <w:t>Kessler acknowledged that Lakeshore “has the exclusive for V-Series in Michigan, Wisconsin, Minnesota, and parts of northern Illinois” and that Northpoint V-Series sales would create “a direct overlap with that agreement.”</w:t>
      </w:r>
    </w:p>
    <w:p>
      <w:pPr>
        <w:pStyle w:val="ListBullet"/>
        <w:spacing w:after="60"/>
      </w:pPr>
      <w:r>
        <w:rPr>
          <w:b w:val="0"/>
        </w:rPr>
        <w:t>Kessler said: “Between us, I’m not sure our current exclusive partner is going to make their Year 3 numbers.” (Contract Year 3 had begun only a month earlier, on January 15, 2023.)</w:t>
      </w:r>
    </w:p>
    <w:p>
      <w:pPr>
        <w:pStyle w:val="ListBullet"/>
        <w:spacing w:after="60"/>
      </w:pPr>
      <w:r>
        <w:rPr>
          <w:b w:val="0"/>
        </w:rPr>
        <w:t>Kessler suggested characterizing V-Series units sold through Northpoint “as part of the Industrial Series product family … Different SKU designation, different product line classification.”</w:t>
      </w:r>
    </w:p>
    <w:p>
      <w:pPr>
        <w:pStyle w:val="ListBullet"/>
        <w:spacing w:after="60"/>
      </w:pPr>
      <w:r>
        <w:rPr>
          <w:b w:val="0"/>
        </w:rPr>
        <w:t>Kessler wrote: “we should keep this between us. I don’t want this getting back to Traverse City” (Lakeshore’s headquarters). He also proposed revisiting V-Series in Q2 after signing the Industrial Series agreement on March 1. Foss replied that he would “keep things buttoned up,” asked for V-Series quality and testing data, and said he would draft “a draft amendment or side letter covering V-Series terms.”</w:t>
      </w:r>
    </w:p>
    <w:p>
      <w:pPr>
        <w:pStyle w:val="Heading2"/>
      </w:pPr>
      <w:r>
        <w:t>B. Why it matters</w:t>
      </w:r>
    </w:p>
    <w:p>
      <w:pPr>
        <w:spacing w:after="120"/>
        <w:jc w:val="both"/>
      </w:pPr>
      <w:r>
        <w:rPr>
          <w:b w:val="0"/>
        </w:rPr>
        <w:t>The email contradicts several positions in the Answer we filed on November 5, 2024:</w:t>
      </w:r>
    </w:p>
    <w:tbl>
      <w:tblPr>
        <w:tblStyle w:val="TableGrid"/>
        <w:tblW w:type="auto" w:w="0"/>
        <w:tblLook w:firstColumn="1" w:firstRow="1" w:lastColumn="0" w:lastRow="0" w:noHBand="0" w:noVBand="1" w:val="04A0"/>
      </w:tblPr>
      <w:tblGrid>
        <w:gridCol w:w="3120"/>
        <w:gridCol w:w="3120"/>
        <w:gridCol w:w="3120"/>
      </w:tblGrid>
      <w:tr>
        <w:tc>
          <w:tcPr>
            <w:tcW w:type="dxa" w:w="1008"/>
            <w:shd w:val="clear" w:fill="D9D9D9"/>
          </w:tcPr>
          <w:p>
            <w:r/>
            <w:r>
              <w:rPr>
                <w:b/>
                <w:sz w:val="20"/>
              </w:rPr>
              <w:t>Answer ¶</w:t>
            </w:r>
          </w:p>
        </w:tc>
        <w:tc>
          <w:tcPr>
            <w:tcW w:type="dxa" w:w="3168"/>
            <w:shd w:val="clear" w:fill="D9D9D9"/>
          </w:tcPr>
          <w:p>
            <w:r/>
            <w:r>
              <w:rPr>
                <w:b/>
                <w:sz w:val="20"/>
              </w:rPr>
              <w:t>Our position</w:t>
            </w:r>
          </w:p>
        </w:tc>
        <w:tc>
          <w:tcPr>
            <w:tcW w:type="dxa" w:w="5184"/>
            <w:shd w:val="clear" w:fill="D9D9D9"/>
          </w:tcPr>
          <w:p>
            <w:r/>
            <w:r>
              <w:rPr>
                <w:b/>
                <w:sz w:val="20"/>
              </w:rPr>
              <w:t>Problem created by the email and the Agreement</w:t>
            </w:r>
          </w:p>
        </w:tc>
      </w:tr>
      <w:tr>
        <w:tc>
          <w:tcPr>
            <w:tcW w:type="dxa" w:w="1008"/>
          </w:tcPr>
          <w:p>
            <w:r/>
            <w:r>
              <w:rPr>
                <w:b w:val="0"/>
                <w:sz w:val="20"/>
              </w:rPr>
              <w:t>¶ 22</w:t>
            </w:r>
          </w:p>
        </w:tc>
        <w:tc>
          <w:tcPr>
            <w:tcW w:type="dxa" w:w="3168"/>
          </w:tcPr>
          <w:p>
            <w:r/>
            <w:r>
              <w:rPr>
                <w:b w:val="0"/>
                <w:sz w:val="20"/>
              </w:rPr>
              <w:t>The Northpoint agreement was limited to the Industrial Series, a product line separate from the exclusive Products.</w:t>
            </w:r>
          </w:p>
        </w:tc>
        <w:tc>
          <w:tcPr>
            <w:tcW w:type="dxa" w:w="5184"/>
          </w:tcPr>
          <w:p>
            <w:r/>
            <w:r>
              <w:rPr>
                <w:b w:val="0"/>
                <w:sz w:val="20"/>
              </w:rPr>
              <w:t>Kessler contemplated moving V-Series through Northpoint under an Industrial Series label. In addition, the Agreement defines “Products” as Redfield’s “full line of commercial **and industrial** HVAC components,” to be “broadly construed” to include “all models, configurations, and variants.” Section 2.3 carves out only products outside that line. Whether Industrial Series rooftop units are themselves “Products” is a real question.</w:t>
            </w:r>
          </w:p>
        </w:tc>
      </w:tr>
      <w:tr>
        <w:tc>
          <w:tcPr>
            <w:tcW w:type="dxa" w:w="1008"/>
          </w:tcPr>
          <w:p>
            <w:r/>
            <w:r>
              <w:rPr>
                <w:b w:val="0"/>
                <w:sz w:val="20"/>
              </w:rPr>
              <w:t>¶ 23, 26</w:t>
            </w:r>
          </w:p>
        </w:tc>
        <w:tc>
          <w:tcPr>
            <w:tcW w:type="dxa" w:w="3168"/>
          </w:tcPr>
          <w:p>
            <w:r/>
            <w:r>
              <w:rPr>
                <w:b w:val="0"/>
                <w:sz w:val="20"/>
              </w:rPr>
              <w:t>No secret or concealed conduct; the Kessler–Foss communications were “ordinary business discussions … conducted in good faith.”</w:t>
            </w:r>
          </w:p>
        </w:tc>
        <w:tc>
          <w:tcPr>
            <w:tcW w:type="dxa" w:w="5184"/>
          </w:tcPr>
          <w:p>
            <w:r/>
            <w:r>
              <w:rPr>
                <w:b w:val="0"/>
                <w:sz w:val="20"/>
              </w:rPr>
              <w:t>“Keep this between us” and “I don’t want this getting back to Traverse City” will be read as concealment. The email supports Lakeshore’s conspiracy and tortious interference narrative.</w:t>
            </w:r>
          </w:p>
        </w:tc>
      </w:tr>
      <w:tr>
        <w:tc>
          <w:tcPr>
            <w:tcW w:type="dxa" w:w="1008"/>
          </w:tcPr>
          <w:p>
            <w:r/>
            <w:r>
              <w:rPr>
                <w:b w:val="0"/>
                <w:sz w:val="20"/>
              </w:rPr>
              <w:t>¶ 25</w:t>
            </w:r>
          </w:p>
        </w:tc>
        <w:tc>
          <w:tcPr>
            <w:tcW w:type="dxa" w:w="3168"/>
          </w:tcPr>
          <w:p>
            <w:r/>
            <w:r>
              <w:rPr>
                <w:b w:val="0"/>
                <w:sz w:val="20"/>
              </w:rPr>
              <w:t>We lack knowledge whether Northpoint resold V-Series units in the Territory, and we deny the characterization of the $1.28M in V-Series sales.</w:t>
            </w:r>
          </w:p>
        </w:tc>
        <w:tc>
          <w:tcPr>
            <w:tcW w:type="dxa" w:w="5184"/>
          </w:tcPr>
          <w:p>
            <w:r/>
            <w:r>
              <w:rPr>
                <w:b w:val="0"/>
                <w:sz w:val="20"/>
              </w:rPr>
              <w:t>Northpoint is based in Milwaukee, inside the Territory, and the email targets Wisconsin and Minnesota customers. Our own ship-to data (RFP 19) will likely show where the units went. A “lack of knowledge” answer is hard to defend if Redfield’s records show deliveries in the Territory.</w:t>
            </w:r>
          </w:p>
        </w:tc>
      </w:tr>
      <w:tr>
        <w:tc>
          <w:tcPr>
            <w:tcW w:type="dxa" w:w="1008"/>
          </w:tcPr>
          <w:p>
            <w:r/>
            <w:r>
              <w:rPr>
                <w:b w:val="0"/>
                <w:sz w:val="20"/>
              </w:rPr>
              <w:t>¶ 12, 18</w:t>
            </w:r>
          </w:p>
        </w:tc>
        <w:tc>
          <w:tcPr>
            <w:tcW w:type="dxa" w:w="3168"/>
          </w:tcPr>
          <w:p>
            <w:r/>
            <w:r>
              <w:rPr>
                <w:b w:val="0"/>
                <w:sz w:val="20"/>
              </w:rPr>
              <w:t>Exclusivity is limited to condensing units, air handlers, and heat exchangers.</w:t>
            </w:r>
          </w:p>
        </w:tc>
        <w:tc>
          <w:tcPr>
            <w:tcW w:type="dxa" w:w="5184"/>
          </w:tcPr>
          <w:p>
            <w:r/>
            <w:r>
              <w:rPr>
                <w:b w:val="0"/>
                <w:sz w:val="20"/>
              </w:rPr>
              <w:t>V-Series units are condensing units, and Kessler conceded that V-Series “falls squarely within that coverage.”</w:t>
            </w:r>
          </w:p>
        </w:tc>
      </w:tr>
    </w:tbl>
    <w:p/>
    <w:p>
      <w:pPr>
        <w:pStyle w:val="Heading2"/>
      </w:pPr>
      <w:r>
        <w:t>C. Recommendations</w:t>
      </w:r>
    </w:p>
    <w:p>
      <w:pPr>
        <w:pStyle w:val="ListBullet"/>
        <w:spacing w:after="60"/>
      </w:pPr>
      <w:r>
        <w:rPr>
          <w:b/>
        </w:rPr>
        <w:t>Produce the email.</w:t>
      </w:r>
      <w:r>
        <w:rPr>
          <w:b w:val="0"/>
        </w:rPr>
        <w:t xml:space="preserve"> It is responsive to RFP 4, 8, and 15. No privilege applies: it is a communication with a third party made before the dispute. Withholding it or mis-describing it would violate MCR 2.310/2.313 and MRPC 3.4(a), and it would not work anyway, because Northpoint has its own copy. The draft responses to RFP 4, 8, 9, 11, and 15 are written so that the email and related documents (the V-Series side letter or amendment drafts, SKU and classification documents, and any spec sheets or testing data sent to Foss) fall squarely within what we are producing. Nothing in the draft denies that such documents exist.</w:t>
      </w:r>
    </w:p>
    <w:p>
      <w:pPr>
        <w:pStyle w:val="ListBullet"/>
        <w:spacing w:after="60"/>
      </w:pPr>
      <w:r>
        <w:rPr>
          <w:b/>
        </w:rPr>
        <w:t>Evaluate amending the Answer (at least ¶¶ 22, 25, and 26) under MCR 2.118.</w:t>
      </w:r>
      <w:r>
        <w:rPr>
          <w:b w:val="0"/>
        </w:rPr>
        <w:t xml:space="preserve"> We signed the Answer under MCR 2.114, and we now know facts that make parts of it difficult to defend. At a minimum, we should confirm the facts with Kessler (see log entries 40 and 59) and with ERP data on what Northpoint actually bought, under which SKUs, and where it was shipped. We should do that before we rely on these paragraphs in any motion or discovery response.</w:t>
      </w:r>
    </w:p>
    <w:p>
      <w:pPr>
        <w:pStyle w:val="ListBullet"/>
        <w:spacing w:after="60"/>
      </w:pPr>
      <w:r>
        <w:rPr>
          <w:b/>
        </w:rPr>
        <w:t>Find out whether a V-Series side letter or amendment was ever drafted or signed, and whether any V-Series units were invoiced to Northpoint under Industrial Series SKUs.</w:t>
      </w:r>
      <w:r>
        <w:rPr>
          <w:b w:val="0"/>
        </w:rPr>
        <w:t xml:space="preserve"> The Answer admits $3.41M in Northpoint purchases but disputes the $1.28M V-Series figure. Our Pinnacle search terms did not include “Industrial Series,” “SKU,” “side letter,” or “Foss” (Section VII).</w:t>
      </w:r>
    </w:p>
    <w:p>
      <w:pPr>
        <w:pStyle w:val="ListBullet"/>
        <w:spacing w:after="60"/>
      </w:pPr>
      <w:r>
        <w:rPr>
          <w:b/>
        </w:rPr>
        <w:t>Collect Kessler’s personal phone.</w:t>
      </w:r>
      <w:r>
        <w:rPr>
          <w:b w:val="0"/>
        </w:rPr>
        <w:t xml:space="preserve"> Kessler admitted that he texts with Foss. Business communications on an employee’s personal device are generally within the employer’s “control” for discovery purposes, and RFP 15 specifically targets Kessler–Foss communications. The draft response to RFP 15 has bracketed text committing to produce those texts. Please confirm, or I will remove it. Delay here risks a second preservation problem.</w:t>
      </w:r>
    </w:p>
    <w:p>
      <w:pPr>
        <w:pStyle w:val="ListBullet"/>
        <w:spacing w:after="60"/>
      </w:pPr>
      <w:r>
        <w:rPr>
          <w:b/>
        </w:rPr>
        <w:t>Revisit the common-interest arrangement with Northpoint</w:t>
      </w:r>
      <w:r>
        <w:rPr>
          <w:b w:val="0"/>
        </w:rPr>
        <w:t xml:space="preserve"> (Section VI.C). The email makes a divergence of interests between Redfield and Northpoint more likely, not less.</w:t>
      </w:r>
    </w:p>
    <w:p>
      <w:pPr>
        <w:pStyle w:val="Heading1"/>
      </w:pPr>
      <w:r>
        <w:t>IV. ESI Preservation Gaps and Spoliation Exposure</w:t>
      </w:r>
    </w:p>
    <w:p>
      <w:pPr>
        <w:pStyle w:val="Heading2"/>
      </w:pPr>
      <w:r>
        <w:t>A. Timeline</w:t>
      </w:r>
    </w:p>
    <w:tbl>
      <w:tblPr>
        <w:tblStyle w:val="TableGrid"/>
        <w:tblW w:type="auto" w:w="0"/>
        <w:tblLook w:firstColumn="1" w:firstRow="1" w:lastColumn="0" w:lastRow="0" w:noHBand="0" w:noVBand="1" w:val="04A0"/>
      </w:tblPr>
      <w:tblGrid>
        <w:gridCol w:w="4680"/>
        <w:gridCol w:w="4680"/>
      </w:tblGrid>
      <w:tr>
        <w:tc>
          <w:tcPr>
            <w:tcW w:type="dxa" w:w="2160"/>
            <w:shd w:val="clear" w:fill="D9D9D9"/>
          </w:tcPr>
          <w:p>
            <w:r/>
            <w:r>
              <w:rPr>
                <w:b/>
                <w:sz w:val="20"/>
              </w:rPr>
              <w:t>Date</w:t>
            </w:r>
          </w:p>
        </w:tc>
        <w:tc>
          <w:tcPr>
            <w:tcW w:type="dxa" w:w="7200"/>
            <w:shd w:val="clear" w:fill="D9D9D9"/>
          </w:tcPr>
          <w:p>
            <w:r/>
            <w:r>
              <w:rPr>
                <w:b/>
                <w:sz w:val="20"/>
              </w:rPr>
              <w:t>Event</w:t>
            </w:r>
          </w:p>
        </w:tc>
      </w:tr>
      <w:tr>
        <w:tc>
          <w:tcPr>
            <w:tcW w:type="dxa" w:w="2160"/>
          </w:tcPr>
          <w:p>
            <w:r/>
            <w:r>
              <w:rPr>
                <w:b w:val="0"/>
                <w:sz w:val="20"/>
              </w:rPr>
              <w:t>Feb. 12, 2023</w:t>
            </w:r>
          </w:p>
        </w:tc>
        <w:tc>
          <w:tcPr>
            <w:tcW w:type="dxa" w:w="7200"/>
          </w:tcPr>
          <w:p>
            <w:r/>
            <w:r>
              <w:rPr>
                <w:b w:val="0"/>
                <w:sz w:val="20"/>
              </w:rPr>
              <w:t>Kessler–Foss email (“keep this between us”).</w:t>
            </w:r>
          </w:p>
        </w:tc>
      </w:tr>
      <w:tr>
        <w:tc>
          <w:tcPr>
            <w:tcW w:type="dxa" w:w="2160"/>
          </w:tcPr>
          <w:p>
            <w:r/>
            <w:r>
              <w:rPr>
                <w:b w:val="0"/>
                <w:sz w:val="20"/>
              </w:rPr>
              <w:t>Apr. 20–22, 2023</w:t>
            </w:r>
          </w:p>
        </w:tc>
        <w:tc>
          <w:tcPr>
            <w:tcW w:type="dxa" w:w="7200"/>
          </w:tcPr>
          <w:p>
            <w:r/>
            <w:r>
              <w:rPr>
                <w:b w:val="0"/>
                <w:sz w:val="20"/>
              </w:rPr>
              <w:t>Chen flags a 7.8% seal failure rate; Ng responds “assess our legal position” and says to involve outside counsel (REDFIELD-000847).</w:t>
            </w:r>
          </w:p>
        </w:tc>
      </w:tr>
      <w:tr>
        <w:tc>
          <w:tcPr>
            <w:tcW w:type="dxa" w:w="2160"/>
          </w:tcPr>
          <w:p>
            <w:r/>
            <w:r>
              <w:rPr>
                <w:b w:val="0"/>
                <w:sz w:val="20"/>
              </w:rPr>
              <w:t>Apr. 2024</w:t>
            </w:r>
          </w:p>
        </w:tc>
        <w:tc>
          <w:tcPr>
            <w:tcW w:type="dxa" w:w="7200"/>
          </w:tcPr>
          <w:p>
            <w:r/>
            <w:r>
              <w:rPr>
                <w:b w:val="0"/>
                <w:sz w:val="20"/>
              </w:rPr>
              <w:t>Lakeshore meeting involving “Margaret Okafor” (log entry 33). Scope unknown.</w:t>
            </w:r>
          </w:p>
        </w:tc>
      </w:tr>
      <w:tr>
        <w:tc>
          <w:tcPr>
            <w:tcW w:type="dxa" w:w="2160"/>
          </w:tcPr>
          <w:p>
            <w:r/>
            <w:r>
              <w:rPr>
                <w:b w:val="0"/>
                <w:sz w:val="20"/>
              </w:rPr>
              <w:t>Before Sept. 15, 2024</w:t>
            </w:r>
          </w:p>
        </w:tc>
        <w:tc>
          <w:tcPr>
            <w:tcW w:type="dxa" w:w="7200"/>
          </w:tcPr>
          <w:p>
            <w:r/>
            <w:r>
              <w:rPr>
                <w:b w:val="0"/>
                <w:sz w:val="20"/>
              </w:rPr>
              <w:t>Lakeshore pre-suit demand letter received. **Exact date unknown; we need it.**</w:t>
            </w:r>
          </w:p>
        </w:tc>
      </w:tr>
      <w:tr>
        <w:tc>
          <w:tcPr>
            <w:tcW w:type="dxa" w:w="2160"/>
          </w:tcPr>
          <w:p>
            <w:r/>
            <w:r>
              <w:rPr>
                <w:b w:val="0"/>
                <w:sz w:val="20"/>
              </w:rPr>
              <w:t>Sept. 15, 2024</w:t>
            </w:r>
          </w:p>
        </w:tc>
        <w:tc>
          <w:tcPr>
            <w:tcW w:type="dxa" w:w="7200"/>
          </w:tcPr>
          <w:p>
            <w:r/>
            <w:r>
              <w:rPr>
                <w:b w:val="0"/>
                <w:sz w:val="20"/>
              </w:rPr>
              <w:t>BTG retained.</w:t>
            </w:r>
          </w:p>
        </w:tc>
      </w:tr>
      <w:tr>
        <w:tc>
          <w:tcPr>
            <w:tcW w:type="dxa" w:w="2160"/>
          </w:tcPr>
          <w:p>
            <w:r/>
            <w:r>
              <w:rPr>
                <w:b w:val="0"/>
                <w:sz w:val="20"/>
              </w:rPr>
              <w:t>Sept. 16, 2024</w:t>
            </w:r>
          </w:p>
        </w:tc>
        <w:tc>
          <w:tcPr>
            <w:tcW w:type="dxa" w:w="7200"/>
          </w:tcPr>
          <w:p>
            <w:r/>
            <w:r>
              <w:rPr>
                <w:b w:val="0"/>
                <w:sz w:val="20"/>
              </w:rPr>
              <w:t>Litigation hold issued covering email, network drives, and local drives only. Slack (90-day auto-delete), Teams (1-year), and voicemail (60-day) retention settings were **not suspended**.</w:t>
            </w:r>
          </w:p>
        </w:tc>
      </w:tr>
      <w:tr>
        <w:tc>
          <w:tcPr>
            <w:tcW w:type="dxa" w:w="2160"/>
          </w:tcPr>
          <w:p>
            <w:r/>
            <w:r>
              <w:rPr>
                <w:b w:val="0"/>
                <w:sz w:val="20"/>
              </w:rPr>
              <w:t>Oct. 1, 2024</w:t>
            </w:r>
          </w:p>
        </w:tc>
        <w:tc>
          <w:tcPr>
            <w:tcW w:type="dxa" w:w="7200"/>
          </w:tcPr>
          <w:p>
            <w:r/>
            <w:r>
              <w:rPr>
                <w:b w:val="0"/>
                <w:sz w:val="20"/>
              </w:rPr>
              <w:t>Complaint filed. (RFP Instruction 7 says Oct. 7; the draft responses note the error.)</w:t>
            </w:r>
          </w:p>
        </w:tc>
      </w:tr>
      <w:tr>
        <w:tc>
          <w:tcPr>
            <w:tcW w:type="dxa" w:w="2160"/>
          </w:tcPr>
          <w:p>
            <w:r/>
            <w:r>
              <w:rPr>
                <w:b w:val="0"/>
                <w:sz w:val="20"/>
              </w:rPr>
              <w:t>Oct. 2024</w:t>
            </w:r>
          </w:p>
        </w:tc>
        <w:tc>
          <w:tcPr>
            <w:tcW w:type="dxa" w:w="7200"/>
          </w:tcPr>
          <w:p>
            <w:r/>
            <w:r>
              <w:rPr>
                <w:b w:val="0"/>
                <w:sz w:val="20"/>
              </w:rPr>
              <w:t>Custodian interviews reveal that Kessler, Morell, and Reeves used Slack as their primary internal channel.</w:t>
            </w:r>
          </w:p>
        </w:tc>
      </w:tr>
      <w:tr>
        <w:tc>
          <w:tcPr>
            <w:tcW w:type="dxa" w:w="2160"/>
          </w:tcPr>
          <w:p>
            <w:r/>
            <w:r>
              <w:rPr>
                <w:b w:val="0"/>
                <w:sz w:val="20"/>
              </w:rPr>
              <w:t>Nov. 1, 2024</w:t>
            </w:r>
          </w:p>
        </w:tc>
        <w:tc>
          <w:tcPr>
            <w:tcW w:type="dxa" w:w="7200"/>
          </w:tcPr>
          <w:p>
            <w:r/>
            <w:r>
              <w:rPr>
                <w:b w:val="0"/>
                <w:sz w:val="20"/>
              </w:rPr>
              <w:t>Supplemental hold issued; Slack and Teams preserved. Slack is available only from about Aug. 3, 2024 forward, and Teams only from about Nov. 2023 forward.</w:t>
            </w:r>
          </w:p>
        </w:tc>
      </w:tr>
    </w:tbl>
    <w:p/>
    <w:p>
      <w:pPr>
        <w:pStyle w:val="Heading2"/>
      </w:pPr>
      <w:r>
        <w:t>B. Loss after the hold was issued</w:t>
      </w:r>
    </w:p>
    <w:p>
      <w:pPr>
        <w:spacing w:after="120"/>
        <w:jc w:val="both"/>
      </w:pPr>
      <w:r>
        <w:rPr>
          <w:b w:val="0"/>
        </w:rPr>
        <w:t xml:space="preserve">Pinnacle describes the Slack loss as caused by the retention policy. But the arithmetic shows that part of the loss happened </w:t>
      </w:r>
      <w:r>
        <w:rPr>
          <w:b/>
        </w:rPr>
        <w:t>after Redfield’s own hold was in place</w:t>
      </w:r>
      <w:r>
        <w:rPr>
          <w:b w:val="0"/>
        </w:rPr>
        <w:t>:</w:t>
      </w:r>
    </w:p>
    <w:p>
      <w:pPr>
        <w:pStyle w:val="ListBullet"/>
        <w:spacing w:after="60"/>
      </w:pPr>
      <w:r>
        <w:rPr>
          <w:b/>
        </w:rPr>
        <w:t>Slack.</w:t>
      </w:r>
      <w:r>
        <w:rPr>
          <w:b w:val="0"/>
        </w:rPr>
        <w:t xml:space="preserve"> On September 16, 2024, Slack held messages back to about June 18, 2024. By November 1, only messages from about August 3 forward remained. So messages dated about </w:t>
      </w:r>
      <w:r>
        <w:rPr>
          <w:b/>
        </w:rPr>
        <w:t>June 18 to August 3, 2024</w:t>
      </w:r>
      <w:r>
        <w:rPr>
          <w:b w:val="0"/>
        </w:rPr>
        <w:t xml:space="preserve"> were auto-deleted during the 46 days after the hold issued. That window is when Lakeshore’s demand was presumably being prepared and received.</w:t>
      </w:r>
    </w:p>
    <w:p>
      <w:pPr>
        <w:pStyle w:val="ListBullet"/>
        <w:spacing w:after="60"/>
      </w:pPr>
      <w:r>
        <w:rPr>
          <w:b/>
        </w:rPr>
        <w:t>Teams.</w:t>
      </w:r>
      <w:r>
        <w:rPr>
          <w:b w:val="0"/>
        </w:rPr>
        <w:t xml:space="preserve"> Pinnacle does not address this. With a one-year retention policy, Teams messages dated about </w:t>
      </w:r>
      <w:r>
        <w:rPr>
          <w:b/>
        </w:rPr>
        <w:t>September 16 to November 1, 2023</w:t>
      </w:r>
      <w:r>
        <w:rPr>
          <w:b w:val="0"/>
        </w:rPr>
        <w:t xml:space="preserve"> existed on September 16, 2024 and were purged before the November 1 supplemental hold. That period falls in Contract Year 3, during the Northpoint relationship and shortly after the Product Advisory.</w:t>
      </w:r>
    </w:p>
    <w:p>
      <w:pPr>
        <w:pStyle w:val="ListBullet"/>
        <w:spacing w:after="60"/>
      </w:pPr>
      <w:r>
        <w:rPr>
          <w:b/>
        </w:rPr>
        <w:t>Voicemail.</w:t>
      </w:r>
      <w:r>
        <w:rPr>
          <w:b w:val="0"/>
        </w:rPr>
        <w:t xml:space="preserve"> Pinnacle says voicemail retention had expired “by the time collection activities commenced.” That appears to be wrong. With 60-day retention, voicemails from about July 18, 2024 forward existed on September 16–17, 2024 and were never preserved. We should correct Pinnacle’s characterization before anyone repeats it.</w:t>
      </w:r>
    </w:p>
    <w:p>
      <w:pPr>
        <w:spacing w:after="120"/>
        <w:jc w:val="both"/>
      </w:pPr>
      <w:r>
        <w:rPr>
          <w:b w:val="0"/>
        </w:rPr>
        <w:t xml:space="preserve">There is also </w:t>
      </w:r>
      <w:r>
        <w:rPr>
          <w:b/>
        </w:rPr>
        <w:t>pre-hold</w:t>
      </w:r>
      <w:r>
        <w:rPr>
          <w:b w:val="0"/>
        </w:rPr>
        <w:t xml:space="preserve"> exposure. Everything Kessler, Morell, and Reeves discussed on Slack between 2021 and mid-2024 is gone: the Agreement term, Northpoint onboarding, the Elkhorn reports, and the Advisory. Lakeshore will argue that Redfield reasonably anticipated litigation well before September 2024. It will point to the Kessler email, Ng’s April 2023 reference to assessing Redfield’s “legal position,” the April 2024 Lakeshore meeting, and the demand letter. Under Michigan law, the duty to preserve attaches when litigation is reasonably foreseeable, not when suit is filed (see, e.g., Bloemendaal v. Town &amp; Country Sports Ctr., 255 Mich. App. 207 (2002); Brenner v. Kolk, 226 Mich. App. 149 (1997)). The court has inherent authority to remedy spoliation, including through an adverse-inference instruction (M Civ JI 6.01). The failure to suspend auto-delete when the hold issued is the weakest point in our position, because it concerns data Redfield knew it had to keep.</w:t>
      </w:r>
    </w:p>
    <w:p>
      <w:pPr>
        <w:pStyle w:val="Heading2"/>
      </w:pPr>
      <w:r>
        <w:t>C. Recommendations</w:t>
      </w:r>
    </w:p>
    <w:p>
      <w:pPr>
        <w:pStyle w:val="ListBullet"/>
        <w:spacing w:after="60"/>
      </w:pPr>
      <w:r>
        <w:rPr>
          <w:b/>
        </w:rPr>
        <w:t>Disclose.</w:t>
      </w:r>
      <w:r>
        <w:rPr>
          <w:b w:val="0"/>
        </w:rPr>
        <w:t xml:space="preserve"> Instruction 7 asks for identification of lost documents. Our playbook (Section VII) favors transparency, and Lakeshore will learn about the loss at the Kessler deposition anyway. The draft includes a factual disclosure in Section III, with a reservation of rights on when the duty arose, and references it in RFP 6 and 22. It does not concede spoliation or characterize fault. </w:t>
      </w:r>
      <w:r>
        <w:rPr>
          <w:b/>
        </w:rPr>
        <w:t>This is the key decision for you and the client.</w:t>
      </w:r>
      <w:r>
        <w:rPr>
          <w:b w:val="0"/>
        </w:rPr>
        <w:t xml:space="preserve"> I recommend disclosing now rather than having Lakeshore find it.</w:t>
      </w:r>
    </w:p>
    <w:p>
      <w:pPr>
        <w:pStyle w:val="ListBullet"/>
        <w:spacing w:after="60"/>
      </w:pPr>
      <w:r>
        <w:rPr>
          <w:b/>
        </w:rPr>
        <w:t>Mitigate.</w:t>
      </w:r>
      <w:r>
        <w:rPr>
          <w:b w:val="0"/>
        </w:rPr>
        <w:t xml:space="preserve"> (1) Have a specialist run a residual-Slack forensic exam of the Kessler, Morell, and Reeves laptops and phones (desktop and mobile Slack clients cache messages locally). (2) Collect Kessler’s phone. (3) Check whether Slack notification emails or email digests landed in Exchange. (4) Ask whether any custodian exported or screenshotted Slack threads. (5) Consider offering Lakeshore additional custodians or search terms as a good-faith remedy.</w:t>
      </w:r>
    </w:p>
    <w:p>
      <w:pPr>
        <w:pStyle w:val="ListBullet"/>
        <w:spacing w:after="60"/>
      </w:pPr>
      <w:r>
        <w:rPr>
          <w:b/>
        </w:rPr>
        <w:t>Document everything</w:t>
      </w:r>
      <w:r>
        <w:rPr>
          <w:b w:val="0"/>
        </w:rPr>
        <w:t xml:space="preserve"> (playbook Section VII): who configured each retention policy and when, why Slack and Teams were omitted from the September 16 hold, and every recovery step taken. We will need this record if Lakeshore moves for sanctions. Note that our own log (entries 171–175) already shows we analyzed spoliation risk, which confirms that we were aware of the issue.</w:t>
      </w:r>
    </w:p>
    <w:p>
      <w:pPr>
        <w:pStyle w:val="ListBullet"/>
        <w:spacing w:after="60"/>
      </w:pPr>
      <w:r>
        <w:rPr>
          <w:b w:val="0"/>
        </w:rPr>
        <w:t>Confirm the voicemail system has now been suspended from auto-deleting for the custodians, and that the Teams one-year policy is on hold.</w:t>
      </w:r>
    </w:p>
    <w:p>
      <w:pPr>
        <w:pStyle w:val="Heading1"/>
      </w:pPr>
      <w:r>
        <w:t>V. Inadvertent Production of REDFIELD-000847</w:t>
      </w:r>
    </w:p>
    <w:p>
      <w:pPr>
        <w:pStyle w:val="ListBullet"/>
        <w:spacing w:after="60"/>
      </w:pPr>
      <w:r>
        <w:rPr>
          <w:b/>
        </w:rPr>
        <w:t>Facts.</w:t>
      </w:r>
      <w:r>
        <w:rPr>
          <w:b w:val="0"/>
        </w:rPr>
        <w:t xml:space="preserve"> In the November 20, 2024 production, we produced the April 22, 2023 email from Ng to Chen (“Let’s discuss with outside counsel before making any disclosures. Privilege applies. Please do not circulate the Elkhorn report further until we have had a chance to assess our legal position.”). Pinnacle’s metadata filter never routed it to privilege review. Our reviewers flagged it on November 27, and Pinnacle confirmed it on December 3. </w:t>
      </w:r>
      <w:r>
        <w:rPr>
          <w:b/>
        </w:rPr>
        <w:t>No clawback notice has gone out.</w:t>
      </w:r>
      <w:r>
        <w:rPr>
          <w:b w:val="0"/>
        </w:rPr>
        <w:t xml:space="preserve"> No protective order or clawback stipulation exists.</w:t>
      </w:r>
    </w:p>
    <w:p>
      <w:pPr>
        <w:pStyle w:val="ListBullet"/>
        <w:spacing w:after="60"/>
      </w:pPr>
      <w:r>
        <w:rPr>
          <w:b/>
        </w:rPr>
        <w:t>Clawback now.</w:t>
      </w:r>
      <w:r>
        <w:rPr>
          <w:b w:val="0"/>
        </w:rPr>
        <w:t xml:space="preserve"> MCR 2.302(B)(7) lets a producing party notify the recipient of a privilege claim over produced material. The recipient must then return, sequester, or destroy it and may not use it until the claim is resolved. [Please verify the current subsection before we cite it. Log entry 178 cites “MCR 2.302(B)(6),” which I believe is the wrong subsection.] Without an agreement, waiver turns on the reasonableness of our precautions, how quickly we acted to fix the error, the scale of the production, the extent of the disclosure, and fairness. Our precautions are defensible (a two-stage screen across 14,832 documents, and one document out of 1,247). Our speed is not. Every additional day of delay strengthens a waiver argument. The letter should identify the document by Bates number, assert the privilege, and demand sequestration and certification.</w:t>
      </w:r>
    </w:p>
    <w:p>
      <w:pPr>
        <w:pStyle w:val="ListBullet"/>
        <w:spacing w:after="60"/>
      </w:pPr>
      <w:r>
        <w:rPr>
          <w:b/>
        </w:rPr>
        <w:t>Merits risk.</w:t>
      </w:r>
      <w:r>
        <w:rPr>
          <w:b w:val="0"/>
        </w:rPr>
        <w:t xml:space="preserve"> Expect Lakeshore to challenge the privilege claim itself. It will argue that (a) the “do not circulate the Elkhorn report” instruction is business direction, not legal advice, and (b) the crime-fraud exception applies because the email is alleged to be part of the concealment at the heart of Count II. It may also have already read and relied on the email. We should decide now whether we are prepared to litigate this claim. If we clawback and lose, that ruling may make it harder to protect entries 1 and 3–7.</w:t>
      </w:r>
    </w:p>
    <w:p>
      <w:pPr>
        <w:pStyle w:val="ListBullet"/>
        <w:spacing w:after="60"/>
      </w:pPr>
      <w:r>
        <w:rPr>
          <w:b/>
        </w:rPr>
        <w:t>Housekeeping.</w:t>
      </w:r>
      <w:r>
        <w:rPr>
          <w:b w:val="0"/>
        </w:rPr>
        <w:t xml:space="preserve"> Pinnacle’s memo calls this “Entry No. 003,” but the log lists it as Entry 2 (RMI-PRIV-000002). Entry 2’s description also </w:t>
      </w:r>
      <w:r>
        <w:rPr>
          <w:b/>
        </w:rPr>
        <w:t>quotes the privileged text verbatim</w:t>
      </w:r>
      <w:r>
        <w:rPr>
          <w:b w:val="0"/>
        </w:rPr>
        <w:t>, which undercuts the claim. Rewrite it along these lines: “Email from General Counsel to Director of QA providing legal advice regarding potential disclosure obligations arising from third-party test results and recommending consultation with outside counsel.” Also ask Pinnacle to rerun its secondary text filter on every document the metadata filter classified as business, and to re-screen the remainder of the November 20 production for similar misses.</w:t>
      </w:r>
    </w:p>
    <w:p>
      <w:pPr>
        <w:pStyle w:val="Heading1"/>
      </w:pPr>
      <w:r>
        <w:t>VI. Privilege Log Defects</w:t>
      </w:r>
    </w:p>
    <w:p>
      <w:pPr>
        <w:pStyle w:val="Heading2"/>
      </w:pPr>
      <w:r>
        <w:t>A. Internal inconsistencies</w:t>
      </w:r>
    </w:p>
    <w:tbl>
      <w:tblPr>
        <w:tblStyle w:val="TableGrid"/>
        <w:tblW w:type="auto" w:w="0"/>
        <w:tblLook w:firstColumn="1" w:firstRow="1" w:lastColumn="0" w:lastRow="0" w:noHBand="0" w:noVBand="1" w:val="04A0"/>
      </w:tblPr>
      <w:tblGrid>
        <w:gridCol w:w="3120"/>
        <w:gridCol w:w="3120"/>
        <w:gridCol w:w="3120"/>
      </w:tblGrid>
      <w:tr>
        <w:tc>
          <w:tcPr>
            <w:tcW w:type="dxa" w:w="2016"/>
            <w:shd w:val="clear" w:fill="D9D9D9"/>
          </w:tcPr>
          <w:p>
            <w:r/>
            <w:r>
              <w:rPr>
                <w:b/>
                <w:sz w:val="20"/>
              </w:rPr>
              <w:t>Issue</w:t>
            </w:r>
          </w:p>
        </w:tc>
        <w:tc>
          <w:tcPr>
            <w:tcW w:type="dxa" w:w="4752"/>
            <w:shd w:val="clear" w:fill="D9D9D9"/>
          </w:tcPr>
          <w:p>
            <w:r/>
            <w:r>
              <w:rPr>
                <w:b/>
                <w:sz w:val="20"/>
              </w:rPr>
              <w:t>Detail</w:t>
            </w:r>
          </w:p>
        </w:tc>
        <w:tc>
          <w:tcPr>
            <w:tcW w:type="dxa" w:w="2592"/>
            <w:shd w:val="clear" w:fill="D9D9D9"/>
          </w:tcPr>
          <w:p>
            <w:r/>
            <w:r>
              <w:rPr>
                <w:b/>
                <w:sz w:val="20"/>
              </w:rPr>
              <w:t>Fix</w:t>
            </w:r>
          </w:p>
        </w:tc>
      </w:tr>
      <w:tr>
        <w:tc>
          <w:tcPr>
            <w:tcW w:type="dxa" w:w="2016"/>
          </w:tcPr>
          <w:p>
            <w:r/>
            <w:r>
              <w:rPr>
                <w:b w:val="0"/>
                <w:sz w:val="20"/>
              </w:rPr>
              <w:t>Statistics do not match the entries</w:t>
            </w:r>
          </w:p>
        </w:tc>
        <w:tc>
          <w:tcPr>
            <w:tcW w:type="dxa" w:w="4752"/>
          </w:tcPr>
          <w:p>
            <w:r/>
            <w:r>
              <w:rPr>
                <w:b w:val="0"/>
                <w:sz w:val="20"/>
              </w:rPr>
              <w:t>The Key sheet and Pinnacle report 112 AC / 54 WP / 17 AC-WP, with 4 CIP counted inside AC. A count of the entries themselves gives 117 AC + 4 CIP (121), 50 WP, and 12 AC/WP.</w:t>
            </w:r>
          </w:p>
        </w:tc>
        <w:tc>
          <w:tcPr>
            <w:tcW w:type="dxa" w:w="2592"/>
          </w:tcPr>
          <w:p>
            <w:r/>
            <w:r>
              <w:rPr>
                <w:b w:val="0"/>
                <w:sz w:val="20"/>
              </w:rPr>
              <w:t>Recount and correct the Key sheet. Lakeshore will notice the discrepancy.</w:t>
            </w:r>
          </w:p>
        </w:tc>
      </w:tr>
      <w:tr>
        <w:tc>
          <w:tcPr>
            <w:tcW w:type="dxa" w:w="2016"/>
          </w:tcPr>
          <w:p>
            <w:r/>
            <w:r>
              <w:rPr>
                <w:b w:val="0"/>
                <w:sz w:val="20"/>
              </w:rPr>
              <w:t>Entries out of sequence</w:t>
            </w:r>
          </w:p>
        </w:tc>
        <w:tc>
          <w:tcPr>
            <w:tcW w:type="dxa" w:w="4752"/>
          </w:tcPr>
          <w:p>
            <w:r/>
            <w:r>
              <w:rPr>
                <w:b w:val="0"/>
                <w:sz w:val="20"/>
              </w:rPr>
              <w:t>Entries 47 (11/4) and 48 (11/12) sit before entry 49 (10/8).</w:t>
            </w:r>
          </w:p>
        </w:tc>
        <w:tc>
          <w:tcPr>
            <w:tcW w:type="dxa" w:w="2592"/>
          </w:tcPr>
          <w:p>
            <w:r/>
            <w:r>
              <w:rPr>
                <w:b w:val="0"/>
                <w:sz w:val="20"/>
              </w:rPr>
              <w:t>Re-sort by date.</w:t>
            </w:r>
          </w:p>
        </w:tc>
      </w:tr>
      <w:tr>
        <w:tc>
          <w:tcPr>
            <w:tcW w:type="dxa" w:w="2016"/>
          </w:tcPr>
          <w:p>
            <w:r/>
            <w:r>
              <w:rPr>
                <w:b w:val="0"/>
                <w:sz w:val="20"/>
              </w:rPr>
              <w:t>Wrong RFP numbers</w:t>
            </w:r>
          </w:p>
        </w:tc>
        <w:tc>
          <w:tcPr>
            <w:tcW w:type="dxa" w:w="4752"/>
          </w:tcPr>
          <w:p>
            <w:r/>
            <w:r>
              <w:rPr>
                <w:b w:val="0"/>
                <w:sz w:val="20"/>
              </w:rPr>
              <w:t>Entries 125, 127, 129, 131, 139, 142, and 147 describe RFP numbers and subjects that do not match the served set (e.g., “RFP No. 7 (all communications with Northpoint)” when No. 7 is QA; “RFP No. 22 … board minutes” when No. 22 is preservation; “RFP No. 25 … all communications with any third party”).</w:t>
            </w:r>
          </w:p>
        </w:tc>
        <w:tc>
          <w:tcPr>
            <w:tcW w:type="dxa" w:w="2592"/>
          </w:tcPr>
          <w:p>
            <w:r/>
            <w:r>
              <w:rPr>
                <w:b w:val="0"/>
                <w:sz w:val="20"/>
              </w:rPr>
              <w:t>Correct them, or better, remove them under a logging cutoff (VI.D).</w:t>
            </w:r>
          </w:p>
        </w:tc>
      </w:tr>
      <w:tr>
        <w:tc>
          <w:tcPr>
            <w:tcW w:type="dxa" w:w="2016"/>
          </w:tcPr>
          <w:p>
            <w:r/>
            <w:r>
              <w:rPr>
                <w:b w:val="0"/>
                <w:sz w:val="20"/>
              </w:rPr>
              <w:t>Wrong Agreement sections</w:t>
            </w:r>
          </w:p>
        </w:tc>
        <w:tc>
          <w:tcPr>
            <w:tcW w:type="dxa" w:w="4752"/>
          </w:tcPr>
          <w:p>
            <w:r/>
            <w:r>
              <w:rPr>
                <w:b w:val="0"/>
                <w:sz w:val="20"/>
              </w:rPr>
              <w:t>Entry 14 cites exclusivity at § 4.2 (it is § 2.1; § 4.2 is order confirmation). Entry 56 cites disclosure duties at § 7.3 (that section covers return of confidential information). Entry 83 cites notice and cure at § 12.2 (that section covers assignment; notice and cure is § 9.1).</w:t>
            </w:r>
          </w:p>
        </w:tc>
        <w:tc>
          <w:tcPr>
            <w:tcW w:type="dxa" w:w="2592"/>
          </w:tcPr>
          <w:p>
            <w:r/>
            <w:r>
              <w:rPr>
                <w:b w:val="0"/>
                <w:sz w:val="20"/>
              </w:rPr>
              <w:t>Correct.</w:t>
            </w:r>
          </w:p>
        </w:tc>
      </w:tr>
      <w:tr>
        <w:tc>
          <w:tcPr>
            <w:tcW w:type="dxa" w:w="2016"/>
          </w:tcPr>
          <w:p>
            <w:r/>
            <w:r>
              <w:rPr>
                <w:b w:val="0"/>
                <w:sz w:val="20"/>
              </w:rPr>
              <w:t>Wrong entity name</w:t>
            </w:r>
          </w:p>
        </w:tc>
        <w:tc>
          <w:tcPr>
            <w:tcW w:type="dxa" w:w="4752"/>
          </w:tcPr>
          <w:p>
            <w:r/>
            <w:r>
              <w:rPr>
                <w:b w:val="0"/>
                <w:sz w:val="20"/>
              </w:rPr>
              <w:t>Entries 37, 54, 55, and 75 say “Elkhorn Engineering.” The lab is Elkhorn Testing Laboratories, Inc.</w:t>
            </w:r>
          </w:p>
        </w:tc>
        <w:tc>
          <w:tcPr>
            <w:tcW w:type="dxa" w:w="2592"/>
          </w:tcPr>
          <w:p>
            <w:r/>
            <w:r>
              <w:rPr>
                <w:b w:val="0"/>
                <w:sz w:val="20"/>
              </w:rPr>
              <w:t>Correct.</w:t>
            </w:r>
          </w:p>
        </w:tc>
      </w:tr>
      <w:tr>
        <w:tc>
          <w:tcPr>
            <w:tcW w:type="dxa" w:w="2016"/>
          </w:tcPr>
          <w:p>
            <w:r/>
            <w:r>
              <w:rPr>
                <w:b w:val="0"/>
                <w:sz w:val="20"/>
              </w:rPr>
              <w:t>Wrong count reference</w:t>
            </w:r>
          </w:p>
        </w:tc>
        <w:tc>
          <w:tcPr>
            <w:tcW w:type="dxa" w:w="4752"/>
          </w:tcPr>
          <w:p>
            <w:r/>
            <w:r>
              <w:rPr>
                <w:b w:val="0"/>
                <w:sz w:val="20"/>
              </w:rPr>
              <w:t>Entry 53 refers to fraudulent concealment as “Count III.” Our Answer treats it as Count II.</w:t>
            </w:r>
          </w:p>
        </w:tc>
        <w:tc>
          <w:tcPr>
            <w:tcW w:type="dxa" w:w="2592"/>
          </w:tcPr>
          <w:p>
            <w:r/>
            <w:r>
              <w:rPr>
                <w:b w:val="0"/>
                <w:sz w:val="20"/>
              </w:rPr>
              <w:t>Conform to the Complaint.</w:t>
            </w:r>
          </w:p>
        </w:tc>
      </w:tr>
      <w:tr>
        <w:tc>
          <w:tcPr>
            <w:tcW w:type="dxa" w:w="2016"/>
          </w:tcPr>
          <w:p>
            <w:r/>
            <w:r>
              <w:rPr>
                <w:b w:val="0"/>
                <w:sz w:val="20"/>
              </w:rPr>
              <w:t>Dating</w:t>
            </w:r>
          </w:p>
        </w:tc>
        <w:tc>
          <w:tcPr>
            <w:tcW w:type="dxa" w:w="4752"/>
          </w:tcPr>
          <w:p>
            <w:r/>
            <w:r>
              <w:rPr>
                <w:b w:val="0"/>
                <w:sz w:val="20"/>
              </w:rPr>
              <w:t>The log is dated Jan. 3, 2025 and includes entries through Dec. 15, 2024. The Pinnacle memo (Dec. 10) says the log was final through Dec. 5.</w:t>
            </w:r>
          </w:p>
        </w:tc>
        <w:tc>
          <w:tcPr>
            <w:tcW w:type="dxa" w:w="2592"/>
          </w:tcPr>
          <w:p>
            <w:r/>
            <w:r>
              <w:rPr>
                <w:b w:val="0"/>
                <w:sz w:val="20"/>
              </w:rPr>
              <w:t>Re-date at service; confirm the entries are complete.</w:t>
            </w:r>
          </w:p>
        </w:tc>
      </w:tr>
    </w:tbl>
    <w:p/>
    <w:p>
      <w:pPr>
        <w:pStyle w:val="Heading2"/>
      </w:pPr>
      <w:r>
        <w:t>B. Pre-retention Chen/Ng entries (1, 3–7)</w:t>
      </w:r>
    </w:p>
    <w:p>
      <w:pPr>
        <w:spacing w:after="120"/>
        <w:jc w:val="both"/>
      </w:pPr>
      <w:r>
        <w:rPr>
          <w:b w:val="0"/>
        </w:rPr>
        <w:t xml:space="preserve">Six of the seven 2023 entries say only “Discussion of quality testing results.” Our own playbook (Section IV.C) says descriptions like this are insufficient for in-house counsel communications because they do not show a primary legal purpose. Pre-retention entries also get heightened scrutiny. These are also the documents Lakeshore most wants for its fraudulent concealment claim, so a motion to compel is likely. </w:t>
      </w:r>
      <w:r>
        <w:rPr>
          <w:b/>
        </w:rPr>
        <w:t>Recommendation:</w:t>
      </w:r>
      <w:r>
        <w:rPr>
          <w:b w:val="0"/>
        </w:rPr>
        <w:t xml:space="preserve"> have a lawyer re-review each document. Where legal advice was actually sought or given, redescribe it specifically (see the Entry 2 model in Section V). Where the communication was primarily business, produce it, with redactions if appropriate. Entry 6 is an email with an attachment. If the attachment is Elkhorn data, it must be produced; test data is not privileged just because it was sent to a lawyer.</w:t>
      </w:r>
    </w:p>
    <w:p>
      <w:pPr>
        <w:pStyle w:val="Heading2"/>
      </w:pPr>
      <w:r>
        <w:t>C. Common-interest entries with Northpoint’s counsel (45–48)</w:t>
      </w:r>
    </w:p>
    <w:p>
      <w:pPr>
        <w:spacing w:after="120"/>
        <w:jc w:val="both"/>
      </w:pPr>
      <w:r>
        <w:rPr>
          <w:b w:val="0"/>
        </w:rPr>
        <w:t xml:space="preserve">These entries (Trent ↔ Helen Marsh, Ridgeway &amp; Holt, Oct.–Nov. 2024) assert “Common Interest Privilege.” They are vulnerable on several grounds: (1) there is </w:t>
      </w:r>
      <w:r>
        <w:rPr>
          <w:b/>
        </w:rPr>
        <w:t>no written joint defense or common-interest agreement</w:t>
      </w:r>
      <w:r>
        <w:rPr>
          <w:b w:val="0"/>
        </w:rPr>
        <w:t xml:space="preserve">, and log entry 156 (Dec. 10) shows we are still working on “formalizing” one; (2) Northpoint is not a party, and the entries do not identify a shared legal interest; (3) Redfield’s and Northpoint’s interests may diverge. Northpoint could claim Kessler induced it, could seek indemnity, or could become a co-defendant on the tortious interference theory, and the Kessler email heightens each of those risks. Entry 47 transmitted an “analysis of Lakeshore claims.” If the common-interest claim fails, attorney-client protection over that analysis is lost. Work-product protection likely survives, because sharing with a non-adversary does not ordinarily waive it. </w:t>
      </w:r>
      <w:r>
        <w:rPr>
          <w:b/>
        </w:rPr>
        <w:t>Recommendation:</w:t>
      </w:r>
      <w:r>
        <w:rPr>
          <w:b w:val="0"/>
        </w:rPr>
        <w:t xml:space="preserve"> execute a written common-interest agreement now; list both privileges on these entries (and specify opinion work product where it applies); describe the shared legal interest; and limit further substantive exchanges until the agreement is signed. You should also decide whether coordination with Northpoint is worth it given the email.</w:t>
      </w:r>
    </w:p>
    <w:p>
      <w:pPr>
        <w:pStyle w:val="Heading2"/>
      </w:pPr>
      <w:r>
        <w:t>D. Logging communications with litigation counsel</w:t>
      </w:r>
    </w:p>
    <w:p>
      <w:pPr>
        <w:spacing w:after="120"/>
        <w:jc w:val="both"/>
      </w:pPr>
      <w:r>
        <w:rPr>
          <w:b w:val="0"/>
        </w:rPr>
        <w:t xml:space="preserve">About 175 of the 183 entries are communications with or work product of outside litigation counsel created after September 15, 2024. Logging them costs time and </w:t>
      </w:r>
      <w:r>
        <w:rPr>
          <w:b/>
        </w:rPr>
        <w:t>discloses strategy</w:t>
      </w:r>
      <w:r>
        <w:rPr>
          <w:b w:val="0"/>
        </w:rPr>
        <w:t xml:space="preserve">. For example: entry 108 (“concerns about completeness of document collection from sales department files”), 110–111 (litigation-risk analysis of the Kessler–Foss email), 115 (case valuation), and 171–174 (“potential spoliation issues … mitigate adverse inference risk”). These descriptions act as a roadmap for Lakeshore’s motions. </w:t>
      </w:r>
      <w:r>
        <w:rPr>
          <w:b/>
        </w:rPr>
        <w:t>Recommendation:</w:t>
      </w:r>
      <w:r>
        <w:rPr>
          <w:b w:val="0"/>
        </w:rPr>
        <w:t xml:space="preserve"> propose a mutual stipulation (included in General Objection 2 and our protective order draft) that neither side logs post-September 15, 2024 communications with litigation counsel. Until Lakeshore agrees, rewrite these descriptions generically, e.g., “Email from outside counsel providing legal advice regarding discovery obligations.”</w:t>
      </w:r>
    </w:p>
    <w:p>
      <w:pPr>
        <w:pStyle w:val="Heading2"/>
      </w:pPr>
      <w:r>
        <w:t>E. Transmittals of business documents</w:t>
      </w:r>
    </w:p>
    <w:p>
      <w:pPr>
        <w:spacing w:after="120"/>
        <w:jc w:val="both"/>
      </w:pPr>
      <w:r>
        <w:rPr>
          <w:b w:val="0"/>
        </w:rPr>
        <w:t>Entries 13, 28, 51, 54, 70, and 141 transmit pre-existing business records to counsel: the Agreement, sales and volume data, revenue memoranda, Elkhorn reports, financial projections, and board presentations on V-Series strategy. The transmittal emails can be withheld. The attachments cannot, and must be produced from their original sources. The draft responses to RFP 5, 7, 12, and 23 say so expressly. Please confirm that the board presentations (entry 141) are being reviewed for production under RFP 3. Pinnacle’s December 10 collection memo is not on the log. It is post-complaint work product and is covered if we get the logging cutoff; otherwise it should be logged.</w:t>
      </w:r>
    </w:p>
    <w:p>
      <w:pPr>
        <w:pStyle w:val="Heading1"/>
      </w:pPr>
      <w:r>
        <w:t>VII. Collection Gaps That Affect What We Can Represent</w:t>
      </w:r>
    </w:p>
    <w:p>
      <w:pPr>
        <w:pStyle w:val="ListBullet"/>
        <w:spacing w:after="60"/>
      </w:pPr>
      <w:r>
        <w:rPr>
          <w:b/>
        </w:rPr>
        <w:t>ERP system.</w:t>
      </w:r>
      <w:r>
        <w:rPr>
          <w:b w:val="0"/>
        </w:rPr>
        <w:t xml:space="preserve"> It is not among Pinnacle’s collected sources (log entry 113 mentions it). ERP data is essential for RFP 2, 5, 17, 19, and 25. The draft proposes Excel order-level reports.</w:t>
      </w:r>
    </w:p>
    <w:p>
      <w:pPr>
        <w:pStyle w:val="ListBullet"/>
        <w:spacing w:after="60"/>
      </w:pPr>
      <w:r>
        <w:rPr>
          <w:b/>
        </w:rPr>
        <w:t>Decatur, AL hard copy.</w:t>
      </w:r>
      <w:r>
        <w:rPr>
          <w:b w:val="0"/>
        </w:rPr>
        <w:t xml:space="preserve"> Production logs, maintenance records, and QA checklists are kept only on paper (per Tanaka). They are needed for RFP 7, 14, 17, and 18. The draft states that collection is underway, so we need to authorize Pinnacle.</w:t>
      </w:r>
    </w:p>
    <w:p>
      <w:pPr>
        <w:pStyle w:val="ListBullet"/>
        <w:spacing w:after="60"/>
      </w:pPr>
      <w:r>
        <w:rPr>
          <w:b/>
        </w:rPr>
        <w:t>Search terms.</w:t>
      </w:r>
      <w:r>
        <w:rPr>
          <w:b w:val="0"/>
        </w:rPr>
        <w:t xml:space="preserve"> The current list is missing terms central to these RFPs, including “Industrial Series,” “Foss,” “SKU,” “side letter,” “amendment,” “allocat*,” “backorder,” “priority,” “minimum,” “Year 3,” “shortfall,” “Hale,” “advisory,” “compressor,” and “seal.” About 3,632 documents are sitting in a null set that was never reviewed. Run the expanded terms, sample the null set, and disclose the terms to Lakeshore (the draft offers to).</w:t>
      </w:r>
    </w:p>
    <w:p>
      <w:pPr>
        <w:pStyle w:val="ListBullet"/>
        <w:spacing w:after="60"/>
      </w:pPr>
      <w:r>
        <w:rPr>
          <w:b/>
        </w:rPr>
        <w:t>Calendar items</w:t>
      </w:r>
      <w:r>
        <w:rPr>
          <w:b w:val="0"/>
        </w:rPr>
        <w:t xml:space="preserve"> were collected but not reviewed. They matter for RFP 6 and 15 (e.g., the dinner in Milwaukee in early February 2023).</w:t>
      </w:r>
    </w:p>
    <w:p>
      <w:pPr>
        <w:pStyle w:val="ListBullet"/>
        <w:spacing w:after="60"/>
      </w:pPr>
      <w:r>
        <w:rPr>
          <w:b/>
        </w:rPr>
        <w:t>Custodians.</w:t>
      </w:r>
      <w:r>
        <w:rPr>
          <w:b w:val="0"/>
        </w:rPr>
        <w:t xml:space="preserve"> The draft limits RFP 6 and 9 to our 12 custodians. Consider whether Northpoint-facing staff, logistics staff, or order-desk staff should be added, given the SKU-classification theory.</w:t>
      </w:r>
    </w:p>
    <w:p>
      <w:pPr>
        <w:pStyle w:val="ListBullet"/>
        <w:spacing w:after="60"/>
      </w:pPr>
      <w:r>
        <w:rPr>
          <w:b/>
        </w:rPr>
        <w:t>Personal email.</w:t>
      </w:r>
      <w:r>
        <w:rPr>
          <w:b w:val="0"/>
        </w:rPr>
        <w:t xml:space="preserve"> Personal email accounts have not been collected from anyone. Ask Kessler specifically whether he used personal email with Foss.</w:t>
      </w:r>
    </w:p>
    <w:p>
      <w:pPr>
        <w:pStyle w:val="Heading1"/>
      </w:pPr>
      <w:r>
        <w:t>VIII. Merits and Pleading Issues Surfaced in Drafting</w:t>
      </w:r>
    </w:p>
    <w:p>
      <w:pPr>
        <w:spacing w:after="120"/>
        <w:jc w:val="both"/>
      </w:pPr>
      <w:r>
        <w:rPr>
          <w:b/>
        </w:rPr>
        <w:t>A. First Affirmative Defense vs. Agreement § 3.3.</w:t>
      </w:r>
      <w:r>
        <w:rPr>
          <w:b w:val="0"/>
        </w:rPr>
        <w:t xml:space="preserve"> Section 3.3 provides that a shortfall is </w:t>
      </w:r>
      <w:r>
        <w:rPr>
          <w:b/>
        </w:rPr>
        <w:t>not</w:t>
      </w:r>
      <w:r>
        <w:rPr>
          <w:b w:val="0"/>
        </w:rPr>
        <w:t xml:space="preserve"> a material breach “unless and until” Redfield gives written notice electing to reduce the Territory or terminate. It also provides that failing to exercise a remedy within 60 days after the Contract Year ends (roughly March 14, 2024 for Year 3) is a </w:t>
      </w:r>
      <w:r>
        <w:rPr>
          <w:b/>
        </w:rPr>
        <w:t>deemed waiver</w:t>
      </w:r>
      <w:r>
        <w:rPr>
          <w:b w:val="0"/>
        </w:rPr>
        <w:t xml:space="preserve"> of that year’s shortfall. Unless Redfield sent a § 3.3 notice, the First and Second Affirmative Defenses (the Year 3 shortfall as a material breach) are weak, and RFP 16 and 24 will expose that. Please confirm with Ng whether any notice was sent. The draft response to RFP 16 specifically commits to producing any § 3.3 notice or election.</w:t>
      </w:r>
    </w:p>
    <w:p>
      <w:pPr>
        <w:spacing w:after="120"/>
        <w:jc w:val="both"/>
      </w:pPr>
      <w:r>
        <w:rPr>
          <w:b/>
        </w:rPr>
        <w:t>B. Fifth Affirmative Defense (limitations).</w:t>
      </w:r>
      <w:r>
        <w:rPr>
          <w:b w:val="0"/>
        </w:rPr>
        <w:t xml:space="preserve"> The defense pairs MCL 600.5813 with MCL 600.5855 as a “discovery rule.” Section 5855 is the fraudulent-concealment tolling statute, which extends the time to sue and works in the plaintiff’s favor; it is not a discovery-rule limit. Michigan has also rejected a common-law discovery rule (Trentadue v. Buckler Lawn Sprinkler, 479 Mich. 378 (2007)). Measured against a six-year period, claims based on 2022–2023 test reports look timely. Consider withdrawing the defense or restating it. Note too that the defense makes pre-October 2022 V-Series quality information relevant. That is one reason the draft proposes a QA period starting January 1, 2020 (RFP 7) rather than a narrower one.</w:t>
      </w:r>
    </w:p>
    <w:p>
      <w:pPr>
        <w:spacing w:after="120"/>
        <w:jc w:val="both"/>
      </w:pPr>
      <w:r>
        <w:rPr>
          <w:b/>
        </w:rPr>
        <w:t>C. Answer ¶ 24 (14-day fulfillment).</w:t>
      </w:r>
      <w:r>
        <w:rPr>
          <w:b w:val="0"/>
        </w:rPr>
        <w:t xml:space="preserve"> We said Redfield met the 14-day commitment. Section 5.1 also requires priority for Lakeshore over non-exclusive distributors and pro-rata allocation during supply constraints. The ERP data produced under RFP 17 will test this, and we should look at it before production.</w:t>
      </w:r>
    </w:p>
    <w:p>
      <w:pPr>
        <w:spacing w:after="120"/>
        <w:jc w:val="both"/>
      </w:pPr>
      <w:r>
        <w:rPr>
          <w:b/>
        </w:rPr>
        <w:t>D. Answer ¶ 25 (lack of knowledge of resale territory).</w:t>
      </w:r>
      <w:r>
        <w:rPr>
          <w:b w:val="0"/>
        </w:rPr>
        <w:t xml:space="preserve"> See Section III.</w:t>
      </w:r>
    </w:p>
    <w:p>
      <w:pPr>
        <w:spacing w:after="120"/>
        <w:jc w:val="both"/>
      </w:pPr>
      <w:r>
        <w:rPr>
          <w:b/>
        </w:rPr>
        <w:t>E. Timeliness of the Answer.</w:t>
      </w:r>
      <w:r>
        <w:rPr>
          <w:b w:val="0"/>
        </w:rPr>
        <w:t xml:space="preserve"> The Complaint was filed October 1 and the Answer on November 5. Please confirm the date and method of service of the summons and complaint so we can make sure no default or timeliness issue is lurking.</w:t>
      </w:r>
    </w:p>
    <w:p>
      <w:pPr>
        <w:spacing w:after="120"/>
        <w:jc w:val="both"/>
      </w:pPr>
      <w:r>
        <w:rPr>
          <w:b/>
        </w:rPr>
        <w:t>F. Signature-block errors.</w:t>
      </w:r>
      <w:r>
        <w:rPr>
          <w:b w:val="0"/>
        </w:rPr>
        <w:t xml:space="preserve"> The Answer lists Jonathan Trent as P48291, which is Elaine Corwin’s bar number on the RFPs. Corwin’s certificate of service lists you as P52714. The Answer uses jtrent@btglaw.com, while Corwin served jtrent@blackwelltrent.com. The draft responses leave these fields bracketed. Please confirm your number and email; we may need to correct the Answer and our e-service registration.</w:t>
      </w:r>
    </w:p>
    <w:p>
      <w:pPr>
        <w:pStyle w:val="Heading1"/>
      </w:pPr>
      <w:r>
        <w:t>IX. Request-by-Request Summary of the Draft</w:t>
      </w:r>
    </w:p>
    <w:tbl>
      <w:tblPr>
        <w:tblStyle w:val="TableGrid"/>
        <w:tblW w:type="auto" w:w="0"/>
        <w:tblLook w:firstColumn="1" w:firstRow="1" w:lastColumn="0" w:lastRow="0" w:noHBand="0" w:noVBand="1" w:val="04A0"/>
      </w:tblPr>
      <w:tblGrid>
        <w:gridCol w:w="2340"/>
        <w:gridCol w:w="2340"/>
        <w:gridCol w:w="2340"/>
        <w:gridCol w:w="2340"/>
      </w:tblGrid>
      <w:tr>
        <w:tc>
          <w:tcPr>
            <w:tcW w:type="dxa" w:w="648"/>
            <w:shd w:val="clear" w:fill="D9D9D9"/>
          </w:tcPr>
          <w:p>
            <w:r/>
            <w:r>
              <w:rPr>
                <w:b/>
                <w:sz w:val="20"/>
              </w:rPr>
              <w:t>RFP</w:t>
            </w:r>
          </w:p>
        </w:tc>
        <w:tc>
          <w:tcPr>
            <w:tcW w:type="dxa" w:w="2160"/>
            <w:shd w:val="clear" w:fill="D9D9D9"/>
          </w:tcPr>
          <w:p>
            <w:r/>
            <w:r>
              <w:rPr>
                <w:b/>
                <w:sz w:val="20"/>
              </w:rPr>
              <w:t>Subject</w:t>
            </w:r>
          </w:p>
        </w:tc>
        <w:tc>
          <w:tcPr>
            <w:tcW w:type="dxa" w:w="4824"/>
            <w:shd w:val="clear" w:fill="D9D9D9"/>
          </w:tcPr>
          <w:p>
            <w:r/>
            <w:r>
              <w:rPr>
                <w:b/>
                <w:sz w:val="20"/>
              </w:rPr>
              <w:t>Draft position</w:t>
            </w:r>
          </w:p>
        </w:tc>
        <w:tc>
          <w:tcPr>
            <w:tcW w:type="dxa" w:w="1728"/>
            <w:shd w:val="clear" w:fill="D9D9D9"/>
          </w:tcPr>
          <w:p>
            <w:r/>
            <w:r>
              <w:rPr>
                <w:b/>
                <w:sz w:val="20"/>
              </w:rPr>
              <w:t>Withholding</w:t>
            </w:r>
          </w:p>
        </w:tc>
      </w:tr>
      <w:tr>
        <w:tc>
          <w:tcPr>
            <w:tcW w:type="dxa" w:w="648"/>
          </w:tcPr>
          <w:p>
            <w:r/>
            <w:r>
              <w:rPr>
                <w:b w:val="0"/>
                <w:sz w:val="20"/>
              </w:rPr>
              <w:t>1</w:t>
            </w:r>
          </w:p>
        </w:tc>
        <w:tc>
          <w:tcPr>
            <w:tcW w:type="dxa" w:w="2160"/>
          </w:tcPr>
          <w:p>
            <w:r/>
            <w:r>
              <w:rPr>
                <w:b w:val="0"/>
                <w:sz w:val="20"/>
              </w:rPr>
              <w:t>Agreement</w:t>
            </w:r>
          </w:p>
        </w:tc>
        <w:tc>
          <w:tcPr>
            <w:tcW w:type="dxa" w:w="4824"/>
          </w:tcPr>
          <w:p>
            <w:r/>
            <w:r>
              <w:rPr>
                <w:b w:val="0"/>
                <w:sz w:val="20"/>
              </w:rPr>
              <w:t>Produced (Nov. 20); will add any written amendments or side letters and the Exhibit B map. Object only to alleged “oral” modifications (§ 12.6).</w:t>
            </w:r>
          </w:p>
        </w:tc>
        <w:tc>
          <w:tcPr>
            <w:tcW w:type="dxa" w:w="1728"/>
          </w:tcPr>
          <w:p>
            <w:r/>
            <w:r>
              <w:rPr>
                <w:b w:val="0"/>
                <w:sz w:val="20"/>
              </w:rPr>
              <w:t>None</w:t>
            </w:r>
          </w:p>
        </w:tc>
      </w:tr>
      <w:tr>
        <w:tc>
          <w:tcPr>
            <w:tcW w:type="dxa" w:w="648"/>
          </w:tcPr>
          <w:p>
            <w:r/>
            <w:r>
              <w:rPr>
                <w:b w:val="0"/>
                <w:sz w:val="20"/>
              </w:rPr>
              <w:t>2</w:t>
            </w:r>
          </w:p>
        </w:tc>
        <w:tc>
          <w:tcPr>
            <w:tcW w:type="dxa" w:w="2160"/>
          </w:tcPr>
          <w:p>
            <w:r/>
            <w:r>
              <w:rPr>
                <w:b w:val="0"/>
                <w:sz w:val="20"/>
              </w:rPr>
              <w:t>Lakeshore transactions</w:t>
            </w:r>
          </w:p>
        </w:tc>
        <w:tc>
          <w:tcPr>
            <w:tcW w:type="dxa" w:w="4824"/>
          </w:tcPr>
          <w:p>
            <w:r/>
            <w:r>
              <w:rPr>
                <w:b w:val="0"/>
                <w:sz w:val="20"/>
              </w:rPr>
              <w:t>Full production; ERP reports in Excel.</w:t>
            </w:r>
          </w:p>
        </w:tc>
        <w:tc>
          <w:tcPr>
            <w:tcW w:type="dxa" w:w="1728"/>
          </w:tcPr>
          <w:p>
            <w:r/>
            <w:r>
              <w:rPr>
                <w:b w:val="0"/>
                <w:sz w:val="20"/>
              </w:rPr>
              <w:t>None</w:t>
            </w:r>
          </w:p>
        </w:tc>
      </w:tr>
      <w:tr>
        <w:tc>
          <w:tcPr>
            <w:tcW w:type="dxa" w:w="648"/>
          </w:tcPr>
          <w:p>
            <w:r/>
            <w:r>
              <w:rPr>
                <w:b w:val="0"/>
                <w:sz w:val="20"/>
              </w:rPr>
              <w:t>3</w:t>
            </w:r>
          </w:p>
        </w:tc>
        <w:tc>
          <w:tcPr>
            <w:tcW w:type="dxa" w:w="2160"/>
          </w:tcPr>
          <w:p>
            <w:r/>
            <w:r>
              <w:rPr>
                <w:b w:val="0"/>
                <w:sz w:val="20"/>
              </w:rPr>
              <w:t>Distribution strategy since 2015</w:t>
            </w:r>
          </w:p>
        </w:tc>
        <w:tc>
          <w:tcPr>
            <w:tcW w:type="dxa" w:w="4824"/>
          </w:tcPr>
          <w:p>
            <w:r/>
            <w:r>
              <w:rPr>
                <w:b w:val="0"/>
                <w:sz w:val="20"/>
              </w:rPr>
              <w:t>Narrow to 7/1/2020–1/14/2024 (later for Lakeshore/Northpoint/Territory documents); strategy documents rather than all communications; AEO/Confidential.</w:t>
            </w:r>
          </w:p>
        </w:tc>
        <w:tc>
          <w:tcPr>
            <w:tcW w:type="dxa" w:w="1728"/>
          </w:tcPr>
          <w:p>
            <w:r/>
            <w:r>
              <w:rPr>
                <w:b w:val="0"/>
                <w:sz w:val="20"/>
              </w:rPr>
              <w:t>In part</w:t>
            </w:r>
          </w:p>
        </w:tc>
      </w:tr>
      <w:tr>
        <w:tc>
          <w:tcPr>
            <w:tcW w:type="dxa" w:w="648"/>
          </w:tcPr>
          <w:p>
            <w:r/>
            <w:r>
              <w:rPr>
                <w:b w:val="0"/>
                <w:sz w:val="20"/>
              </w:rPr>
              <w:t>4</w:t>
            </w:r>
          </w:p>
        </w:tc>
        <w:tc>
          <w:tcPr>
            <w:tcW w:type="dxa" w:w="2160"/>
          </w:tcPr>
          <w:p>
            <w:r/>
            <w:r>
              <w:rPr>
                <w:b w:val="0"/>
                <w:sz w:val="20"/>
              </w:rPr>
              <w:t>Northpoint agreements</w:t>
            </w:r>
          </w:p>
        </w:tc>
        <w:tc>
          <w:tcPr>
            <w:tcW w:type="dxa" w:w="4824"/>
          </w:tcPr>
          <w:p>
            <w:r/>
            <w:r>
              <w:rPr>
                <w:b w:val="0"/>
                <w:sz w:val="20"/>
              </w:rPr>
              <w:t>Full production without date limit, including V-Series side letter or amendment drafts; AEO; consolidated with 8/15/19.</w:t>
            </w:r>
          </w:p>
        </w:tc>
        <w:tc>
          <w:tcPr>
            <w:tcW w:type="dxa" w:w="1728"/>
          </w:tcPr>
          <w:p>
            <w:r/>
            <w:r>
              <w:rPr>
                <w:b w:val="0"/>
                <w:sz w:val="20"/>
              </w:rPr>
              <w:t>None</w:t>
            </w:r>
          </w:p>
        </w:tc>
      </w:tr>
      <w:tr>
        <w:tc>
          <w:tcPr>
            <w:tcW w:type="dxa" w:w="648"/>
          </w:tcPr>
          <w:p>
            <w:r/>
            <w:r>
              <w:rPr>
                <w:b w:val="0"/>
                <w:sz w:val="20"/>
              </w:rPr>
              <w:t>5</w:t>
            </w:r>
          </w:p>
        </w:tc>
        <w:tc>
          <w:tcPr>
            <w:tcW w:type="dxa" w:w="2160"/>
          </w:tcPr>
          <w:p>
            <w:r/>
            <w:r>
              <w:rPr>
                <w:b w:val="0"/>
                <w:sz w:val="20"/>
              </w:rPr>
              <w:t>Minimum-volume tracking</w:t>
            </w:r>
          </w:p>
        </w:tc>
        <w:tc>
          <w:tcPr>
            <w:tcW w:type="dxa" w:w="4824"/>
          </w:tcPr>
          <w:p>
            <w:r/>
            <w:r>
              <w:rPr>
                <w:b w:val="0"/>
                <w:sz w:val="20"/>
              </w:rPr>
              <w:t>Full production; post-retention counsel analyses logged.</w:t>
            </w:r>
          </w:p>
        </w:tc>
        <w:tc>
          <w:tcPr>
            <w:tcW w:type="dxa" w:w="1728"/>
          </w:tcPr>
          <w:p>
            <w:r/>
            <w:r>
              <w:rPr>
                <w:b w:val="0"/>
                <w:sz w:val="20"/>
              </w:rPr>
              <w:t>In part (privilege)</w:t>
            </w:r>
          </w:p>
        </w:tc>
      </w:tr>
      <w:tr>
        <w:tc>
          <w:tcPr>
            <w:tcW w:type="dxa" w:w="648"/>
          </w:tcPr>
          <w:p>
            <w:r/>
            <w:r>
              <w:rPr>
                <w:b w:val="0"/>
                <w:sz w:val="20"/>
              </w:rPr>
              <w:t>6</w:t>
            </w:r>
          </w:p>
        </w:tc>
        <w:tc>
          <w:tcPr>
            <w:tcW w:type="dxa" w:w="2160"/>
          </w:tcPr>
          <w:p>
            <w:r/>
            <w:r>
              <w:rPr>
                <w:b w:val="0"/>
                <w:sz w:val="20"/>
              </w:rPr>
              <w:t>All Redfield–Lakeshore ESI since 2020</w:t>
            </w:r>
          </w:p>
        </w:tc>
        <w:tc>
          <w:tcPr>
            <w:tcW w:type="dxa" w:w="4824"/>
          </w:tcPr>
          <w:p>
            <w:r/>
            <w:r>
              <w:rPr>
                <w:b w:val="0"/>
                <w:sz w:val="20"/>
              </w:rPr>
              <w:t>Accept dates; limit to 12 custodians plus shared drives; disclose voicemail/Slack gap.</w:t>
            </w:r>
          </w:p>
        </w:tc>
        <w:tc>
          <w:tcPr>
            <w:tcW w:type="dxa" w:w="1728"/>
          </w:tcPr>
          <w:p>
            <w:r/>
            <w:r>
              <w:rPr>
                <w:b w:val="0"/>
                <w:sz w:val="20"/>
              </w:rPr>
              <w:t>In part (custodians)</w:t>
            </w:r>
          </w:p>
        </w:tc>
      </w:tr>
      <w:tr>
        <w:tc>
          <w:tcPr>
            <w:tcW w:type="dxa" w:w="648"/>
          </w:tcPr>
          <w:p>
            <w:r/>
            <w:r>
              <w:rPr>
                <w:b w:val="0"/>
                <w:sz w:val="20"/>
              </w:rPr>
              <w:t>7</w:t>
            </w:r>
          </w:p>
        </w:tc>
        <w:tc>
          <w:tcPr>
            <w:tcW w:type="dxa" w:w="2160"/>
          </w:tcPr>
          <w:p>
            <w:r/>
            <w:r>
              <w:rPr>
                <w:b w:val="0"/>
                <w:sz w:val="20"/>
              </w:rPr>
              <w:t>V-Series QA since 2015</w:t>
            </w:r>
          </w:p>
        </w:tc>
        <w:tc>
          <w:tcPr>
            <w:tcW w:type="dxa" w:w="4824"/>
          </w:tcPr>
          <w:p>
            <w:r/>
            <w:r>
              <w:rPr>
                <w:b w:val="0"/>
                <w:sz w:val="20"/>
              </w:rPr>
              <w:t>1/1/2020–present; unit-level records for the Elkhorn batches and Jan–Mar 2023 units; privilege log.</w:t>
            </w:r>
          </w:p>
        </w:tc>
        <w:tc>
          <w:tcPr>
            <w:tcW w:type="dxa" w:w="1728"/>
          </w:tcPr>
          <w:p>
            <w:r/>
            <w:r>
              <w:rPr>
                <w:b w:val="0"/>
                <w:sz w:val="20"/>
              </w:rPr>
              <w:t>In part</w:t>
            </w:r>
          </w:p>
        </w:tc>
      </w:tr>
      <w:tr>
        <w:tc>
          <w:tcPr>
            <w:tcW w:type="dxa" w:w="648"/>
          </w:tcPr>
          <w:p>
            <w:r/>
            <w:r>
              <w:rPr>
                <w:b w:val="0"/>
                <w:sz w:val="20"/>
              </w:rPr>
              <w:t>8</w:t>
            </w:r>
          </w:p>
        </w:tc>
        <w:tc>
          <w:tcPr>
            <w:tcW w:type="dxa" w:w="2160"/>
          </w:tcPr>
          <w:p>
            <w:r/>
            <w:r>
              <w:rPr>
                <w:b w:val="0"/>
                <w:sz w:val="20"/>
              </w:rPr>
              <w:t>Northpoint relationship</w:t>
            </w:r>
          </w:p>
        </w:tc>
        <w:tc>
          <w:tcPr>
            <w:tcW w:type="dxa" w:w="4824"/>
          </w:tcPr>
          <w:p>
            <w:r/>
            <w:r>
              <w:rPr>
                <w:b w:val="0"/>
                <w:sz w:val="20"/>
              </w:rPr>
              <w:t>1/1/2022–present (earlier if it involves Products/Territory); AEO.</w:t>
            </w:r>
          </w:p>
        </w:tc>
        <w:tc>
          <w:tcPr>
            <w:tcW w:type="dxa" w:w="1728"/>
          </w:tcPr>
          <w:p>
            <w:r/>
            <w:r>
              <w:rPr>
                <w:b w:val="0"/>
                <w:sz w:val="20"/>
              </w:rPr>
              <w:t>In part</w:t>
            </w:r>
          </w:p>
        </w:tc>
      </w:tr>
      <w:tr>
        <w:tc>
          <w:tcPr>
            <w:tcW w:type="dxa" w:w="648"/>
          </w:tcPr>
          <w:p>
            <w:r/>
            <w:r>
              <w:rPr>
                <w:b w:val="0"/>
                <w:sz w:val="20"/>
              </w:rPr>
              <w:t>9</w:t>
            </w:r>
          </w:p>
        </w:tc>
        <w:tc>
          <w:tcPr>
            <w:tcW w:type="dxa" w:w="2160"/>
          </w:tcPr>
          <w:p>
            <w:r/>
            <w:r>
              <w:rPr>
                <w:b w:val="0"/>
                <w:sz w:val="20"/>
              </w:rPr>
              <w:t>All distributor communications, any HVAC product</w:t>
            </w:r>
          </w:p>
        </w:tc>
        <w:tc>
          <w:tcPr>
            <w:tcW w:type="dxa" w:w="4824"/>
          </w:tcPr>
          <w:p>
            <w:r/>
            <w:r>
              <w:rPr>
                <w:b w:val="0"/>
                <w:sz w:val="20"/>
              </w:rPr>
              <w:t>Limit to Northpoint, Products in or into the Territory during the Term, and V-Series/Industrial classification.</w:t>
            </w:r>
          </w:p>
        </w:tc>
        <w:tc>
          <w:tcPr>
            <w:tcW w:type="dxa" w:w="1728"/>
          </w:tcPr>
          <w:p>
            <w:r/>
            <w:r>
              <w:rPr>
                <w:b w:val="0"/>
                <w:sz w:val="20"/>
              </w:rPr>
              <w:t>In part</w:t>
            </w:r>
          </w:p>
        </w:tc>
      </w:tr>
      <w:tr>
        <w:tc>
          <w:tcPr>
            <w:tcW w:type="dxa" w:w="648"/>
          </w:tcPr>
          <w:p>
            <w:r/>
            <w:r>
              <w:rPr>
                <w:b w:val="0"/>
                <w:sz w:val="20"/>
              </w:rPr>
              <w:t>10</w:t>
            </w:r>
          </w:p>
        </w:tc>
        <w:tc>
          <w:tcPr>
            <w:tcW w:type="dxa" w:w="2160"/>
          </w:tcPr>
          <w:p>
            <w:r/>
            <w:r>
              <w:rPr>
                <w:b w:val="0"/>
                <w:sz w:val="20"/>
              </w:rPr>
              <w:t>V-Series warranty/complaints</w:t>
            </w:r>
          </w:p>
        </w:tc>
        <w:tc>
          <w:tcPr>
            <w:tcW w:type="dxa" w:w="4824"/>
          </w:tcPr>
          <w:p>
            <w:r/>
            <w:r>
              <w:rPr>
                <w:b w:val="0"/>
                <w:sz w:val="20"/>
              </w:rPr>
              <w:t>Excel system report plus full files for Lakeshore and compressor-seal claims; redact consumer PII.</w:t>
            </w:r>
          </w:p>
        </w:tc>
        <w:tc>
          <w:tcPr>
            <w:tcW w:type="dxa" w:w="1728"/>
          </w:tcPr>
          <w:p>
            <w:r/>
            <w:r>
              <w:rPr>
                <w:b w:val="0"/>
                <w:sz w:val="20"/>
              </w:rPr>
              <w:t>In part</w:t>
            </w:r>
          </w:p>
        </w:tc>
      </w:tr>
      <w:tr>
        <w:tc>
          <w:tcPr>
            <w:tcW w:type="dxa" w:w="648"/>
          </w:tcPr>
          <w:p>
            <w:r/>
            <w:r>
              <w:rPr>
                <w:b w:val="0"/>
                <w:sz w:val="20"/>
              </w:rPr>
              <w:t>11</w:t>
            </w:r>
          </w:p>
        </w:tc>
        <w:tc>
          <w:tcPr>
            <w:tcW w:type="dxa" w:w="2160"/>
          </w:tcPr>
          <w:p>
            <w:r/>
            <w:r>
              <w:rPr>
                <w:b w:val="0"/>
                <w:sz w:val="20"/>
              </w:rPr>
              <w:t>Pricing/margins since 2015</w:t>
            </w:r>
          </w:p>
        </w:tc>
        <w:tc>
          <w:tcPr>
            <w:tcW w:type="dxa" w:w="4824"/>
          </w:tcPr>
          <w:p>
            <w:r/>
            <w:r>
              <w:rPr>
                <w:b w:val="0"/>
                <w:sz w:val="20"/>
              </w:rPr>
              <w:t>7/1/2020–1/14/2024; Lakeshore, Northpoint, and Territory pricing; margins AEO.</w:t>
            </w:r>
          </w:p>
        </w:tc>
        <w:tc>
          <w:tcPr>
            <w:tcW w:type="dxa" w:w="1728"/>
          </w:tcPr>
          <w:p>
            <w:r/>
            <w:r>
              <w:rPr>
                <w:b w:val="0"/>
                <w:sz w:val="20"/>
              </w:rPr>
              <w:t>In part</w:t>
            </w:r>
          </w:p>
        </w:tc>
      </w:tr>
      <w:tr>
        <w:tc>
          <w:tcPr>
            <w:tcW w:type="dxa" w:w="648"/>
          </w:tcPr>
          <w:p>
            <w:r/>
            <w:r>
              <w:rPr>
                <w:b w:val="0"/>
                <w:sz w:val="20"/>
              </w:rPr>
              <w:t>12</w:t>
            </w:r>
          </w:p>
        </w:tc>
        <w:tc>
          <w:tcPr>
            <w:tcW w:type="dxa" w:w="2160"/>
          </w:tcPr>
          <w:p>
            <w:r/>
            <w:r>
              <w:rPr>
                <w:b w:val="0"/>
                <w:sz w:val="20"/>
              </w:rPr>
              <w:t>Elkhorn reports</w:t>
            </w:r>
          </w:p>
        </w:tc>
        <w:tc>
          <w:tcPr>
            <w:tcW w:type="dxa" w:w="4824"/>
          </w:tcPr>
          <w:p>
            <w:r/>
            <w:r>
              <w:rPr>
                <w:b w:val="0"/>
                <w:sz w:val="20"/>
              </w:rPr>
              <w:t>Full production; no privilege claimed over the reports.</w:t>
            </w:r>
          </w:p>
        </w:tc>
        <w:tc>
          <w:tcPr>
            <w:tcW w:type="dxa" w:w="1728"/>
          </w:tcPr>
          <w:p>
            <w:r/>
            <w:r>
              <w:rPr>
                <w:b w:val="0"/>
                <w:sz w:val="20"/>
              </w:rPr>
              <w:t>In part (internal counsel communications only)</w:t>
            </w:r>
          </w:p>
        </w:tc>
      </w:tr>
      <w:tr>
        <w:tc>
          <w:tcPr>
            <w:tcW w:type="dxa" w:w="648"/>
          </w:tcPr>
          <w:p>
            <w:r/>
            <w:r>
              <w:rPr>
                <w:b w:val="0"/>
                <w:sz w:val="20"/>
              </w:rPr>
              <w:t>13</w:t>
            </w:r>
          </w:p>
        </w:tc>
        <w:tc>
          <w:tcPr>
            <w:tcW w:type="dxa" w:w="2160"/>
          </w:tcPr>
          <w:p>
            <w:r/>
            <w:r>
              <w:rPr>
                <w:b w:val="0"/>
                <w:sz w:val="20"/>
              </w:rPr>
              <w:t>Product Advisory</w:t>
            </w:r>
          </w:p>
        </w:tc>
        <w:tc>
          <w:tcPr>
            <w:tcW w:type="dxa" w:w="4824"/>
          </w:tcPr>
          <w:p>
            <w:r/>
            <w:r>
              <w:rPr>
                <w:b w:val="0"/>
                <w:sz w:val="20"/>
              </w:rPr>
              <w:t>Produce; counsel-reviewed drafts logged.</w:t>
            </w:r>
          </w:p>
        </w:tc>
        <w:tc>
          <w:tcPr>
            <w:tcW w:type="dxa" w:w="1728"/>
          </w:tcPr>
          <w:p>
            <w:r/>
            <w:r>
              <w:rPr>
                <w:b w:val="0"/>
                <w:sz w:val="20"/>
              </w:rPr>
              <w:t>In part (privilege)</w:t>
            </w:r>
          </w:p>
        </w:tc>
      </w:tr>
      <w:tr>
        <w:tc>
          <w:tcPr>
            <w:tcW w:type="dxa" w:w="648"/>
          </w:tcPr>
          <w:p>
            <w:r/>
            <w:r>
              <w:rPr>
                <w:b w:val="0"/>
                <w:sz w:val="20"/>
              </w:rPr>
              <w:t>14</w:t>
            </w:r>
          </w:p>
        </w:tc>
        <w:tc>
          <w:tcPr>
            <w:tcW w:type="dxa" w:w="2160"/>
          </w:tcPr>
          <w:p>
            <w:r/>
            <w:r>
              <w:rPr>
                <w:b w:val="0"/>
                <w:sz w:val="20"/>
              </w:rPr>
              <w:t>Design/BOM/costs</w:t>
            </w:r>
          </w:p>
        </w:tc>
        <w:tc>
          <w:tcPr>
            <w:tcW w:type="dxa" w:w="4824"/>
          </w:tcPr>
          <w:p>
            <w:r/>
            <w:r>
              <w:rPr>
                <w:b w:val="0"/>
                <w:sz w:val="20"/>
              </w:rPr>
              <w:t>Limit to specifications, QA protocols, Elkhorn-shared data, and compressor-seal BOM/drawings (AEO); withhold manufacturing costs and full BOM.</w:t>
            </w:r>
          </w:p>
        </w:tc>
        <w:tc>
          <w:tcPr>
            <w:tcW w:type="dxa" w:w="1728"/>
          </w:tcPr>
          <w:p>
            <w:r/>
            <w:r>
              <w:rPr>
                <w:b w:val="0"/>
                <w:sz w:val="20"/>
              </w:rPr>
              <w:t>In part (trade secret/relevance)</w:t>
            </w:r>
          </w:p>
        </w:tc>
      </w:tr>
      <w:tr>
        <w:tc>
          <w:tcPr>
            <w:tcW w:type="dxa" w:w="648"/>
          </w:tcPr>
          <w:p>
            <w:r/>
            <w:r>
              <w:rPr>
                <w:b w:val="0"/>
                <w:sz w:val="20"/>
              </w:rPr>
              <w:t>15</w:t>
            </w:r>
          </w:p>
        </w:tc>
        <w:tc>
          <w:tcPr>
            <w:tcW w:type="dxa" w:w="2160"/>
          </w:tcPr>
          <w:p>
            <w:r/>
            <w:r>
              <w:rPr>
                <w:b w:val="0"/>
                <w:sz w:val="20"/>
              </w:rPr>
              <w:t>Kessler–Foss / Northpoint communications</w:t>
            </w:r>
          </w:p>
        </w:tc>
        <w:tc>
          <w:tcPr>
            <w:tcW w:type="dxa" w:w="4824"/>
          </w:tcPr>
          <w:p>
            <w:r/>
            <w:r>
              <w:rPr>
                <w:b w:val="0"/>
                <w:sz w:val="20"/>
              </w:rPr>
              <w:t>Full production from 1/1/2022, including the Feb. 12, 2023 email [and texts].</w:t>
            </w:r>
          </w:p>
        </w:tc>
        <w:tc>
          <w:tcPr>
            <w:tcW w:type="dxa" w:w="1728"/>
          </w:tcPr>
          <w:p>
            <w:r/>
            <w:r>
              <w:rPr>
                <w:b w:val="0"/>
                <w:sz w:val="20"/>
              </w:rPr>
              <w:t>None (Northpoint counsel communications logged)</w:t>
            </w:r>
          </w:p>
        </w:tc>
      </w:tr>
      <w:tr>
        <w:tc>
          <w:tcPr>
            <w:tcW w:type="dxa" w:w="648"/>
          </w:tcPr>
          <w:p>
            <w:r/>
            <w:r>
              <w:rPr>
                <w:b w:val="0"/>
                <w:sz w:val="20"/>
              </w:rPr>
              <w:t>16</w:t>
            </w:r>
          </w:p>
        </w:tc>
        <w:tc>
          <w:tcPr>
            <w:tcW w:type="dxa" w:w="2160"/>
          </w:tcPr>
          <w:p>
            <w:r/>
            <w:r>
              <w:rPr>
                <w:b w:val="0"/>
                <w:sz w:val="20"/>
              </w:rPr>
              <w:t>Notices/termination</w:t>
            </w:r>
          </w:p>
        </w:tc>
        <w:tc>
          <w:tcPr>
            <w:tcW w:type="dxa" w:w="4824"/>
          </w:tcPr>
          <w:p>
            <w:r/>
            <w:r>
              <w:rPr>
                <w:b w:val="0"/>
                <w:sz w:val="20"/>
              </w:rPr>
              <w:t>Full production, including any § 3.3 notice.</w:t>
            </w:r>
          </w:p>
        </w:tc>
        <w:tc>
          <w:tcPr>
            <w:tcW w:type="dxa" w:w="1728"/>
          </w:tcPr>
          <w:p>
            <w:r/>
            <w:r>
              <w:rPr>
                <w:b w:val="0"/>
                <w:sz w:val="20"/>
              </w:rPr>
              <w:t>In part (privilege)</w:t>
            </w:r>
          </w:p>
        </w:tc>
      </w:tr>
      <w:tr>
        <w:tc>
          <w:tcPr>
            <w:tcW w:type="dxa" w:w="648"/>
          </w:tcPr>
          <w:p>
            <w:r/>
            <w:r>
              <w:rPr>
                <w:b w:val="0"/>
                <w:sz w:val="20"/>
              </w:rPr>
              <w:t>17</w:t>
            </w:r>
          </w:p>
        </w:tc>
        <w:tc>
          <w:tcPr>
            <w:tcW w:type="dxa" w:w="2160"/>
          </w:tcPr>
          <w:p>
            <w:r/>
            <w:r>
              <w:rPr>
                <w:b w:val="0"/>
                <w:sz w:val="20"/>
              </w:rPr>
              <w:t>Late Lakeshore orders</w:t>
            </w:r>
          </w:p>
        </w:tc>
        <w:tc>
          <w:tcPr>
            <w:tcW w:type="dxa" w:w="4824"/>
          </w:tcPr>
          <w:p>
            <w:r/>
            <w:r>
              <w:rPr>
                <w:b w:val="0"/>
                <w:sz w:val="20"/>
              </w:rPr>
              <w:t>ERP data plus backorder/allocation records, including Decatur.</w:t>
            </w:r>
          </w:p>
        </w:tc>
        <w:tc>
          <w:tcPr>
            <w:tcW w:type="dxa" w:w="1728"/>
          </w:tcPr>
          <w:p>
            <w:r/>
            <w:r>
              <w:rPr>
                <w:b w:val="0"/>
                <w:sz w:val="20"/>
              </w:rPr>
              <w:t>None</w:t>
            </w:r>
          </w:p>
        </w:tc>
      </w:tr>
      <w:tr>
        <w:tc>
          <w:tcPr>
            <w:tcW w:type="dxa" w:w="648"/>
          </w:tcPr>
          <w:p>
            <w:r/>
            <w:r>
              <w:rPr>
                <w:b w:val="0"/>
                <w:sz w:val="20"/>
              </w:rPr>
              <w:t>18</w:t>
            </w:r>
          </w:p>
        </w:tc>
        <w:tc>
          <w:tcPr>
            <w:tcW w:type="dxa" w:w="2160"/>
          </w:tcPr>
          <w:p>
            <w:r/>
            <w:r>
              <w:rPr>
                <w:b w:val="0"/>
                <w:sz w:val="20"/>
              </w:rPr>
              <w:t>Allocation since 2015</w:t>
            </w:r>
          </w:p>
        </w:tc>
        <w:tc>
          <w:tcPr>
            <w:tcW w:type="dxa" w:w="4824"/>
          </w:tcPr>
          <w:p>
            <w:r/>
            <w:r>
              <w:rPr>
                <w:b w:val="0"/>
                <w:sz w:val="20"/>
              </w:rPr>
              <w:t>Term only, plus policies in effect; Products/Lakeshore-related decisions.</w:t>
            </w:r>
          </w:p>
        </w:tc>
        <w:tc>
          <w:tcPr>
            <w:tcW w:type="dxa" w:w="1728"/>
          </w:tcPr>
          <w:p>
            <w:r/>
            <w:r>
              <w:rPr>
                <w:b w:val="0"/>
                <w:sz w:val="20"/>
              </w:rPr>
              <w:t>In part</w:t>
            </w:r>
          </w:p>
        </w:tc>
      </w:tr>
      <w:tr>
        <w:tc>
          <w:tcPr>
            <w:tcW w:type="dxa" w:w="648"/>
          </w:tcPr>
          <w:p>
            <w:r/>
            <w:r>
              <w:rPr>
                <w:b w:val="0"/>
                <w:sz w:val="20"/>
              </w:rPr>
              <w:t>19</w:t>
            </w:r>
          </w:p>
        </w:tc>
        <w:tc>
          <w:tcPr>
            <w:tcW w:type="dxa" w:w="2160"/>
          </w:tcPr>
          <w:p>
            <w:r/>
            <w:r>
              <w:rPr>
                <w:b w:val="0"/>
                <w:sz w:val="20"/>
              </w:rPr>
              <w:t>Northpoint revenue</w:t>
            </w:r>
          </w:p>
        </w:tc>
        <w:tc>
          <w:tcPr>
            <w:tcW w:type="dxa" w:w="4824"/>
          </w:tcPr>
          <w:p>
            <w:r/>
            <w:r>
              <w:rPr>
                <w:b w:val="0"/>
                <w:sz w:val="20"/>
              </w:rPr>
              <w:t>Invoice/SKU/ship-to data, extended through the present; AEO; no new geographic analysis.</w:t>
            </w:r>
          </w:p>
        </w:tc>
        <w:tc>
          <w:tcPr>
            <w:tcW w:type="dxa" w:w="1728"/>
          </w:tcPr>
          <w:p>
            <w:r/>
            <w:r>
              <w:rPr>
                <w:b w:val="0"/>
                <w:sz w:val="20"/>
              </w:rPr>
              <w:t>None</w:t>
            </w:r>
          </w:p>
        </w:tc>
      </w:tr>
      <w:tr>
        <w:tc>
          <w:tcPr>
            <w:tcW w:type="dxa" w:w="648"/>
          </w:tcPr>
          <w:p>
            <w:r/>
            <w:r>
              <w:rPr>
                <w:b w:val="0"/>
                <w:sz w:val="20"/>
              </w:rPr>
              <w:t>20</w:t>
            </w:r>
          </w:p>
        </w:tc>
        <w:tc>
          <w:tcPr>
            <w:tcW w:type="dxa" w:w="2160"/>
          </w:tcPr>
          <w:p>
            <w:r/>
            <w:r>
              <w:rPr>
                <w:b w:val="0"/>
                <w:sz w:val="20"/>
              </w:rPr>
              <w:t>Lakeshore-reported complaints</w:t>
            </w:r>
          </w:p>
        </w:tc>
        <w:tc>
          <w:tcPr>
            <w:tcW w:type="dxa" w:w="4824"/>
          </w:tcPr>
          <w:p>
            <w:r/>
            <w:r>
              <w:rPr>
                <w:b w:val="0"/>
                <w:sz w:val="20"/>
              </w:rPr>
              <w:t>Full production.</w:t>
            </w:r>
          </w:p>
        </w:tc>
        <w:tc>
          <w:tcPr>
            <w:tcW w:type="dxa" w:w="1728"/>
          </w:tcPr>
          <w:p>
            <w:r/>
            <w:r>
              <w:rPr>
                <w:b w:val="0"/>
                <w:sz w:val="20"/>
              </w:rPr>
              <w:t>None</w:t>
            </w:r>
          </w:p>
        </w:tc>
      </w:tr>
      <w:tr>
        <w:tc>
          <w:tcPr>
            <w:tcW w:type="dxa" w:w="648"/>
          </w:tcPr>
          <w:p>
            <w:r/>
            <w:r>
              <w:rPr>
                <w:b w:val="0"/>
                <w:sz w:val="20"/>
              </w:rPr>
              <w:t>21</w:t>
            </w:r>
          </w:p>
        </w:tc>
        <w:tc>
          <w:tcPr>
            <w:tcW w:type="dxa" w:w="2160"/>
          </w:tcPr>
          <w:p>
            <w:r/>
            <w:r>
              <w:rPr>
                <w:b w:val="0"/>
                <w:sz w:val="20"/>
              </w:rPr>
              <w:t>Personnel files</w:t>
            </w:r>
          </w:p>
        </w:tc>
        <w:tc>
          <w:tcPr>
            <w:tcW w:type="dxa" w:w="4824"/>
          </w:tcPr>
          <w:p>
            <w:r/>
            <w:r>
              <w:rPr>
                <w:b w:val="0"/>
                <w:sz w:val="20"/>
              </w:rPr>
              <w:t>Kessler, Chen, Morell, Reeves: job, authority, incentive pay tied to Lakeshore/Northpoint/V-Series, relevant reviews; notify employees.</w:t>
            </w:r>
          </w:p>
        </w:tc>
        <w:tc>
          <w:tcPr>
            <w:tcW w:type="dxa" w:w="1728"/>
          </w:tcPr>
          <w:p>
            <w:r/>
            <w:r>
              <w:rPr>
                <w:b w:val="0"/>
                <w:sz w:val="20"/>
              </w:rPr>
              <w:t>In part (privacy)</w:t>
            </w:r>
          </w:p>
        </w:tc>
      </w:tr>
      <w:tr>
        <w:tc>
          <w:tcPr>
            <w:tcW w:type="dxa" w:w="648"/>
          </w:tcPr>
          <w:p>
            <w:r/>
            <w:r>
              <w:rPr>
                <w:b w:val="0"/>
                <w:sz w:val="20"/>
              </w:rPr>
              <w:t>22</w:t>
            </w:r>
          </w:p>
        </w:tc>
        <w:tc>
          <w:tcPr>
            <w:tcW w:type="dxa" w:w="2160"/>
          </w:tcPr>
          <w:p>
            <w:r/>
            <w:r>
              <w:rPr>
                <w:b w:val="0"/>
                <w:sz w:val="20"/>
              </w:rPr>
              <w:t>Preservation</w:t>
            </w:r>
          </w:p>
        </w:tc>
        <w:tc>
          <w:tcPr>
            <w:tcW w:type="dxa" w:w="4824"/>
          </w:tcPr>
          <w:p>
            <w:r/>
            <w:r>
              <w:rPr>
                <w:b w:val="0"/>
                <w:sz w:val="20"/>
              </w:rPr>
              <w:t>Produce hold notices (opinion work product redacted), recipients, sources, retention settings; offer stipulation/deposition.</w:t>
            </w:r>
          </w:p>
        </w:tc>
        <w:tc>
          <w:tcPr>
            <w:tcW w:type="dxa" w:w="1728"/>
          </w:tcPr>
          <w:p>
            <w:r/>
            <w:r>
              <w:rPr>
                <w:b w:val="0"/>
                <w:sz w:val="20"/>
              </w:rPr>
              <w:t>In part (work product)</w:t>
            </w:r>
          </w:p>
        </w:tc>
      </w:tr>
      <w:tr>
        <w:tc>
          <w:tcPr>
            <w:tcW w:type="dxa" w:w="648"/>
          </w:tcPr>
          <w:p>
            <w:r/>
            <w:r>
              <w:rPr>
                <w:b w:val="0"/>
                <w:sz w:val="20"/>
              </w:rPr>
              <w:t>23</w:t>
            </w:r>
          </w:p>
        </w:tc>
        <w:tc>
          <w:tcPr>
            <w:tcW w:type="dxa" w:w="2160"/>
          </w:tcPr>
          <w:p>
            <w:r/>
            <w:r>
              <w:rPr>
                <w:b w:val="0"/>
                <w:sz w:val="20"/>
              </w:rPr>
              <w:t>Ng–Chen communications</w:t>
            </w:r>
          </w:p>
        </w:tc>
        <w:tc>
          <w:tcPr>
            <w:tcW w:type="dxa" w:w="4824"/>
          </w:tcPr>
          <w:p>
            <w:r/>
            <w:r>
              <w:rPr>
                <w:b w:val="0"/>
                <w:sz w:val="20"/>
              </w:rPr>
              <w:t>Produce business communications and attachments; log legal-advice communications.</w:t>
            </w:r>
          </w:p>
        </w:tc>
        <w:tc>
          <w:tcPr>
            <w:tcW w:type="dxa" w:w="1728"/>
          </w:tcPr>
          <w:p>
            <w:r/>
            <w:r>
              <w:rPr>
                <w:b w:val="0"/>
                <w:sz w:val="20"/>
              </w:rPr>
              <w:t>In part (privilege)</w:t>
            </w:r>
          </w:p>
        </w:tc>
      </w:tr>
      <w:tr>
        <w:tc>
          <w:tcPr>
            <w:tcW w:type="dxa" w:w="648"/>
          </w:tcPr>
          <w:p>
            <w:r/>
            <w:r>
              <w:rPr>
                <w:b w:val="0"/>
                <w:sz w:val="20"/>
              </w:rPr>
              <w:t>24</w:t>
            </w:r>
          </w:p>
        </w:tc>
        <w:tc>
          <w:tcPr>
            <w:tcW w:type="dxa" w:w="2160"/>
          </w:tcPr>
          <w:p>
            <w:r/>
            <w:r>
              <w:rPr>
                <w:b w:val="0"/>
                <w:sz w:val="20"/>
              </w:rPr>
              <w:t>Documents supporting affirmative defenses</w:t>
            </w:r>
          </w:p>
        </w:tc>
        <w:tc>
          <w:tcPr>
            <w:tcW w:type="dxa" w:w="4824"/>
          </w:tcPr>
          <w:p>
            <w:r/>
            <w:r>
              <w:rPr>
                <w:b w:val="0"/>
                <w:sz w:val="20"/>
              </w:rPr>
              <w:t>Contention objection per playbook IV.I; cross-reference; Bates identification by exhibit-list deadline.</w:t>
            </w:r>
          </w:p>
        </w:tc>
        <w:tc>
          <w:tcPr>
            <w:tcW w:type="dxa" w:w="1728"/>
          </w:tcPr>
          <w:p>
            <w:r/>
            <w:r>
              <w:rPr>
                <w:b w:val="0"/>
                <w:sz w:val="20"/>
              </w:rPr>
              <w:t>None beyond privilege</w:t>
            </w:r>
          </w:p>
        </w:tc>
      </w:tr>
      <w:tr>
        <w:tc>
          <w:tcPr>
            <w:tcW w:type="dxa" w:w="648"/>
          </w:tcPr>
          <w:p>
            <w:r/>
            <w:r>
              <w:rPr>
                <w:b w:val="0"/>
                <w:sz w:val="20"/>
              </w:rPr>
              <w:t>25</w:t>
            </w:r>
          </w:p>
        </w:tc>
        <w:tc>
          <w:tcPr>
            <w:tcW w:type="dxa" w:w="2160"/>
          </w:tcPr>
          <w:p>
            <w:r/>
            <w:r>
              <w:rPr>
                <w:b w:val="0"/>
                <w:sz w:val="20"/>
              </w:rPr>
              <w:t>Financial relationship</w:t>
            </w:r>
          </w:p>
        </w:tc>
        <w:tc>
          <w:tcPr>
            <w:tcW w:type="dxa" w:w="4824"/>
          </w:tcPr>
          <w:p>
            <w:r/>
            <w:r>
              <w:rPr>
                <w:b w:val="0"/>
                <w:sz w:val="20"/>
              </w:rPr>
              <w:t>1/1/2020–present; full production.</w:t>
            </w:r>
          </w:p>
        </w:tc>
        <w:tc>
          <w:tcPr>
            <w:tcW w:type="dxa" w:w="1728"/>
          </w:tcPr>
          <w:p>
            <w:r/>
            <w:r>
              <w:rPr>
                <w:b w:val="0"/>
                <w:sz w:val="20"/>
              </w:rPr>
              <w:t>In part (pre-2020)</w:t>
            </w:r>
          </w:p>
        </w:tc>
      </w:tr>
    </w:tbl>
    <w:p/>
    <w:p>
      <w:pPr>
        <w:pStyle w:val="Heading1"/>
      </w:pPr>
      <w:r>
        <w:t>X. Decisions Needed From You</w:t>
      </w:r>
    </w:p>
    <w:p>
      <w:pPr>
        <w:pStyle w:val="ListBullet"/>
        <w:spacing w:after="60"/>
      </w:pPr>
      <w:r>
        <w:rPr>
          <w:b w:val="0"/>
        </w:rPr>
        <w:t>Approve the Section III preservation disclosure in the responses, or give direction on how to change it. Client consent is required either way.</w:t>
      </w:r>
    </w:p>
    <w:p>
      <w:pPr>
        <w:pStyle w:val="ListBullet"/>
        <w:spacing w:after="60"/>
      </w:pPr>
      <w:r>
        <w:rPr>
          <w:b w:val="0"/>
        </w:rPr>
        <w:t>Approve the clawback of REDFIELD-000847, and confirm we are prepared to defend the privilege claim against a crime-fraud challenge.</w:t>
      </w:r>
    </w:p>
    <w:p>
      <w:pPr>
        <w:pStyle w:val="ListBullet"/>
        <w:spacing w:after="60"/>
      </w:pPr>
      <w:r>
        <w:rPr>
          <w:b w:val="0"/>
        </w:rPr>
        <w:t>Decide on amending the Answer (¶¶ 22, 25, 26; possibly the Fifth Affirmative Defense) after we speak with Kessler.</w:t>
      </w:r>
    </w:p>
    <w:p>
      <w:pPr>
        <w:pStyle w:val="ListBullet"/>
        <w:spacing w:after="60"/>
      </w:pPr>
      <w:r>
        <w:rPr>
          <w:b w:val="0"/>
        </w:rPr>
        <w:t>Authorize collection from Kessler’s phone, the residual-Slack exam, Decatur hard copy, and ERP data, and approve the added Pinnacle cost.</w:t>
      </w:r>
    </w:p>
    <w:p>
      <w:pPr>
        <w:pStyle w:val="ListBullet"/>
        <w:spacing w:after="60"/>
      </w:pPr>
      <w:r>
        <w:rPr>
          <w:b w:val="0"/>
        </w:rPr>
        <w:t>Decide whether to continue the common-interest arrangement with Northpoint, and if so, sign a written agreement first.</w:t>
      </w:r>
    </w:p>
    <w:p>
      <w:pPr>
        <w:pStyle w:val="ListBullet"/>
        <w:spacing w:after="60"/>
      </w:pPr>
      <w:r>
        <w:rPr>
          <w:b w:val="0"/>
        </w:rPr>
        <w:t>Approve the privilege-log revisions and the proposed logging-cutoff stipulation.</w:t>
      </w:r>
    </w:p>
    <w:p>
      <w:pPr>
        <w:pStyle w:val="ListBullet"/>
        <w:spacing w:after="60"/>
      </w:pPr>
      <w:r>
        <w:rPr>
          <w:b w:val="0"/>
        </w:rPr>
        <w:t>Confirm the deadline strategy: serve by December 30 or get an extension stipulation.</w:t>
      </w:r>
    </w:p>
    <w:p>
      <w:pPr>
        <w:spacing w:after="120"/>
        <w:jc w:val="both"/>
      </w:pPr>
      <w:r>
        <w:rPr>
          <w:b w:val="0"/>
          <w:i/>
        </w:rPr>
        <w:t>The draft responses contain bracketed placeholders for the items above, including the clawback letter date, the production completion date, your bar number and email, the Kessler texts, and confirmation of the Slack channels. They should be resolved before service.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PRIVILEGED &amp; CONFIDENTIAL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