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jc w:val="center"/>
      </w:pPr>
      <w:r>
        <w:rPr>
          <w:rFonts w:ascii="Aptos" w:hAnsi="Aptos"/>
          <w:b/>
          <w:color w:val="1F4E79"/>
          <w:sz w:val="42"/>
        </w:rPr>
        <w:t>OBLIGATION EXTRACTION MEMORANDUM</w:t>
      </w:r>
    </w:p>
    <w:p>
      <w:pPr>
        <w:widowControl/>
        <w:spacing w:after="280"/>
        <w:jc w:val="center"/>
      </w:pPr>
      <w:r>
        <w:rPr>
          <w:rFonts w:ascii="Aptos" w:hAnsi="Aptos"/>
          <w:b/>
          <w:sz w:val="24"/>
        </w:rPr>
        <w:t>DOJ Litigation Hold and Document Preservation Notice — Grand Jury No. 24-GJ-0387</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vAlign w:val="top"/>
            <w:shd w:fill="1F4E78"/>
            <w:tcMar>
              <w:top w:w="80" w:type="dxa"/>
              <w:start w:w="85" w:type="dxa"/>
              <w:bottom w:w="80" w:type="dxa"/>
              <w:end w:w="85" w:type="dxa"/>
            </w:tcMar>
          </w:tcPr>
          <w:p>
            <w:pPr>
              <w:spacing w:after="0" w:before="0"/>
            </w:pPr>
            <w:r/>
            <w:r>
              <w:rPr>
                <w:b/>
                <w:color w:val="FFFFFF"/>
                <w:sz w:val="17"/>
              </w:rPr>
              <w:t>MEMORANDUM DETAILS</w:t>
            </w:r>
          </w:p>
        </w:tc>
        <w:tc>
          <w:tcPr>
            <w:tcW w:type="dxa" w:w="8424"/>
            <w:vAlign w:val="top"/>
            <w:shd w:fill="1F4E78"/>
            <w:tcMar>
              <w:top w:w="80" w:type="dxa"/>
              <w:start w:w="85" w:type="dxa"/>
              <w:bottom w:w="80" w:type="dxa"/>
              <w:end w:w="85" w:type="dxa"/>
            </w:tcMar>
          </w:tcPr>
          <w:p>
            <w:pPr>
              <w:spacing w:after="0" w:before="0"/>
            </w:pPr>
            <w:r/>
            <w:r>
              <w:rPr>
                <w:b/>
                <w:color w:val="FFFFFF"/>
                <w:sz w:val="17"/>
              </w:rPr>
            </w:r>
          </w:p>
        </w:tc>
      </w:tr>
      <w:tr>
        <w:tc>
          <w:tcPr>
            <w:tcW w:type="dxa" w:w="2376"/>
            <w:vAlign w:val="top"/>
            <w:tcMar>
              <w:top w:w="80" w:type="dxa"/>
              <w:start w:w="85" w:type="dxa"/>
              <w:bottom w:w="80" w:type="dxa"/>
              <w:end w:w="85" w:type="dxa"/>
            </w:tcMar>
            <w:shd w:fill="F3F6F9"/>
          </w:tcPr>
          <w:p>
            <w:pPr>
              <w:spacing w:after="0" w:before="0"/>
            </w:pPr>
            <w:r/>
            <w:r>
              <w:rPr>
                <w:b w:val="0"/>
                <w:sz w:val="18"/>
              </w:rPr>
              <w:t>To</w:t>
            </w:r>
          </w:p>
        </w:tc>
        <w:tc>
          <w:tcPr>
            <w:tcW w:type="dxa" w:w="8424"/>
            <w:vAlign w:val="top"/>
            <w:tcMar>
              <w:top w:w="80" w:type="dxa"/>
              <w:start w:w="85" w:type="dxa"/>
              <w:bottom w:w="80" w:type="dxa"/>
              <w:end w:w="85" w:type="dxa"/>
            </w:tcMar>
            <w:shd w:fill="F3F6F9"/>
          </w:tcPr>
          <w:p>
            <w:pPr>
              <w:spacing w:after="0" w:before="0"/>
            </w:pPr>
            <w:r/>
            <w:r>
              <w:rPr>
                <w:b w:val="0"/>
                <w:sz w:val="18"/>
              </w:rPr>
              <w:t>General Counsel and Preservation Response Team</w:t>
            </w:r>
          </w:p>
        </w:tc>
      </w:tr>
      <w:tr>
        <w:tc>
          <w:tcPr>
            <w:tcW w:type="dxa" w:w="2376"/>
            <w:vAlign w:val="top"/>
            <w:tcMar>
              <w:top w:w="80" w:type="dxa"/>
              <w:start w:w="85" w:type="dxa"/>
              <w:bottom w:w="80" w:type="dxa"/>
              <w:end w:w="85" w:type="dxa"/>
            </w:tcMar>
          </w:tcPr>
          <w:p>
            <w:pPr>
              <w:spacing w:after="0" w:before="0"/>
            </w:pPr>
            <w:r/>
            <w:r>
              <w:rPr>
                <w:b w:val="0"/>
                <w:sz w:val="18"/>
              </w:rPr>
              <w:t>Subject</w:t>
            </w:r>
          </w:p>
        </w:tc>
        <w:tc>
          <w:tcPr>
            <w:tcW w:type="dxa" w:w="8424"/>
            <w:vAlign w:val="top"/>
            <w:tcMar>
              <w:top w:w="80" w:type="dxa"/>
              <w:start w:w="85" w:type="dxa"/>
              <w:bottom w:w="80" w:type="dxa"/>
              <w:end w:w="85" w:type="dxa"/>
            </w:tcMar>
          </w:tcPr>
          <w:p>
            <w:pPr>
              <w:spacing w:after="0" w:before="0"/>
            </w:pPr>
            <w:r/>
            <w:r>
              <w:rPr>
                <w:b w:val="0"/>
                <w:sz w:val="18"/>
              </w:rPr>
              <w:t>Obligations, deadlines, relevant data sources, and internal preservation risks</w:t>
            </w:r>
          </w:p>
        </w:tc>
      </w:tr>
      <w:tr>
        <w:tc>
          <w:tcPr>
            <w:tcW w:type="dxa" w:w="2376"/>
            <w:vAlign w:val="top"/>
            <w:tcMar>
              <w:top w:w="80" w:type="dxa"/>
              <w:start w:w="85" w:type="dxa"/>
              <w:bottom w:w="80" w:type="dxa"/>
              <w:end w:w="85" w:type="dxa"/>
            </w:tcMar>
            <w:shd w:fill="F3F6F9"/>
          </w:tcPr>
          <w:p>
            <w:pPr>
              <w:spacing w:after="0" w:before="0"/>
            </w:pPr>
            <w:r/>
            <w:r>
              <w:rPr>
                <w:b w:val="0"/>
                <w:sz w:val="18"/>
              </w:rPr>
              <w:t>Record reviewed through</w:t>
            </w:r>
          </w:p>
        </w:tc>
        <w:tc>
          <w:tcPr>
            <w:tcW w:type="dxa" w:w="8424"/>
            <w:vAlign w:val="top"/>
            <w:tcMar>
              <w:top w:w="80" w:type="dxa"/>
              <w:start w:w="85" w:type="dxa"/>
              <w:bottom w:w="80" w:type="dxa"/>
              <w:end w:w="85" w:type="dxa"/>
            </w:tcMar>
            <w:shd w:fill="F3F6F9"/>
          </w:tcPr>
          <w:p>
            <w:pPr>
              <w:spacing w:after="0" w:before="0"/>
            </w:pPr>
            <w:r/>
            <w:r>
              <w:rPr>
                <w:b w:val="0"/>
                <w:sz w:val="18"/>
              </w:rPr>
              <w:t>March 5, 2025 (date of latest internal documents provided)</w:t>
            </w:r>
          </w:p>
        </w:tc>
      </w:tr>
      <w:tr>
        <w:tc>
          <w:tcPr>
            <w:tcW w:type="dxa" w:w="2376"/>
            <w:vAlign w:val="top"/>
            <w:tcMar>
              <w:top w:w="80" w:type="dxa"/>
              <w:start w:w="85" w:type="dxa"/>
              <w:bottom w:w="80" w:type="dxa"/>
              <w:end w:w="85" w:type="dxa"/>
            </w:tcMar>
          </w:tcPr>
          <w:p>
            <w:pPr>
              <w:spacing w:after="0" w:before="0"/>
            </w:pPr>
            <w:r/>
            <w:r>
              <w:rPr>
                <w:b w:val="0"/>
                <w:sz w:val="18"/>
              </w:rPr>
              <w:t>Materials reviewed</w:t>
            </w:r>
          </w:p>
        </w:tc>
        <w:tc>
          <w:tcPr>
            <w:tcW w:type="dxa" w:w="8424"/>
            <w:vAlign w:val="top"/>
            <w:tcMar>
              <w:top w:w="80" w:type="dxa"/>
              <w:start w:w="85" w:type="dxa"/>
              <w:bottom w:w="80" w:type="dxa"/>
              <w:end w:w="85" w:type="dxa"/>
            </w:tcMar>
          </w:tcPr>
          <w:p>
            <w:pPr>
              <w:spacing w:after="0" w:before="0"/>
            </w:pPr>
            <w:r/>
            <w:r>
              <w:rPr>
                <w:b w:val="0"/>
                <w:sz w:val="18"/>
              </w:rPr>
              <w:t>DOJ cover letter and attached Preservation Notice with Exhibits A–D; RDG-LGL-007; corporate organizational chart; IT migration email; records-destruction confirmation email</w:t>
            </w:r>
          </w:p>
        </w:tc>
      </w:tr>
    </w:tbl>
    <w:p>
      <w:pPr>
        <w:widowControl/>
        <w:spacing w:after="20"/>
      </w:pPr>
    </w:p>
    <w:tbl>
      <w:tblPr>
        <w:tblW w:type="auto" w:w="0"/>
        <w:jc w:val="center"/>
        <w:tblLook w:firstColumn="1" w:firstRow="1" w:lastColumn="0" w:lastRow="0" w:noHBand="0" w:noVBand="1" w:val="04A0"/>
      </w:tblPr>
      <w:tblGrid>
        <w:gridCol w:w="10080"/>
      </w:tblGrid>
      <w:tr>
        <w:tc>
          <w:tcPr>
            <w:tcW w:type="dxa" w:w="10080"/>
            <w:shd w:fill="EAF2F8"/>
            <w:tcMar>
              <w:top w:w="130" w:type="dxa"/>
              <w:start w:w="160" w:type="dxa"/>
              <w:bottom w:w="130" w:type="dxa"/>
              <w:end w:w="160" w:type="dxa"/>
            </w:tcMar>
          </w:tcPr>
          <w:p>
            <w:pPr>
              <w:spacing w:after="0"/>
            </w:pPr>
            <w:r/>
            <w:r>
              <w:rPr>
                <w:b/>
                <w:color w:val="1F4E79"/>
              </w:rPr>
              <w:t xml:space="preserve">Purpose and limitations. </w:t>
            </w:r>
            <w:r>
              <w:t>This memorandum extracts the preservation obligations stated in the notice and identifies implementation issues disclosed by the accompanying internal materials. It is an operational checklist, not a determination that any prior conduct violated law or policy, a legal conclusion about control over RPAF or employee personal devices, or a privilege determination. Resolve interpretive issues with defense counsel and communicate with DOJ only through the designated representatives.</w:t>
            </w:r>
          </w:p>
        </w:tc>
      </w:tr>
    </w:tbl>
    <w:p>
      <w:pPr>
        <w:widowControl/>
        <w:spacing w:after="20"/>
      </w:pPr>
    </w:p>
    <w:p>
      <w:pPr>
        <w:pStyle w:val="Heading1"/>
        <w:keepNext/>
        <w:widowControl/>
        <w:spacing w:before="240" w:after="100"/>
      </w:pPr>
      <w:r>
        <w:rPr>
          <w:rFonts w:ascii="Aptos" w:hAnsi="Aptos"/>
        </w:rPr>
        <w:t>1. Executive summary</w:t>
      </w:r>
    </w:p>
    <w:p>
      <w:pPr>
        <w:widowControl/>
        <w:spacing w:after="100" w:line="254" w:lineRule="auto"/>
      </w:pPr>
      <w:r>
        <w:rPr>
          <w:rFonts w:ascii="Aptos" w:hAnsi="Aptos"/>
        </w:rPr>
        <w:t>The notice is effective immediately and requires broad, continuing preservation for Ridgeline and covered affiliates, including RPAF to the extent it possesses, controls, or has custody of responsive information. It overrides RDG-LGL-007 and every routine destruction, deletion, backup-recycling, and purge practice for information within scope. Preservation is not limited to the 23 named custodians or the enumerated categories: the notice expressly reaches all HCP communications, potentially relevant information in any location, related compounds, and later-created responsive information.</w:t>
      </w:r>
    </w:p>
    <w:p>
      <w:pPr>
        <w:pStyle w:val="ListBullet"/>
        <w:widowControl/>
        <w:spacing w:after="60" w:line="247" w:lineRule="auto"/>
      </w:pPr>
      <w:r>
        <w:rPr>
          <w:rFonts w:ascii="Aptos" w:hAnsi="Aptos"/>
        </w:rPr>
        <w:t>Deadline sequence in the notice/cover letter: (1) written notices to relevant third-party vendors by March 13, 2025; (2) written certification to AUSA Faulkner and Trial Attorney Gutierrez by March 17, 2025; and (3) forensic imaging of all 23 named custodians’ qualifying mobile devices by March 24, 2025. The notice states these dates by reference to receipt; the cover letter expressly identifies them as the deadlines. If actual receipt differs, counsel should document it and seek written clarification rather than assume an extension.</w:t>
      </w:r>
    </w:p>
    <w:p>
      <w:pPr>
        <w:pStyle w:val="ListBullet"/>
        <w:widowControl/>
        <w:spacing w:after="60" w:line="247" w:lineRule="auto"/>
      </w:pPr>
      <w:r>
        <w:rPr>
          <w:rFonts w:ascii="Aptos" w:hAnsi="Aptos"/>
        </w:rPr>
        <w:t>Highest immediate preservation risk: the IT email reports approximately 340,000 pre-September 2021 emails for about 2,100 employees were not migrated to Microsoft 365. Approximately 47,000–52,000 may relate to eight custodians, six of whom match the notice roster; the other two identities do not match Exhibit C. The only known surviving source may be six powered-down Exchange servers at Sentinel Records Management. Integrity has not been checked; legacy backup-tape status is unknown.</w:t>
      </w:r>
    </w:p>
    <w:p>
      <w:pPr>
        <w:pStyle w:val="ListBullet"/>
        <w:widowControl/>
        <w:spacing w:after="60" w:line="247" w:lineRule="auto"/>
      </w:pPr>
      <w:r>
        <w:rPr>
          <w:rFonts w:ascii="Aptos" w:hAnsi="Aptos"/>
        </w:rPr>
        <w:t>Separate significant issue: an internal email reports that approximately 4.2 million records, including KOL event files, Velcara field records, RPAF correspondence, emails, and 47 boxes of paper, were destroyed on January 15, 2025. This predates the notice, but the described KOL and RPAF categories appear to have six-year retention periods under the supplied policy, not the shorter periods cited in the destruction email. Establish what was destroyed, recoverability, notice/knowledge timeline, and whether any responsive copies remain. Do not make a conclusion about spoliation from the present record.</w:t>
      </w:r>
    </w:p>
    <w:p>
      <w:pPr>
        <w:pStyle w:val="ListBullet"/>
        <w:widowControl/>
        <w:spacing w:after="60" w:line="247" w:lineRule="auto"/>
      </w:pPr>
      <w:r>
        <w:rPr>
          <w:rFonts w:ascii="Aptos" w:hAnsi="Aptos"/>
        </w:rPr>
        <w:t>Roster reconciliation is essential: the notice’s total of 23 comprises 9 named employees, 7 Exhibit C sales managers, 2 unnamed role-based employees, and 5 external HCPs. The 2 role-based employees are not named. Two migration-affected names (Jennifer Calloway and David Yun) do not appear in Exhibit C; the precise employee/custodian identities must be verified against HR and IT records.</w:t>
      </w:r>
    </w:p>
    <w:p>
      <w:pPr>
        <w:pStyle w:val="ListBullet"/>
        <w:widowControl/>
        <w:spacing w:after="60" w:line="247" w:lineRule="auto"/>
      </w:pPr>
      <w:r>
        <w:rPr>
          <w:rFonts w:ascii="Aptos" w:hAnsi="Aptos"/>
        </w:rPr>
        <w:t>Preserve originals and metadata; native-format preservation is required. A PDF, printout, screenshot, or export to CSV alone does not satisfy the ESI requirement. Collect and secure legacy sources before remediation or system access could alter evidence.</w:t>
      </w:r>
    </w:p>
    <w:p>
      <w:pPr>
        <w:pStyle w:val="Heading1"/>
        <w:keepNext/>
        <w:widowControl/>
        <w:spacing w:before="240" w:after="100"/>
      </w:pPr>
      <w:r>
        <w:rPr>
          <w:rFonts w:ascii="Aptos" w:hAnsi="Aptos"/>
        </w:rPr>
        <w:t>2. Deadlines and mandatory deliverables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656"/>
            <w:vAlign w:val="top"/>
            <w:shd w:fill="1F4E78"/>
            <w:tcMar>
              <w:top w:w="80" w:type="dxa"/>
              <w:start w:w="85" w:type="dxa"/>
              <w:bottom w:w="80" w:type="dxa"/>
              <w:end w:w="85" w:type="dxa"/>
            </w:tcMar>
          </w:tcPr>
          <w:p>
            <w:pPr>
              <w:spacing w:after="0" w:before="0"/>
            </w:pPr>
            <w:r/>
            <w:r>
              <w:rPr>
                <w:b/>
                <w:color w:val="FFFFFF"/>
                <w:sz w:val="17"/>
              </w:rPr>
              <w:t>Due</w:t>
            </w:r>
          </w:p>
        </w:tc>
        <w:tc>
          <w:tcPr>
            <w:tcW w:type="dxa" w:w="1944"/>
            <w:vAlign w:val="top"/>
            <w:shd w:fill="1F4E78"/>
            <w:tcMar>
              <w:top w:w="80" w:type="dxa"/>
              <w:start w:w="85" w:type="dxa"/>
              <w:bottom w:w="80" w:type="dxa"/>
              <w:end w:w="85" w:type="dxa"/>
            </w:tcMar>
          </w:tcPr>
          <w:p>
            <w:pPr>
              <w:spacing w:after="0" w:before="0"/>
            </w:pPr>
            <w:r/>
            <w:r>
              <w:rPr>
                <w:b/>
                <w:color w:val="FFFFFF"/>
                <w:sz w:val="17"/>
              </w:rPr>
              <w:t>Source / timing</w:t>
            </w:r>
          </w:p>
        </w:tc>
        <w:tc>
          <w:tcPr>
            <w:tcW w:type="dxa" w:w="4392"/>
            <w:vAlign w:val="top"/>
            <w:shd w:fill="1F4E78"/>
            <w:tcMar>
              <w:top w:w="80" w:type="dxa"/>
              <w:start w:w="85" w:type="dxa"/>
              <w:bottom w:w="80" w:type="dxa"/>
              <w:end w:w="85" w:type="dxa"/>
            </w:tcMar>
          </w:tcPr>
          <w:p>
            <w:pPr>
              <w:spacing w:after="0" w:before="0"/>
            </w:pPr>
            <w:r/>
            <w:r>
              <w:rPr>
                <w:b/>
                <w:color w:val="FFFFFF"/>
                <w:sz w:val="17"/>
              </w:rPr>
              <w:t>Required result</w:t>
            </w:r>
          </w:p>
        </w:tc>
        <w:tc>
          <w:tcPr>
            <w:tcW w:type="dxa" w:w="2808"/>
            <w:vAlign w:val="top"/>
            <w:shd w:fill="1F4E78"/>
            <w:tcMar>
              <w:top w:w="80" w:type="dxa"/>
              <w:start w:w="85" w:type="dxa"/>
              <w:bottom w:w="80" w:type="dxa"/>
              <w:end w:w="85" w:type="dxa"/>
            </w:tcMar>
          </w:tcPr>
          <w:p>
            <w:pPr>
              <w:spacing w:after="0" w:before="0"/>
            </w:pPr>
            <w:r/>
            <w:r>
              <w:rPr>
                <w:b/>
                <w:color w:val="FFFFFF"/>
                <w:sz w:val="17"/>
              </w:rPr>
              <w:t>Operational lead (proposed)</w:t>
            </w:r>
          </w:p>
        </w:tc>
      </w:tr>
      <w:tr>
        <w:tc>
          <w:tcPr>
            <w:tcW w:type="dxa" w:w="1656"/>
            <w:vAlign w:val="top"/>
            <w:tcMar>
              <w:top w:w="80" w:type="dxa"/>
              <w:start w:w="85" w:type="dxa"/>
              <w:bottom w:w="80" w:type="dxa"/>
              <w:end w:w="85" w:type="dxa"/>
            </w:tcMar>
            <w:shd w:fill="F3F6F9"/>
          </w:tcPr>
          <w:p>
            <w:pPr>
              <w:spacing w:after="0" w:before="0"/>
            </w:pPr>
            <w:r/>
            <w:r>
              <w:rPr>
                <w:b w:val="0"/>
                <w:sz w:val="15"/>
              </w:rPr>
              <w:t>Immediately / continuing</w:t>
            </w:r>
          </w:p>
        </w:tc>
        <w:tc>
          <w:tcPr>
            <w:tcW w:type="dxa" w:w="1944"/>
            <w:vAlign w:val="top"/>
            <w:tcMar>
              <w:top w:w="80" w:type="dxa"/>
              <w:start w:w="85" w:type="dxa"/>
              <w:bottom w:w="80" w:type="dxa"/>
              <w:end w:w="85" w:type="dxa"/>
            </w:tcMar>
            <w:shd w:fill="F3F6F9"/>
          </w:tcPr>
          <w:p>
            <w:pPr>
              <w:spacing w:after="0" w:before="0"/>
            </w:pPr>
            <w:r/>
            <w:r>
              <w:rPr>
                <w:b w:val="0"/>
                <w:sz w:val="15"/>
              </w:rPr>
              <w:t>Effective immediately; remains until DOJ provides written notice lifting or modifying the hold (¶¶ 5, 32–33, 52).</w:t>
            </w:r>
          </w:p>
        </w:tc>
        <w:tc>
          <w:tcPr>
            <w:tcW w:type="dxa" w:w="4392"/>
            <w:vAlign w:val="top"/>
            <w:tcMar>
              <w:top w:w="80" w:type="dxa"/>
              <w:start w:w="85" w:type="dxa"/>
              <w:bottom w:w="80" w:type="dxa"/>
              <w:end w:w="85" w:type="dxa"/>
            </w:tcMar>
            <w:shd w:fill="F3F6F9"/>
          </w:tcPr>
          <w:p>
            <w:pPr>
              <w:spacing w:after="0" w:before="0"/>
            </w:pPr>
            <w:r/>
            <w:r>
              <w:rPr>
                <w:b w:val="0"/>
                <w:sz w:val="15"/>
              </w:rPr>
              <w:t>Company-wide hold; suspend relevant destruction and all loss/degradation routines; preserve in-scope information, including new material.</w:t>
            </w:r>
          </w:p>
        </w:tc>
        <w:tc>
          <w:tcPr>
            <w:tcW w:type="dxa" w:w="2808"/>
            <w:vAlign w:val="top"/>
            <w:tcMar>
              <w:top w:w="80" w:type="dxa"/>
              <w:start w:w="85" w:type="dxa"/>
              <w:bottom w:w="80" w:type="dxa"/>
              <w:end w:w="85" w:type="dxa"/>
            </w:tcMar>
            <w:shd w:fill="F3F6F9"/>
          </w:tcPr>
          <w:p>
            <w:pPr>
              <w:spacing w:after="0" w:before="0"/>
            </w:pPr>
            <w:r/>
            <w:r>
              <w:rPr>
                <w:b w:val="0"/>
                <w:sz w:val="15"/>
              </w:rPr>
              <w:t>OGC to direct; IT, Compliance, Records Management, business units and covered entities to execute.</w:t>
            </w:r>
          </w:p>
        </w:tc>
      </w:tr>
      <w:tr>
        <w:tc>
          <w:tcPr>
            <w:tcW w:type="dxa" w:w="1656"/>
            <w:vAlign w:val="top"/>
            <w:tcMar>
              <w:top w:w="80" w:type="dxa"/>
              <w:start w:w="85" w:type="dxa"/>
              <w:bottom w:w="80" w:type="dxa"/>
              <w:end w:w="85" w:type="dxa"/>
            </w:tcMar>
          </w:tcPr>
          <w:p>
            <w:pPr>
              <w:spacing w:after="0" w:before="0"/>
            </w:pPr>
            <w:r/>
            <w:r>
              <w:rPr>
                <w:b w:val="0"/>
                <w:sz w:val="15"/>
              </w:rPr>
              <w:t>March 13, 2025</w:t>
            </w:r>
          </w:p>
        </w:tc>
        <w:tc>
          <w:tcPr>
            <w:tcW w:type="dxa" w:w="1944"/>
            <w:vAlign w:val="top"/>
            <w:tcMar>
              <w:top w:w="80" w:type="dxa"/>
              <w:start w:w="85" w:type="dxa"/>
              <w:bottom w:w="80" w:type="dxa"/>
              <w:end w:w="85" w:type="dxa"/>
            </w:tcMar>
          </w:tcPr>
          <w:p>
            <w:pPr>
              <w:spacing w:after="0" w:before="0"/>
            </w:pPr>
            <w:r/>
            <w:r>
              <w:rPr>
                <w:b w:val="0"/>
                <w:sz w:val="15"/>
              </w:rPr>
              <w:t>10 calendar days; DOJ cover letter and Notice ¶ 43.</w:t>
            </w:r>
          </w:p>
        </w:tc>
        <w:tc>
          <w:tcPr>
            <w:tcW w:type="dxa" w:w="4392"/>
            <w:vAlign w:val="top"/>
            <w:tcMar>
              <w:top w:w="80" w:type="dxa"/>
              <w:start w:w="85" w:type="dxa"/>
              <w:bottom w:w="80" w:type="dxa"/>
              <w:end w:w="85" w:type="dxa"/>
            </w:tcMar>
          </w:tcPr>
          <w:p>
            <w:pPr>
              <w:spacing w:after="0" w:before="0"/>
            </w:pPr>
            <w:r/>
            <w:r>
              <w:rPr>
                <w:b w:val="0"/>
                <w:sz w:val="15"/>
              </w:rPr>
              <w:t>Issue written preservation notices to all third parties hosting, maintaining, or processing potentially relevant information; at minimum Veeva Systems, SAP SE, Concur Technologies, and IntegriCall Services. Obtain written confirmation of receipt and implementation.</w:t>
            </w:r>
          </w:p>
        </w:tc>
        <w:tc>
          <w:tcPr>
            <w:tcW w:type="dxa" w:w="2808"/>
            <w:vAlign w:val="top"/>
            <w:tcMar>
              <w:top w:w="80" w:type="dxa"/>
              <w:start w:w="85" w:type="dxa"/>
              <w:bottom w:w="80" w:type="dxa"/>
              <w:end w:w="85" w:type="dxa"/>
            </w:tcMar>
          </w:tcPr>
          <w:p>
            <w:pPr>
              <w:spacing w:after="0" w:before="0"/>
            </w:pPr>
            <w:r/>
            <w:r>
              <w:rPr>
                <w:b w:val="0"/>
                <w:sz w:val="15"/>
              </w:rPr>
              <w:t>OGC / counsel, with IT and vendor owners; include Sentinel, Microsoft, Salesforce, Slack/Teams and other relevant providers as applicable.</w:t>
            </w:r>
          </w:p>
        </w:tc>
      </w:tr>
      <w:tr>
        <w:tc>
          <w:tcPr>
            <w:tcW w:type="dxa" w:w="1656"/>
            <w:vAlign w:val="top"/>
            <w:tcMar>
              <w:top w:w="80" w:type="dxa"/>
              <w:start w:w="85" w:type="dxa"/>
              <w:bottom w:w="80" w:type="dxa"/>
              <w:end w:w="85" w:type="dxa"/>
            </w:tcMar>
            <w:shd w:fill="F3F6F9"/>
          </w:tcPr>
          <w:p>
            <w:pPr>
              <w:spacing w:after="0" w:before="0"/>
            </w:pPr>
            <w:r/>
            <w:r>
              <w:rPr>
                <w:b w:val="0"/>
                <w:sz w:val="15"/>
              </w:rPr>
              <w:t>March 17, 2025</w:t>
            </w:r>
          </w:p>
        </w:tc>
        <w:tc>
          <w:tcPr>
            <w:tcW w:type="dxa" w:w="1944"/>
            <w:vAlign w:val="top"/>
            <w:tcMar>
              <w:top w:w="80" w:type="dxa"/>
              <w:start w:w="85" w:type="dxa"/>
              <w:bottom w:w="80" w:type="dxa"/>
              <w:end w:w="85" w:type="dxa"/>
            </w:tcMar>
            <w:shd w:fill="F3F6F9"/>
          </w:tcPr>
          <w:p>
            <w:pPr>
              <w:spacing w:after="0" w:before="0"/>
            </w:pPr>
            <w:r/>
            <w:r>
              <w:rPr>
                <w:b w:val="0"/>
                <w:sz w:val="15"/>
              </w:rPr>
              <w:t>14 calendar days; cover letter and Notice ¶ 45.</w:t>
            </w:r>
          </w:p>
        </w:tc>
        <w:tc>
          <w:tcPr>
            <w:tcW w:type="dxa" w:w="4392"/>
            <w:vAlign w:val="top"/>
            <w:tcMar>
              <w:top w:w="80" w:type="dxa"/>
              <w:start w:w="85" w:type="dxa"/>
              <w:bottom w:w="80" w:type="dxa"/>
              <w:end w:w="85" w:type="dxa"/>
            </w:tcMar>
            <w:shd w:fill="F3F6F9"/>
          </w:tcPr>
          <w:p>
            <w:pPr>
              <w:spacing w:after="0" w:before="0"/>
            </w:pPr>
            <w:r/>
            <w:r>
              <w:rPr>
                <w:b w:val="0"/>
                <w:sz w:val="15"/>
              </w:rPr>
              <w:t>Written certification to Brendan K. Faulkner and Sonia R. Gutierrez confirming items (a)–(f): company-wide hold and individual/dept notices; suspension of disposal routines; vendor notices; imaging initiated and projected timeline; responsible overseers by name/title; and full designated contact details.</w:t>
            </w:r>
          </w:p>
        </w:tc>
        <w:tc>
          <w:tcPr>
            <w:tcW w:type="dxa" w:w="2808"/>
            <w:vAlign w:val="top"/>
            <w:tcMar>
              <w:top w:w="80" w:type="dxa"/>
              <w:start w:w="85" w:type="dxa"/>
              <w:bottom w:w="80" w:type="dxa"/>
              <w:end w:w="85" w:type="dxa"/>
            </w:tcMar>
            <w:shd w:fill="F3F6F9"/>
          </w:tcPr>
          <w:p>
            <w:pPr>
              <w:spacing w:after="0" w:before="0"/>
            </w:pPr>
            <w:r/>
            <w:r>
              <w:rPr>
                <w:b w:val="0"/>
                <w:sz w:val="15"/>
              </w:rPr>
              <w:t>General Counsel / designated compliance lead. Do not certify an unverified fact; report exceptions accurately and promptly.</w:t>
            </w:r>
          </w:p>
        </w:tc>
      </w:tr>
      <w:tr>
        <w:tc>
          <w:tcPr>
            <w:tcW w:type="dxa" w:w="1656"/>
            <w:vAlign w:val="top"/>
            <w:tcMar>
              <w:top w:w="80" w:type="dxa"/>
              <w:start w:w="85" w:type="dxa"/>
              <w:bottom w:w="80" w:type="dxa"/>
              <w:end w:w="85" w:type="dxa"/>
            </w:tcMar>
          </w:tcPr>
          <w:p>
            <w:pPr>
              <w:spacing w:after="0" w:before="0"/>
            </w:pPr>
            <w:r/>
            <w:r>
              <w:rPr>
                <w:b w:val="0"/>
                <w:sz w:val="15"/>
              </w:rPr>
              <w:t>March 24, 2025</w:t>
            </w:r>
          </w:p>
        </w:tc>
        <w:tc>
          <w:tcPr>
            <w:tcW w:type="dxa" w:w="1944"/>
            <w:vAlign w:val="top"/>
            <w:tcMar>
              <w:top w:w="80" w:type="dxa"/>
              <w:start w:w="85" w:type="dxa"/>
              <w:bottom w:w="80" w:type="dxa"/>
              <w:end w:w="85" w:type="dxa"/>
            </w:tcMar>
          </w:tcPr>
          <w:p>
            <w:pPr>
              <w:spacing w:after="0" w:before="0"/>
            </w:pPr>
            <w:r/>
            <w:r>
              <w:rPr>
                <w:b w:val="0"/>
                <w:sz w:val="15"/>
              </w:rPr>
              <w:t>21 calendar days; cover letter and Notice ¶¶ 17, 40.</w:t>
            </w:r>
          </w:p>
        </w:tc>
        <w:tc>
          <w:tcPr>
            <w:tcW w:type="dxa" w:w="4392"/>
            <w:vAlign w:val="top"/>
            <w:tcMar>
              <w:top w:w="80" w:type="dxa"/>
              <w:start w:w="85" w:type="dxa"/>
              <w:bottom w:w="80" w:type="dxa"/>
              <w:end w:w="85" w:type="dxa"/>
            </w:tcMar>
          </w:tcPr>
          <w:p>
            <w:pPr>
              <w:spacing w:after="0" w:before="0"/>
            </w:pPr>
            <w:r/>
            <w:r>
              <w:rPr>
                <w:b w:val="0"/>
                <w:sz w:val="15"/>
              </w:rPr>
              <w:t>Complete forensic imaging—not merely logical extraction—of all personal and company-issued mobile devices of the 23 named custodians, within the Notice’s stated scope. Keep a chain-of-custody log for each device.</w:t>
            </w:r>
          </w:p>
        </w:tc>
        <w:tc>
          <w:tcPr>
            <w:tcW w:type="dxa" w:w="2808"/>
            <w:vAlign w:val="top"/>
            <w:tcMar>
              <w:top w:w="80" w:type="dxa"/>
              <w:start w:w="85" w:type="dxa"/>
              <w:bottom w:w="80" w:type="dxa"/>
              <w:end w:w="85" w:type="dxa"/>
            </w:tcMar>
          </w:tcPr>
          <w:p>
            <w:pPr>
              <w:spacing w:after="0" w:before="0"/>
            </w:pPr>
            <w:r/>
            <w:r>
              <w:rPr>
                <w:b w:val="0"/>
                <w:sz w:val="15"/>
              </w:rPr>
              <w:t>Qualified forensic examiner, coordinated by IT and counsel; individual device access requires careful coordination.</w:t>
            </w:r>
          </w:p>
        </w:tc>
      </w:tr>
      <w:tr>
        <w:tc>
          <w:tcPr>
            <w:tcW w:type="dxa" w:w="1656"/>
            <w:vAlign w:val="top"/>
            <w:tcMar>
              <w:top w:w="80" w:type="dxa"/>
              <w:start w:w="85" w:type="dxa"/>
              <w:bottom w:w="80" w:type="dxa"/>
              <w:end w:w="85" w:type="dxa"/>
            </w:tcMar>
            <w:shd w:fill="F3F6F9"/>
          </w:tcPr>
          <w:p>
            <w:pPr>
              <w:spacing w:after="0" w:before="0"/>
            </w:pPr>
            <w:r/>
            <w:r>
              <w:rPr>
                <w:b w:val="0"/>
                <w:sz w:val="15"/>
              </w:rPr>
              <w:t>Promptly upon discovery</w:t>
            </w:r>
          </w:p>
        </w:tc>
        <w:tc>
          <w:tcPr>
            <w:tcW w:type="dxa" w:w="1944"/>
            <w:vAlign w:val="top"/>
            <w:tcMar>
              <w:top w:w="80" w:type="dxa"/>
              <w:start w:w="85" w:type="dxa"/>
              <w:bottom w:w="80" w:type="dxa"/>
              <w:end w:w="85" w:type="dxa"/>
            </w:tcMar>
            <w:shd w:fill="F3F6F9"/>
          </w:tcPr>
          <w:p>
            <w:pPr>
              <w:spacing w:after="0" w:before="0"/>
            </w:pPr>
            <w:r/>
            <w:r>
              <w:rPr>
                <w:b w:val="0"/>
                <w:sz w:val="15"/>
              </w:rPr>
              <w:t>Notice ¶ 46; no fixed number of days.</w:t>
            </w:r>
          </w:p>
        </w:tc>
        <w:tc>
          <w:tcPr>
            <w:tcW w:type="dxa" w:w="4392"/>
            <w:vAlign w:val="top"/>
            <w:tcMar>
              <w:top w:w="80" w:type="dxa"/>
              <w:start w:w="85" w:type="dxa"/>
              <w:bottom w:w="80" w:type="dxa"/>
              <w:end w:w="85" w:type="dxa"/>
            </w:tcMar>
            <w:shd w:fill="F3F6F9"/>
          </w:tcPr>
          <w:p>
            <w:pPr>
              <w:spacing w:after="0" w:before="0"/>
            </w:pPr>
            <w:r/>
            <w:r>
              <w:rPr>
                <w:b w:val="0"/>
                <w:sz w:val="15"/>
              </w:rPr>
              <w:t>Written notice to AUSA Faulkner of any circumstance impairing compliance (including pre/post-notice data destruction, data loss, outages, vendor termination), describing data types/volumes, dates, discovery, and remedial actions.</w:t>
            </w:r>
          </w:p>
        </w:tc>
        <w:tc>
          <w:tcPr>
            <w:tcW w:type="dxa" w:w="2808"/>
            <w:vAlign w:val="top"/>
            <w:tcMar>
              <w:top w:w="80" w:type="dxa"/>
              <w:start w:w="85" w:type="dxa"/>
              <w:bottom w:w="80" w:type="dxa"/>
              <w:end w:w="85" w:type="dxa"/>
            </w:tcMar>
            <w:shd w:fill="F3F6F9"/>
          </w:tcPr>
          <w:p>
            <w:pPr>
              <w:spacing w:after="0" w:before="0"/>
            </w:pPr>
            <w:r/>
            <w:r>
              <w:rPr>
                <w:b w:val="0"/>
                <w:sz w:val="15"/>
              </w:rPr>
              <w:t>OGC / outside counsel; escalate immediately.</w:t>
            </w:r>
          </w:p>
        </w:tc>
      </w:tr>
      <w:tr>
        <w:tc>
          <w:tcPr>
            <w:tcW w:type="dxa" w:w="1656"/>
            <w:vAlign w:val="top"/>
            <w:tcMar>
              <w:top w:w="80" w:type="dxa"/>
              <w:start w:w="85" w:type="dxa"/>
              <w:bottom w:w="80" w:type="dxa"/>
              <w:end w:w="85" w:type="dxa"/>
            </w:tcMar>
          </w:tcPr>
          <w:p>
            <w:pPr>
              <w:spacing w:after="0" w:before="0"/>
            </w:pPr>
            <w:r/>
            <w:r>
              <w:rPr>
                <w:b w:val="0"/>
                <w:sz w:val="15"/>
              </w:rPr>
              <w:t>Ongoing</w:t>
            </w:r>
          </w:p>
        </w:tc>
        <w:tc>
          <w:tcPr>
            <w:tcW w:type="dxa" w:w="1944"/>
            <w:vAlign w:val="top"/>
            <w:tcMar>
              <w:top w:w="80" w:type="dxa"/>
              <w:start w:w="85" w:type="dxa"/>
              <w:bottom w:w="80" w:type="dxa"/>
              <w:end w:w="85" w:type="dxa"/>
            </w:tcMar>
          </w:tcPr>
          <w:p>
            <w:pPr>
              <w:spacing w:after="0" w:before="0"/>
            </w:pPr>
            <w:r/>
            <w:r>
              <w:rPr>
                <w:b w:val="0"/>
                <w:sz w:val="15"/>
              </w:rPr>
              <w:t>Notice ¶¶ 18, 32, 46, 51.</w:t>
            </w:r>
          </w:p>
        </w:tc>
        <w:tc>
          <w:tcPr>
            <w:tcW w:type="dxa" w:w="4392"/>
            <w:vAlign w:val="top"/>
            <w:tcMar>
              <w:top w:w="80" w:type="dxa"/>
              <w:start w:w="85" w:type="dxa"/>
              <w:bottom w:w="80" w:type="dxa"/>
              <w:end w:w="85" w:type="dxa"/>
            </w:tcMar>
          </w:tcPr>
          <w:p>
            <w:pPr>
              <w:spacing w:after="0" w:before="0"/>
            </w:pPr>
            <w:r/>
            <w:r>
              <w:rPr>
                <w:b w:val="0"/>
                <w:sz w:val="15"/>
              </w:rPr>
              <w:t>Preserve later-created responsive information; implement supplemental custodian notices if DOJ adds custodians; notify DOJ promptly of material preservation impediments; follow written modifications.</w:t>
            </w:r>
          </w:p>
        </w:tc>
        <w:tc>
          <w:tcPr>
            <w:tcW w:type="dxa" w:w="2808"/>
            <w:vAlign w:val="top"/>
            <w:tcMar>
              <w:top w:w="80" w:type="dxa"/>
              <w:start w:w="85" w:type="dxa"/>
              <w:bottom w:w="80" w:type="dxa"/>
              <w:end w:w="85" w:type="dxa"/>
            </w:tcMar>
          </w:tcPr>
          <w:p>
            <w:pPr>
              <w:spacing w:after="0" w:before="0"/>
            </w:pPr>
            <w:r/>
            <w:r>
              <w:rPr>
                <w:b w:val="0"/>
                <w:sz w:val="15"/>
              </w:rPr>
              <w:t>OGC / preservation lead and all custodians.</w:t>
            </w:r>
          </w:p>
        </w:tc>
      </w:tr>
    </w:tbl>
    <w:p>
      <w:pPr>
        <w:widowControl/>
        <w:spacing w:after="20"/>
      </w:pPr>
    </w:p>
    <w:p>
      <w:pPr>
        <w:widowControl/>
        <w:spacing w:after="100" w:line="254" w:lineRule="auto"/>
      </w:pPr>
      <w:r>
        <w:rPr>
          <w:rFonts w:ascii="Aptos" w:hAnsi="Aptos"/>
        </w:rPr>
        <w:t>Communications about the notice, investigation, or related matters are directed exclusively to AUSA Brendan K. Faulkner and Trial Attorney Sonia R. Gutierrez at the contact details in the cover letter. Questions or proposed scope clarifications should be raised promptly through counsel; do not unilaterally narrow an ambiguous category. (Cover letter; Notice ¶ 51.)</w:t>
      </w:r>
    </w:p>
    <w:p>
      <w:pPr>
        <w:pStyle w:val="Heading1"/>
        <w:keepNext/>
        <w:widowControl/>
        <w:spacing w:before="240" w:after="100"/>
      </w:pPr>
      <w:r>
        <w:rPr>
          <w:rFonts w:ascii="Aptos" w:hAnsi="Aptos"/>
        </w:rPr>
        <w:t>3. Who and what must be preserved</w:t>
      </w:r>
    </w:p>
    <w:p>
      <w:pPr>
        <w:pStyle w:val="Heading2"/>
        <w:keepNext/>
        <w:widowControl/>
        <w:spacing w:before="160" w:after="100"/>
      </w:pPr>
      <w:r>
        <w:rPr>
          <w:rFonts w:ascii="Aptos" w:hAnsi="Aptos"/>
        </w:rPr>
        <w:t>3.1 Entities, people, and locations</w:t>
      </w:r>
    </w:p>
    <w:p>
      <w:pPr>
        <w:pStyle w:val="ListBullet"/>
        <w:widowControl/>
        <w:spacing w:after="60" w:line="247" w:lineRule="auto"/>
      </w:pPr>
      <w:r>
        <w:rPr>
          <w:rFonts w:ascii="Aptos" w:hAnsi="Aptos"/>
        </w:rPr>
        <w:t>Company and entity reach: Ridgeline and its officers, directors, employees, agents, and representatives wherever located; subsidiaries, affiliates, divisions, and related entities, including RPAF, to the extent they have responsive information in their possession, custody, or control. The notice makes the duty immediate and says the entity’s separate status does not eliminate preservation where the stated custody/control test is met. (Notice ¶¶ 1, 4.)</w:t>
      </w:r>
    </w:p>
    <w:p>
      <w:pPr>
        <w:pStyle w:val="ListBullet"/>
        <w:widowControl/>
        <w:spacing w:after="60" w:line="247" w:lineRule="auto"/>
      </w:pPr>
      <w:r>
        <w:rPr>
          <w:rFonts w:ascii="Aptos" w:hAnsi="Aptos"/>
        </w:rPr>
        <w:t>Custodians: 23 total as described in ¶ 16: 9 senior employees listed in ¶ 13; 7 regional sales managers in Exhibit C; 2 additional employees identified only by current functional title (Director of Pricing Analytics and Associate Director of Government Accounts); and 5 external HCP consultants/speakers in Exhibit D. The notice also says the list is not a limit on other relevant employees or representatives (¶ 18).</w:t>
      </w:r>
    </w:p>
    <w:p>
      <w:pPr>
        <w:pStyle w:val="ListBullet"/>
        <w:widowControl/>
        <w:spacing w:after="60" w:line="247" w:lineRule="auto"/>
      </w:pPr>
      <w:r>
        <w:rPr>
          <w:rFonts w:ascii="Aptos" w:hAnsi="Aptos"/>
        </w:rPr>
        <w:t>Named senior custodians (9): Dr. Priya Venkataraman; Marcus Ellsworth; Diane Cho-Rosen; Dr. Franklin Osei; Gregory “Greg” Hsu; Amanda Terrell; Richard Blaine; Dr. Katerina Novak; Luis Delgado.</w:t>
      </w:r>
    </w:p>
    <w:p>
      <w:pPr>
        <w:pStyle w:val="ListBullet"/>
        <w:widowControl/>
        <w:spacing w:after="60" w:line="247" w:lineRule="auto"/>
      </w:pPr>
      <w:r>
        <w:rPr>
          <w:rFonts w:ascii="Aptos" w:hAnsi="Aptos"/>
        </w:rPr>
        <w:t>Exhibit C sales managers (7): Tonya M. Bradshaw (Mid-Atlantic); Kevin J. Fontaine (Southeast); Sarah E. Lindgren (Northeast); David R. Castillo (Southwest); Michelle A. Thornton (Midwest); James W. Okafor (Pacific Northwest); Christine L. Sperling (Mountain West).</w:t>
      </w:r>
    </w:p>
    <w:p>
      <w:pPr>
        <w:pStyle w:val="ListBullet"/>
        <w:widowControl/>
        <w:spacing w:after="60" w:line="247" w:lineRule="auto"/>
      </w:pPr>
      <w:r>
        <w:rPr>
          <w:rFonts w:ascii="Aptos" w:hAnsi="Aptos"/>
        </w:rPr>
        <w:t>External HCPs (5): Dr. Raymond T. Whitford; Dr. Ingrid M. Svensson; Dr. Oscar L. Famuyide; Dr. Hannah J. Prescott; Dr. Samuel K. Anand. Preserve Ridgeline-held communications and engagement, contract, payment, 1099, expense, and travel records. The notice also expressly calls for affirmative identification/collection of communications with these HCPs and hold instructions to Ridgeline employees who had the most frequent contact (¶¶ 15, 24, Exhibit D).</w:t>
      </w:r>
    </w:p>
    <w:p>
      <w:pPr>
        <w:pStyle w:val="ListBullet"/>
        <w:widowControl/>
        <w:spacing w:after="60" w:line="247" w:lineRule="auto"/>
      </w:pPr>
      <w:r>
        <w:rPr>
          <w:rFonts w:ascii="Aptos" w:hAnsi="Aptos"/>
        </w:rPr>
        <w:t>All work and personal repositories are in scope if they contain relevant data: corporate and personal email, personal cloud storage, home computers, mobile devices, removable media, wearable/IoT devices, company systems, and third-party platforms. For named custodians, the notice expressly includes personal accounts and devices (¶¶ 17, 36, 40).</w:t>
      </w:r>
    </w:p>
    <w:p>
      <w:pPr>
        <w:pStyle w:val="ListBullet"/>
        <w:widowControl/>
        <w:spacing w:after="60" w:line="247" w:lineRule="auto"/>
      </w:pPr>
      <w:r>
        <w:rPr>
          <w:rFonts w:ascii="Aptos" w:hAnsi="Aptos"/>
        </w:rPr>
        <w:t>Paper locations specifically identified: named custodians’ work areas, central filing/records rooms, Durham headquarters, Atlanta field office, and any offsite paper storage. Secure access, inventory offsite holdings, and instruct storage operators to hold them (¶ 44).</w:t>
      </w:r>
    </w:p>
    <w:p>
      <w:pPr>
        <w:pStyle w:val="Heading2"/>
        <w:keepNext/>
        <w:widowControl/>
        <w:spacing w:before="160" w:after="100"/>
      </w:pPr>
      <w:r>
        <w:rPr>
          <w:rFonts w:ascii="Aptos" w:hAnsi="Aptos"/>
        </w:rPr>
        <w:t>3.2 Subject matter and records</w:t>
      </w:r>
    </w:p>
    <w:p>
      <w:pPr>
        <w:widowControl/>
        <w:spacing w:after="100" w:line="254" w:lineRule="auto"/>
      </w:pPr>
      <w:r>
        <w:rPr>
          <w:rFonts w:ascii="Aptos" w:hAnsi="Aptos"/>
        </w:rPr>
        <w:t>The preservation duty is broader than the specific examples below: ¶ 19 says the listed categories are not exhaustive and preserves anything that is or may be relevant. Paragraph 19 calls Exhibit B “thirty-six (36)” categories, but Exhibit B as supplied actually enumerates Categories 1–34. This discrepancy does not narrow the express general duty; counsel should seek written clarification while preserving broadly.</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vAlign w:val="top"/>
            <w:shd w:fill="1F4E78"/>
            <w:tcMar>
              <w:top w:w="80" w:type="dxa"/>
              <w:start w:w="85" w:type="dxa"/>
              <w:bottom w:w="80" w:type="dxa"/>
              <w:end w:w="85" w:type="dxa"/>
            </w:tcMar>
          </w:tcPr>
          <w:p>
            <w:pPr>
              <w:spacing w:after="0" w:before="0"/>
            </w:pPr>
            <w:r/>
            <w:r>
              <w:rPr>
                <w:b/>
                <w:color w:val="FFFFFF"/>
                <w:sz w:val="17"/>
              </w:rPr>
              <w:t>Topic / categories</w:t>
            </w:r>
          </w:p>
        </w:tc>
        <w:tc>
          <w:tcPr>
            <w:tcW w:type="dxa" w:w="8208"/>
            <w:vAlign w:val="top"/>
            <w:shd w:fill="1F4E78"/>
            <w:tcMar>
              <w:top w:w="80" w:type="dxa"/>
              <w:start w:w="85" w:type="dxa"/>
              <w:bottom w:w="80" w:type="dxa"/>
              <w:end w:w="85" w:type="dxa"/>
            </w:tcMar>
          </w:tcPr>
          <w:p>
            <w:pPr>
              <w:spacing w:after="0" w:before="0"/>
            </w:pPr>
            <w:r/>
            <w:r>
              <w:rPr>
                <w:b/>
                <w:color w:val="FFFFFF"/>
                <w:sz w:val="17"/>
              </w:rPr>
              <w:t>Examples expressly covered</w:t>
            </w:r>
          </w:p>
        </w:tc>
      </w:tr>
      <w:tr>
        <w:tc>
          <w:tcPr>
            <w:tcW w:type="dxa" w:w="2592"/>
            <w:vAlign w:val="top"/>
            <w:tcMar>
              <w:top w:w="80" w:type="dxa"/>
              <w:start w:w="85" w:type="dxa"/>
              <w:bottom w:w="80" w:type="dxa"/>
              <w:end w:w="85" w:type="dxa"/>
            </w:tcMar>
            <w:shd w:fill="F3F6F9"/>
          </w:tcPr>
          <w:p>
            <w:pPr>
              <w:spacing w:after="0" w:before="0"/>
            </w:pPr>
            <w:r/>
            <w:r>
              <w:rPr>
                <w:b w:val="0"/>
                <w:sz w:val="16"/>
              </w:rPr>
              <w:t>KOL program administration (1–6)</w:t>
            </w:r>
          </w:p>
        </w:tc>
        <w:tc>
          <w:tcPr>
            <w:tcW w:type="dxa" w:w="8208"/>
            <w:vAlign w:val="top"/>
            <w:tcMar>
              <w:top w:w="80" w:type="dxa"/>
              <w:start w:w="85" w:type="dxa"/>
              <w:bottom w:w="80" w:type="dxa"/>
              <w:end w:w="85" w:type="dxa"/>
            </w:tcMar>
            <w:shd w:fill="F3F6F9"/>
          </w:tcPr>
          <w:p>
            <w:pPr>
              <w:spacing w:after="0" w:before="0"/>
            </w:pPr>
            <w:r/>
            <w:r>
              <w:rPr>
                <w:b w:val="0"/>
                <w:sz w:val="16"/>
              </w:rPr>
              <w:t>Program creation/oversight; HCP contracts and engagement letters; training and approved materials; event planning, venue/catering/travel/attendees; post-event reports and evaluations; procedures; HCP invitations, scheduling, logistics and follow-up.</w:t>
            </w:r>
          </w:p>
        </w:tc>
      </w:tr>
      <w:tr>
        <w:tc>
          <w:tcPr>
            <w:tcW w:type="dxa" w:w="2592"/>
            <w:vAlign w:val="top"/>
            <w:tcMar>
              <w:top w:w="80" w:type="dxa"/>
              <w:start w:w="85" w:type="dxa"/>
              <w:bottom w:w="80" w:type="dxa"/>
              <w:end w:w="85" w:type="dxa"/>
            </w:tcMar>
          </w:tcPr>
          <w:p>
            <w:pPr>
              <w:spacing w:after="0" w:before="0"/>
            </w:pPr>
            <w:r/>
            <w:r>
              <w:rPr>
                <w:b w:val="0"/>
                <w:sz w:val="16"/>
              </w:rPr>
              <w:t>Speaker pay / FMV (7–10)</w:t>
            </w:r>
          </w:p>
        </w:tc>
        <w:tc>
          <w:tcPr>
            <w:tcW w:type="dxa" w:w="8208"/>
            <w:vAlign w:val="top"/>
            <w:tcMar>
              <w:top w:w="80" w:type="dxa"/>
              <w:start w:w="85" w:type="dxa"/>
              <w:bottom w:w="80" w:type="dxa"/>
              <w:end w:w="85" w:type="dxa"/>
            </w:tcMar>
          </w:tcPr>
          <w:p>
            <w:pPr>
              <w:spacing w:after="0" w:before="0"/>
            </w:pPr>
            <w:r/>
            <w:r>
              <w:rPr>
                <w:b w:val="0"/>
                <w:sz w:val="16"/>
              </w:rPr>
              <w:t>FMV and benchmarking analyses; compensation/payment records, checks, wires, ACH/EFT and Forms 1099; rate approvals and committee records; pay/fee communications.</w:t>
            </w:r>
          </w:p>
        </w:tc>
      </w:tr>
      <w:tr>
        <w:tc>
          <w:tcPr>
            <w:tcW w:type="dxa" w:w="2592"/>
            <w:vAlign w:val="top"/>
            <w:tcMar>
              <w:top w:w="80" w:type="dxa"/>
              <w:start w:w="85" w:type="dxa"/>
              <w:bottom w:w="80" w:type="dxa"/>
              <w:end w:w="85" w:type="dxa"/>
            </w:tcMar>
            <w:shd w:fill="F3F6F9"/>
          </w:tcPr>
          <w:p>
            <w:pPr>
              <w:spacing w:after="0" w:before="0"/>
            </w:pPr>
            <w:r/>
            <w:r>
              <w:rPr>
                <w:b w:val="0"/>
                <w:sz w:val="16"/>
              </w:rPr>
              <w:t>HCP selection / due diligence (11–14)</w:t>
            </w:r>
          </w:p>
        </w:tc>
        <w:tc>
          <w:tcPr>
            <w:tcW w:type="dxa" w:w="8208"/>
            <w:vAlign w:val="top"/>
            <w:tcMar>
              <w:top w:w="80" w:type="dxa"/>
              <w:start w:w="85" w:type="dxa"/>
              <w:bottom w:w="80" w:type="dxa"/>
              <w:end w:w="85" w:type="dxa"/>
            </w:tcMar>
            <w:shd w:fill="F3F6F9"/>
          </w:tcPr>
          <w:p>
            <w:pPr>
              <w:spacing w:after="0" w:before="0"/>
            </w:pPr>
            <w:r/>
            <w:r>
              <w:rPr>
                <w:b w:val="0"/>
                <w:sz w:val="16"/>
              </w:rPr>
              <w:t>Selection criteria, scoring, rankings and nominations; credentials, CVs, licenses, certifications, conflict disclosures and questionnaires; OIG LEIE / GSA EPLS or SAM screening; repeat-speaker frequency, utilization and concentration analyses.</w:t>
            </w:r>
          </w:p>
        </w:tc>
      </w:tr>
      <w:tr>
        <w:tc>
          <w:tcPr>
            <w:tcW w:type="dxa" w:w="2592"/>
            <w:vAlign w:val="top"/>
            <w:tcMar>
              <w:top w:w="80" w:type="dxa"/>
              <w:start w:w="85" w:type="dxa"/>
              <w:bottom w:w="80" w:type="dxa"/>
              <w:end w:w="85" w:type="dxa"/>
            </w:tcMar>
          </w:tcPr>
          <w:p>
            <w:pPr>
              <w:spacing w:after="0" w:before="0"/>
            </w:pPr>
            <w:r/>
            <w:r>
              <w:rPr>
                <w:b w:val="0"/>
                <w:sz w:val="16"/>
              </w:rPr>
              <w:t>HCP communications (¶¶ 23–24; cross-cutting)</w:t>
            </w:r>
          </w:p>
        </w:tc>
        <w:tc>
          <w:tcPr>
            <w:tcW w:type="dxa" w:w="8208"/>
            <w:vAlign w:val="top"/>
            <w:tcMar>
              <w:top w:w="80" w:type="dxa"/>
              <w:start w:w="85" w:type="dxa"/>
              <w:bottom w:w="80" w:type="dxa"/>
              <w:end w:w="85" w:type="dxa"/>
            </w:tcMar>
          </w:tcPr>
          <w:p>
            <w:pPr>
              <w:spacing w:after="0" w:before="0"/>
            </w:pPr>
            <w:r/>
            <w:r>
              <w:rPr>
                <w:b w:val="0"/>
                <w:sz w:val="16"/>
              </w:rPr>
              <w:t>Communications with any HCP about Velcara efficacy, safety, dosing, administration, formulary, prescribing and reimbursement, in any context—not only listed HCPs or KOL events. Preserve Exhibit D communications across email, text, Slack, Teams, voicemail and other platforms; identify frequent-contact employees.</w:t>
            </w:r>
          </w:p>
        </w:tc>
      </w:tr>
      <w:tr>
        <w:tc>
          <w:tcPr>
            <w:tcW w:type="dxa" w:w="2592"/>
            <w:vAlign w:val="top"/>
            <w:tcMar>
              <w:top w:w="80" w:type="dxa"/>
              <w:start w:w="85" w:type="dxa"/>
              <w:bottom w:w="80" w:type="dxa"/>
              <w:end w:w="85" w:type="dxa"/>
            </w:tcMar>
            <w:shd w:fill="F3F6F9"/>
          </w:tcPr>
          <w:p>
            <w:pPr>
              <w:spacing w:after="0" w:before="0"/>
            </w:pPr>
            <w:r/>
            <w:r>
              <w:rPr>
                <w:b w:val="0"/>
                <w:sz w:val="16"/>
              </w:rPr>
              <w:t>RPAF operations (15–19; ¶ 25)</w:t>
            </w:r>
          </w:p>
        </w:tc>
        <w:tc>
          <w:tcPr>
            <w:tcW w:type="dxa" w:w="8208"/>
            <w:vAlign w:val="top"/>
            <w:tcMar>
              <w:top w:w="80" w:type="dxa"/>
              <w:start w:w="85" w:type="dxa"/>
              <w:bottom w:w="80" w:type="dxa"/>
              <w:end w:w="85" w:type="dxa"/>
            </w:tcMar>
            <w:shd w:fill="F3F6F9"/>
          </w:tcPr>
          <w:p>
            <w:pPr>
              <w:spacing w:after="0" w:before="0"/>
            </w:pPr>
            <w:r/>
            <w:r>
              <w:rPr>
                <w:b w:val="0"/>
                <w:sz w:val="16"/>
              </w:rPr>
              <w:t>Governance documents, board minutes/packets/resolutions; applications, eligibility/needs documentation and individual grants; communications about eligibility, fund levels, approvals, denials and administration; funding, banking, investment, expense and Form 990 records.</w:t>
            </w:r>
          </w:p>
        </w:tc>
      </w:tr>
      <w:tr>
        <w:tc>
          <w:tcPr>
            <w:tcW w:type="dxa" w:w="2592"/>
            <w:vAlign w:val="top"/>
            <w:tcMar>
              <w:top w:w="80" w:type="dxa"/>
              <w:start w:w="85" w:type="dxa"/>
              <w:bottom w:w="80" w:type="dxa"/>
              <w:end w:w="85" w:type="dxa"/>
            </w:tcMar>
          </w:tcPr>
          <w:p>
            <w:pPr>
              <w:spacing w:after="0" w:before="0"/>
            </w:pPr>
            <w:r/>
            <w:r>
              <w:rPr>
                <w:b w:val="0"/>
                <w:sz w:val="16"/>
              </w:rPr>
              <w:t>Compliance and audits (20–23; ¶ 26)</w:t>
            </w:r>
          </w:p>
        </w:tc>
        <w:tc>
          <w:tcPr>
            <w:tcW w:type="dxa" w:w="8208"/>
            <w:vAlign w:val="top"/>
            <w:tcMar>
              <w:top w:w="80" w:type="dxa"/>
              <w:start w:w="85" w:type="dxa"/>
              <w:bottom w:w="80" w:type="dxa"/>
              <w:end w:w="85" w:type="dxa"/>
            </w:tcMar>
          </w:tcPr>
          <w:p>
            <w:pPr>
              <w:spacing w:after="0" w:before="0"/>
            </w:pPr>
            <w:r/>
            <w:r>
              <w:rPr>
                <w:b w:val="0"/>
                <w:sz w:val="16"/>
              </w:rPr>
              <w:t>Internal audits, monitoring/risk assessments, compliance effectiveness and remediation; third-party audits/consultants; IntegriCall and other hotline complaint and investigation files; internal investigations by Compliance, Legal or outside counsel relating to healthcare fraud.</w:t>
            </w:r>
          </w:p>
        </w:tc>
      </w:tr>
      <w:tr>
        <w:tc>
          <w:tcPr>
            <w:tcW w:type="dxa" w:w="2592"/>
            <w:vAlign w:val="top"/>
            <w:tcMar>
              <w:top w:w="80" w:type="dxa"/>
              <w:start w:w="85" w:type="dxa"/>
              <w:bottom w:w="80" w:type="dxa"/>
              <w:end w:w="85" w:type="dxa"/>
            </w:tcMar>
            <w:shd w:fill="F3F6F9"/>
          </w:tcPr>
          <w:p>
            <w:pPr>
              <w:spacing w:after="0" w:before="0"/>
            </w:pPr>
            <w:r/>
            <w:r>
              <w:rPr>
                <w:b w:val="0"/>
                <w:sz w:val="16"/>
              </w:rPr>
              <w:t>Financial/accounting (24–27; ¶ 27)</w:t>
            </w:r>
          </w:p>
        </w:tc>
        <w:tc>
          <w:tcPr>
            <w:tcW w:type="dxa" w:w="8208"/>
            <w:vAlign w:val="top"/>
            <w:tcMar>
              <w:top w:w="80" w:type="dxa"/>
              <w:start w:w="85" w:type="dxa"/>
              <w:bottom w:w="80" w:type="dxa"/>
              <w:end w:w="85" w:type="dxa"/>
            </w:tcMar>
            <w:shd w:fill="F3F6F9"/>
          </w:tcPr>
          <w:p>
            <w:pPr>
              <w:spacing w:after="0" w:before="0"/>
            </w:pPr>
            <w:r/>
            <w:r>
              <w:rPr>
                <w:b w:val="0"/>
                <w:sz w:val="16"/>
              </w:rPr>
              <w:t>Ledgers, journals, reconciliations, trial balances, AP/AR, invoices and payments; budgets, forecasts, variance and reviews; Velcara revenue recognition, sales, prescriptions, market share and commercial reports by region/territory/representative/payer.</w:t>
            </w:r>
          </w:p>
        </w:tc>
      </w:tr>
      <w:tr>
        <w:tc>
          <w:tcPr>
            <w:tcW w:type="dxa" w:w="2592"/>
            <w:vAlign w:val="top"/>
            <w:tcMar>
              <w:top w:w="80" w:type="dxa"/>
              <w:start w:w="85" w:type="dxa"/>
              <w:bottom w:w="80" w:type="dxa"/>
              <w:end w:w="85" w:type="dxa"/>
            </w:tcMar>
          </w:tcPr>
          <w:p>
            <w:pPr>
              <w:spacing w:after="0" w:before="0"/>
            </w:pPr>
            <w:r/>
            <w:r>
              <w:rPr>
                <w:b w:val="0"/>
                <w:sz w:val="16"/>
              </w:rPr>
              <w:t>Marketing/promotion (28–30; ¶ 28)</w:t>
            </w:r>
          </w:p>
        </w:tc>
        <w:tc>
          <w:tcPr>
            <w:tcW w:type="dxa" w:w="8208"/>
            <w:vAlign w:val="top"/>
            <w:tcMar>
              <w:top w:w="80" w:type="dxa"/>
              <w:start w:w="85" w:type="dxa"/>
              <w:bottom w:w="80" w:type="dxa"/>
              <w:end w:w="85" w:type="dxa"/>
            </w:tcMar>
          </w:tcPr>
          <w:p>
            <w:pPr>
              <w:spacing w:after="0" w:before="0"/>
            </w:pPr>
            <w:r/>
            <w:r>
              <w:rPr>
                <w:b w:val="0"/>
                <w:sz w:val="16"/>
              </w:rPr>
              <w:t>Sales aids, detail pieces, reprints, monographs, branded/promotional items; PRC/MLR submissions, minutes, comments, approvals/rejections/withdrawals; digital content, websites, social, paid search/display, email campaigns and analytics.</w:t>
            </w:r>
          </w:p>
        </w:tc>
      </w:tr>
      <w:tr>
        <w:tc>
          <w:tcPr>
            <w:tcW w:type="dxa" w:w="2592"/>
            <w:vAlign w:val="top"/>
            <w:tcMar>
              <w:top w:w="80" w:type="dxa"/>
              <w:start w:w="85" w:type="dxa"/>
              <w:bottom w:w="80" w:type="dxa"/>
              <w:end w:w="85" w:type="dxa"/>
            </w:tcMar>
            <w:shd w:fill="F3F6F9"/>
          </w:tcPr>
          <w:p>
            <w:pPr>
              <w:spacing w:after="0" w:before="0"/>
            </w:pPr>
            <w:r/>
            <w:r>
              <w:rPr>
                <w:b w:val="0"/>
                <w:sz w:val="16"/>
              </w:rPr>
              <w:t>Government inquiry / counsel (31–32; ¶ 29)</w:t>
            </w:r>
          </w:p>
        </w:tc>
        <w:tc>
          <w:tcPr>
            <w:tcW w:type="dxa" w:w="8208"/>
            <w:vAlign w:val="top"/>
            <w:tcMar>
              <w:top w:w="80" w:type="dxa"/>
              <w:start w:w="85" w:type="dxa"/>
              <w:bottom w:w="80" w:type="dxa"/>
              <w:end w:w="85" w:type="dxa"/>
            </w:tcMar>
            <w:shd w:fill="F3F6F9"/>
          </w:tcPr>
          <w:p>
            <w:pPr>
              <w:spacing w:after="0" w:before="0"/>
            </w:pPr>
            <w:r/>
            <w:r>
              <w:rPr>
                <w:b w:val="0"/>
                <w:sz w:val="16"/>
              </w:rPr>
              <w:t>Internal/external government inquiry, audit, inspection, subpoena, CID or enforcement communications involving Ridgeline, Velcara, KOL or RPAF; outside/regulatory counsel, government affairs and lobbyist communications, including Linden &amp; Pruitt.</w:t>
            </w:r>
          </w:p>
        </w:tc>
      </w:tr>
      <w:tr>
        <w:tc>
          <w:tcPr>
            <w:tcW w:type="dxa" w:w="2592"/>
            <w:vAlign w:val="top"/>
            <w:tcMar>
              <w:top w:w="80" w:type="dxa"/>
              <w:start w:w="85" w:type="dxa"/>
              <w:bottom w:w="80" w:type="dxa"/>
              <w:end w:w="85" w:type="dxa"/>
            </w:tcMar>
          </w:tcPr>
          <w:p>
            <w:pPr>
              <w:spacing w:after="0" w:before="0"/>
            </w:pPr>
            <w:r/>
            <w:r>
              <w:rPr>
                <w:b w:val="0"/>
                <w:sz w:val="16"/>
              </w:rPr>
              <w:t>Systems and infrastructure (33–34; ¶ 30)</w:t>
            </w:r>
          </w:p>
        </w:tc>
        <w:tc>
          <w:tcPr>
            <w:tcW w:type="dxa" w:w="8208"/>
            <w:vAlign w:val="top"/>
            <w:tcMar>
              <w:top w:w="80" w:type="dxa"/>
              <w:start w:w="85" w:type="dxa"/>
              <w:bottom w:w="80" w:type="dxa"/>
              <w:end w:w="85" w:type="dxa"/>
            </w:tcMar>
          </w:tcPr>
          <w:p>
            <w:pPr>
              <w:spacing w:after="0" w:before="0"/>
            </w:pPr>
            <w:r/>
            <w:r>
              <w:rPr>
                <w:b w:val="0"/>
                <w:sz w:val="16"/>
              </w:rPr>
              <w:t>Architecture, network/data flow, dictionaries, ER diagrams, access controls/admin logs; retention/purge/configuration records; data migrations/upgrades/platform changes/decommissioning; data loss, corruption, breach and failure documentation.</w:t>
            </w:r>
          </w:p>
        </w:tc>
      </w:tr>
      <w:tr>
        <w:tc>
          <w:tcPr>
            <w:tcW w:type="dxa" w:w="2592"/>
            <w:vAlign w:val="top"/>
            <w:tcMar>
              <w:top w:w="80" w:type="dxa"/>
              <w:start w:w="85" w:type="dxa"/>
              <w:bottom w:w="80" w:type="dxa"/>
              <w:end w:w="85" w:type="dxa"/>
            </w:tcMar>
            <w:shd w:fill="F3F6F9"/>
          </w:tcPr>
          <w:p>
            <w:pPr>
              <w:spacing w:after="0" w:before="0"/>
            </w:pPr>
            <w:r/>
            <w:r>
              <w:rPr>
                <w:b w:val="0"/>
                <w:sz w:val="16"/>
              </w:rPr>
              <w:t>Related compounds / later-created information (¶¶ 31–32)</w:t>
            </w:r>
          </w:p>
        </w:tc>
        <w:tc>
          <w:tcPr>
            <w:tcW w:type="dxa" w:w="8208"/>
            <w:vAlign w:val="top"/>
            <w:tcMar>
              <w:top w:w="80" w:type="dxa"/>
              <w:start w:w="85" w:type="dxa"/>
              <w:bottom w:w="80" w:type="dxa"/>
              <w:end w:w="85" w:type="dxa"/>
            </w:tcMar>
            <w:shd w:fill="F3F6F9"/>
          </w:tcPr>
          <w:p>
            <w:pPr>
              <w:spacing w:after="0" w:before="0"/>
            </w:pPr>
            <w:r/>
            <w:r>
              <w:rPr>
                <w:b w:val="0"/>
                <w:sz w:val="16"/>
              </w:rPr>
              <w:t>Information about ridgenostat and related compounds to the extent it also relates to the investigation; responsive information created, received or generated after March 3, 2025.</w:t>
            </w:r>
          </w:p>
        </w:tc>
      </w:tr>
    </w:tbl>
    <w:p>
      <w:pPr>
        <w:widowControl/>
        <w:spacing w:after="20"/>
      </w:pPr>
    </w:p>
    <w:p>
      <w:pPr>
        <w:pStyle w:val="Heading2"/>
        <w:keepNext/>
        <w:widowControl/>
        <w:spacing w:before="160" w:after="100"/>
      </w:pPr>
      <w:r>
        <w:rPr>
          <w:rFonts w:ascii="Aptos" w:hAnsi="Aptos"/>
        </w:rPr>
        <w:t>3.3 Time periods</w:t>
      </w:r>
    </w:p>
    <w:p>
      <w:pPr>
        <w:pStyle w:val="ListBullet"/>
        <w:widowControl/>
        <w:spacing w:after="60" w:line="247" w:lineRule="auto"/>
      </w:pPr>
      <w:r>
        <w:rPr>
          <w:rFonts w:ascii="Aptos" w:hAnsi="Aptos"/>
        </w:rPr>
        <w:t>General Relevant Period: January 1, 2019 through March 3, 2025, and continuing thereafter for newly created/received responsive information. (Notice ¶ 12, Exhibit A, ¶ 32.)</w:t>
      </w:r>
    </w:p>
    <w:p>
      <w:pPr>
        <w:pStyle w:val="ListBullet"/>
        <w:widowControl/>
        <w:spacing w:after="60" w:line="247" w:lineRule="auto"/>
      </w:pPr>
      <w:r>
        <w:rPr>
          <w:rFonts w:ascii="Aptos" w:hAnsi="Aptos"/>
        </w:rPr>
        <w:t>Extended financial period: January 1, 2017 to present for KOL, RPAF, and Velcara financial records, accounting entries, general ledger data, budgets, and payment records in Categories 24–27; preserve earlier-period archives and backups with the same rigor. (Notice ¶ 47.)</w:t>
      </w:r>
    </w:p>
    <w:p>
      <w:pPr>
        <w:pStyle w:val="ListBullet"/>
        <w:widowControl/>
        <w:spacing w:after="60" w:line="247" w:lineRule="auto"/>
      </w:pPr>
      <w:r>
        <w:rPr>
          <w:rFonts w:ascii="Aptos" w:hAnsi="Aptos"/>
        </w:rPr>
        <w:t>Separate technical instruction: all backup tapes/images/archives containing data from January 1, 2019–March 3, 2025, and the currently described 90-day rotation, must be preserved; the financial extension independently makes relevant 2017–2018 financial data in scope. (Notice ¶¶ 41, 47.)</w:t>
      </w:r>
    </w:p>
    <w:p>
      <w:pPr>
        <w:pStyle w:val="Heading1"/>
        <w:keepNext/>
        <w:widowControl/>
        <w:spacing w:before="240" w:after="100"/>
      </w:pPr>
      <w:r>
        <w:rPr>
          <w:rFonts w:ascii="Aptos" w:hAnsi="Aptos"/>
        </w:rPr>
        <w:t>4. Technology, physical records, and preservation standard</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vAlign w:val="top"/>
            <w:shd w:fill="1F4E78"/>
            <w:tcMar>
              <w:top w:w="80" w:type="dxa"/>
              <w:start w:w="85" w:type="dxa"/>
              <w:bottom w:w="80" w:type="dxa"/>
              <w:end w:w="85" w:type="dxa"/>
            </w:tcMar>
          </w:tcPr>
          <w:p>
            <w:pPr>
              <w:spacing w:after="0" w:before="0"/>
            </w:pPr>
            <w:r/>
            <w:r>
              <w:rPr>
                <w:b/>
                <w:color w:val="FFFFFF"/>
                <w:sz w:val="17"/>
              </w:rPr>
              <w:t>Source / system</w:t>
            </w:r>
          </w:p>
        </w:tc>
        <w:tc>
          <w:tcPr>
            <w:tcW w:type="dxa" w:w="8568"/>
            <w:vAlign w:val="top"/>
            <w:shd w:fill="1F4E78"/>
            <w:tcMar>
              <w:top w:w="80" w:type="dxa"/>
              <w:start w:w="85" w:type="dxa"/>
              <w:bottom w:w="80" w:type="dxa"/>
              <w:end w:w="85" w:type="dxa"/>
            </w:tcMar>
          </w:tcPr>
          <w:p>
            <w:pPr>
              <w:spacing w:after="0" w:before="0"/>
            </w:pPr>
            <w:r/>
            <w:r>
              <w:rPr>
                <w:b/>
                <w:color w:val="FFFFFF"/>
                <w:sz w:val="17"/>
              </w:rPr>
              <w:t>Minimum preservation instruction</w:t>
            </w:r>
          </w:p>
        </w:tc>
      </w:tr>
      <w:tr>
        <w:tc>
          <w:tcPr>
            <w:tcW w:type="dxa" w:w="2232"/>
            <w:vAlign w:val="top"/>
            <w:tcMar>
              <w:top w:w="80" w:type="dxa"/>
              <w:start w:w="85" w:type="dxa"/>
              <w:bottom w:w="80" w:type="dxa"/>
              <w:end w:w="85" w:type="dxa"/>
            </w:tcMar>
            <w:shd w:fill="F3F6F9"/>
          </w:tcPr>
          <w:p>
            <w:pPr>
              <w:spacing w:after="0" w:before="0"/>
            </w:pPr>
            <w:r/>
            <w:r>
              <w:rPr>
                <w:b w:val="0"/>
                <w:sz w:val="16"/>
              </w:rPr>
              <w:t>Native files / metadata</w:t>
            </w:r>
          </w:p>
        </w:tc>
        <w:tc>
          <w:tcPr>
            <w:tcW w:type="dxa" w:w="8568"/>
            <w:vAlign w:val="top"/>
            <w:tcMar>
              <w:top w:w="80" w:type="dxa"/>
              <w:start w:w="85" w:type="dxa"/>
              <w:bottom w:w="80" w:type="dxa"/>
              <w:end w:w="85" w:type="dxa"/>
            </w:tcMar>
            <w:shd w:fill="F3F6F9"/>
          </w:tcPr>
          <w:p>
            <w:pPr>
              <w:spacing w:after="0" w:before="0"/>
            </w:pPr>
            <w:r/>
            <w:r>
              <w:rPr>
                <w:b w:val="0"/>
                <w:sz w:val="16"/>
              </w:rPr>
              <w:t>Preserve ESI in native format with metadata intact; preserve all versions and locations. No printing, PDF conversion, flat-file/CSV export, or screenshot as a substitute; avoid actions that change metadata. (¶ 35.)</w:t>
            </w:r>
          </w:p>
        </w:tc>
      </w:tr>
      <w:tr>
        <w:tc>
          <w:tcPr>
            <w:tcW w:type="dxa" w:w="2232"/>
            <w:vAlign w:val="top"/>
            <w:tcMar>
              <w:top w:w="80" w:type="dxa"/>
              <w:start w:w="85" w:type="dxa"/>
              <w:bottom w:w="80" w:type="dxa"/>
              <w:end w:w="85" w:type="dxa"/>
            </w:tcMar>
          </w:tcPr>
          <w:p>
            <w:pPr>
              <w:spacing w:after="0" w:before="0"/>
            </w:pPr>
            <w:r/>
            <w:r>
              <w:rPr>
                <w:b w:val="0"/>
                <w:sz w:val="16"/>
              </w:rPr>
              <w:t>Email</w:t>
            </w:r>
          </w:p>
        </w:tc>
        <w:tc>
          <w:tcPr>
            <w:tcW w:type="dxa" w:w="8568"/>
            <w:vAlign w:val="top"/>
            <w:tcMar>
              <w:top w:w="80" w:type="dxa"/>
              <w:start w:w="85" w:type="dxa"/>
              <w:bottom w:w="80" w:type="dxa"/>
              <w:end w:w="85" w:type="dxa"/>
            </w:tcMar>
          </w:tcPr>
          <w:p>
            <w:pPr>
              <w:spacing w:after="0" w:before="0"/>
            </w:pPr>
            <w:r/>
            <w:r>
              <w:rPr>
                <w:b w:val="0"/>
                <w:sz w:val="16"/>
              </w:rPr>
              <w:t>All sent, received, draft, deleted and archived email for every named custodian, on M365/Exchange or any platform used during the Relevant Period; preserve deleted/recoverable folders, archive and journal mailboxes, and relevant personal email. (¶ 36.)</w:t>
            </w:r>
          </w:p>
        </w:tc>
      </w:tr>
      <w:tr>
        <w:tc>
          <w:tcPr>
            <w:tcW w:type="dxa" w:w="2232"/>
            <w:vAlign w:val="top"/>
            <w:tcMar>
              <w:top w:w="80" w:type="dxa"/>
              <w:start w:w="85" w:type="dxa"/>
              <w:bottom w:w="80" w:type="dxa"/>
              <w:end w:w="85" w:type="dxa"/>
            </w:tcMar>
            <w:shd w:fill="F3F6F9"/>
          </w:tcPr>
          <w:p>
            <w:pPr>
              <w:spacing w:after="0" w:before="0"/>
            </w:pPr>
            <w:r/>
            <w:r>
              <w:rPr>
                <w:b w:val="0"/>
                <w:sz w:val="16"/>
              </w:rPr>
              <w:t>Slack / Teams / messaging</w:t>
            </w:r>
          </w:p>
        </w:tc>
        <w:tc>
          <w:tcPr>
            <w:tcW w:type="dxa" w:w="8568"/>
            <w:vAlign w:val="top"/>
            <w:tcMar>
              <w:top w:w="80" w:type="dxa"/>
              <w:start w:w="85" w:type="dxa"/>
              <w:bottom w:w="80" w:type="dxa"/>
              <w:end w:w="85" w:type="dxa"/>
            </w:tcMar>
            <w:shd w:fill="F3F6F9"/>
          </w:tcPr>
          <w:p>
            <w:pPr>
              <w:spacing w:after="0" w:before="0"/>
            </w:pPr>
            <w:r/>
            <w:r>
              <w:rPr>
                <w:b w:val="0"/>
                <w:sz w:val="16"/>
              </w:rPr>
              <w:t>All channels, DMs, group messages, threads, chats, meeting chats/recordings and other collaboration/messaging data. Set retention to indefinite; suspend auto-delete and purging. (¶ 37.)</w:t>
            </w:r>
          </w:p>
        </w:tc>
      </w:tr>
      <w:tr>
        <w:tc>
          <w:tcPr>
            <w:tcW w:type="dxa" w:w="2232"/>
            <w:vAlign w:val="top"/>
            <w:tcMar>
              <w:top w:w="80" w:type="dxa"/>
              <w:start w:w="85" w:type="dxa"/>
              <w:bottom w:w="80" w:type="dxa"/>
              <w:end w:w="85" w:type="dxa"/>
            </w:tcMar>
          </w:tcPr>
          <w:p>
            <w:pPr>
              <w:spacing w:after="0" w:before="0"/>
            </w:pPr>
            <w:r/>
            <w:r>
              <w:rPr>
                <w:b w:val="0"/>
                <w:sz w:val="16"/>
              </w:rPr>
              <w:t>Enterprise applications</w:t>
            </w:r>
          </w:p>
        </w:tc>
        <w:tc>
          <w:tcPr>
            <w:tcW w:type="dxa" w:w="8568"/>
            <w:vAlign w:val="top"/>
            <w:tcMar>
              <w:top w:w="80" w:type="dxa"/>
              <w:start w:w="85" w:type="dxa"/>
              <w:bottom w:w="80" w:type="dxa"/>
              <w:end w:w="85" w:type="dxa"/>
            </w:tcMar>
          </w:tcPr>
          <w:p>
            <w:pPr>
              <w:spacing w:after="0" w:before="0"/>
            </w:pPr>
            <w:r/>
            <w:r>
              <w:rPr>
                <w:b w:val="0"/>
                <w:sz w:val="16"/>
              </w:rPr>
              <w:t>Relevant Salesforce CRM; Veeva Vault/Veeva CRM content, metadata, workflows, call/sample/medical inquiry records; SAP ERP financial/procurement/sales/distribution; Concur expense reports, receipts and approvals. Ensure no deletion, archiving, or inaccessibility. (¶ 38.)</w:t>
            </w:r>
          </w:p>
        </w:tc>
      </w:tr>
      <w:tr>
        <w:tc>
          <w:tcPr>
            <w:tcW w:type="dxa" w:w="2232"/>
            <w:vAlign w:val="top"/>
            <w:tcMar>
              <w:top w:w="80" w:type="dxa"/>
              <w:start w:w="85" w:type="dxa"/>
              <w:bottom w:w="80" w:type="dxa"/>
              <w:end w:w="85" w:type="dxa"/>
            </w:tcMar>
            <w:shd w:fill="F3F6F9"/>
          </w:tcPr>
          <w:p>
            <w:pPr>
              <w:spacing w:after="0" w:before="0"/>
            </w:pPr>
            <w:r/>
            <w:r>
              <w:rPr>
                <w:b w:val="0"/>
                <w:sz w:val="16"/>
              </w:rPr>
              <w:t>Cloud files</w:t>
            </w:r>
          </w:p>
        </w:tc>
        <w:tc>
          <w:tcPr>
            <w:tcW w:type="dxa" w:w="8568"/>
            <w:vAlign w:val="top"/>
            <w:tcMar>
              <w:top w:w="80" w:type="dxa"/>
              <w:start w:w="85" w:type="dxa"/>
              <w:bottom w:w="80" w:type="dxa"/>
              <w:end w:w="85" w:type="dxa"/>
            </w:tcMar>
            <w:shd w:fill="F3F6F9"/>
          </w:tcPr>
          <w:p>
            <w:pPr>
              <w:spacing w:after="0" w:before="0"/>
            </w:pPr>
            <w:r/>
            <w:r>
              <w:rPr>
                <w:b w:val="0"/>
                <w:sz w:val="16"/>
              </w:rPr>
              <w:t>SharePoint, OneDrive, and other cloud repositories; preserve full version histories; suspend version purging, limits/cleanup and disposition rules that may remove responsive content. (¶ 39.)</w:t>
            </w:r>
          </w:p>
        </w:tc>
      </w:tr>
      <w:tr>
        <w:tc>
          <w:tcPr>
            <w:tcW w:type="dxa" w:w="2232"/>
            <w:vAlign w:val="top"/>
            <w:tcMar>
              <w:top w:w="80" w:type="dxa"/>
              <w:start w:w="85" w:type="dxa"/>
              <w:bottom w:w="80" w:type="dxa"/>
              <w:end w:w="85" w:type="dxa"/>
            </w:tcMar>
          </w:tcPr>
          <w:p>
            <w:pPr>
              <w:spacing w:after="0" w:before="0"/>
            </w:pPr>
            <w:r/>
            <w:r>
              <w:rPr>
                <w:b w:val="0"/>
                <w:sz w:val="16"/>
              </w:rPr>
              <w:t>Mobile devices</w:t>
            </w:r>
          </w:p>
        </w:tc>
        <w:tc>
          <w:tcPr>
            <w:tcW w:type="dxa" w:w="8568"/>
            <w:vAlign w:val="top"/>
            <w:tcMar>
              <w:top w:w="80" w:type="dxa"/>
              <w:start w:w="85" w:type="dxa"/>
              <w:bottom w:w="80" w:type="dxa"/>
              <w:end w:w="85" w:type="dxa"/>
            </w:tcMar>
          </w:tcPr>
          <w:p>
            <w:pPr>
              <w:spacing w:after="0" w:before="0"/>
            </w:pPr>
            <w:r/>
            <w:r>
              <w:rPr>
                <w:b w:val="0"/>
                <w:sz w:val="16"/>
              </w:rPr>
              <w:t>For all 23 named custodians, personal and corporate mobile devices within the notice’s scope: complete bit-for-bit image, including deleted and application data, call/text/app data, photos/videos/location/browser history; logical extraction alone is insufficient. Qualified examiner/tools and per-device custody log required. (¶¶ 17, 40.)</w:t>
            </w:r>
          </w:p>
        </w:tc>
      </w:tr>
      <w:tr>
        <w:tc>
          <w:tcPr>
            <w:tcW w:type="dxa" w:w="2232"/>
            <w:vAlign w:val="top"/>
            <w:tcMar>
              <w:top w:w="80" w:type="dxa"/>
              <w:start w:w="85" w:type="dxa"/>
              <w:bottom w:w="80" w:type="dxa"/>
              <w:end w:w="85" w:type="dxa"/>
            </w:tcMar>
            <w:shd w:fill="F3F6F9"/>
          </w:tcPr>
          <w:p>
            <w:pPr>
              <w:spacing w:after="0" w:before="0"/>
            </w:pPr>
            <w:r/>
            <w:r>
              <w:rPr>
                <w:b w:val="0"/>
                <w:sz w:val="16"/>
              </w:rPr>
              <w:t>Backups</w:t>
            </w:r>
          </w:p>
        </w:tc>
        <w:tc>
          <w:tcPr>
            <w:tcW w:type="dxa" w:w="8568"/>
            <w:vAlign w:val="top"/>
            <w:tcMar>
              <w:top w:w="80" w:type="dxa"/>
              <w:start w:w="85" w:type="dxa"/>
              <w:bottom w:w="80" w:type="dxa"/>
              <w:end w:w="85" w:type="dxa"/>
            </w:tcMar>
            <w:shd w:fill="F3F6F9"/>
          </w:tcPr>
          <w:p>
            <w:pPr>
              <w:spacing w:after="0" w:before="0"/>
            </w:pPr>
            <w:r/>
            <w:r>
              <w:rPr>
                <w:b w:val="0"/>
                <w:sz w:val="16"/>
              </w:rPr>
              <w:t>Preserve backup tapes, images and archives for the stated period; immediately stop 90-day recycling, overwrite, degaussing or other disposal, including media at Sentinel or another vendor. (¶ 41.)</w:t>
            </w:r>
          </w:p>
        </w:tc>
      </w:tr>
      <w:tr>
        <w:tc>
          <w:tcPr>
            <w:tcW w:type="dxa" w:w="2232"/>
            <w:vAlign w:val="top"/>
            <w:tcMar>
              <w:top w:w="80" w:type="dxa"/>
              <w:start w:w="85" w:type="dxa"/>
              <w:bottom w:w="80" w:type="dxa"/>
              <w:end w:w="85" w:type="dxa"/>
            </w:tcMar>
          </w:tcPr>
          <w:p>
            <w:pPr>
              <w:spacing w:after="0" w:before="0"/>
            </w:pPr>
            <w:r/>
            <w:r>
              <w:rPr>
                <w:b w:val="0"/>
                <w:sz w:val="16"/>
              </w:rPr>
              <w:t>Legacy / decommissioned systems</w:t>
            </w:r>
          </w:p>
        </w:tc>
        <w:tc>
          <w:tcPr>
            <w:tcW w:type="dxa" w:w="8568"/>
            <w:vAlign w:val="top"/>
            <w:tcMar>
              <w:top w:w="80" w:type="dxa"/>
              <w:start w:w="85" w:type="dxa"/>
              <w:bottom w:w="80" w:type="dxa"/>
              <w:end w:w="85" w:type="dxa"/>
            </w:tcMar>
          </w:tcPr>
          <w:p>
            <w:pPr>
              <w:spacing w:after="0" w:before="0"/>
            </w:pPr>
            <w:r/>
            <w:r>
              <w:rPr>
                <w:b w:val="0"/>
                <w:sz w:val="16"/>
              </w:rPr>
              <w:t>Preserve hardware in current physical condition; no sale, donation, recycling, repurposing, degaussing, destruction or other disposal without DOJ’s prior written authorization. Maintain storage contract; notify facility in writing. Keep retired systems/data accessible for future extraction. (¶ 42.)</w:t>
            </w:r>
          </w:p>
        </w:tc>
      </w:tr>
      <w:tr>
        <w:tc>
          <w:tcPr>
            <w:tcW w:type="dxa" w:w="2232"/>
            <w:vAlign w:val="top"/>
            <w:tcMar>
              <w:top w:w="80" w:type="dxa"/>
              <w:start w:w="85" w:type="dxa"/>
              <w:bottom w:w="80" w:type="dxa"/>
              <w:end w:w="85" w:type="dxa"/>
            </w:tcMar>
            <w:shd w:fill="F3F6F9"/>
          </w:tcPr>
          <w:p>
            <w:pPr>
              <w:spacing w:after="0" w:before="0"/>
            </w:pPr>
            <w:r/>
            <w:r>
              <w:rPr>
                <w:b w:val="0"/>
                <w:sz w:val="16"/>
              </w:rPr>
              <w:t>Paper records</w:t>
            </w:r>
          </w:p>
        </w:tc>
        <w:tc>
          <w:tcPr>
            <w:tcW w:type="dxa" w:w="8568"/>
            <w:vAlign w:val="top"/>
            <w:tcMar>
              <w:top w:w="80" w:type="dxa"/>
              <w:start w:w="85" w:type="dxa"/>
              <w:bottom w:w="80" w:type="dxa"/>
              <w:end w:w="85" w:type="dxa"/>
            </w:tcMar>
            <w:shd w:fill="F3F6F9"/>
          </w:tcPr>
          <w:p>
            <w:pPr>
              <w:spacing w:after="0" w:before="0"/>
            </w:pPr>
            <w:r/>
            <w:r>
              <w:rPr>
                <w:b w:val="0"/>
                <w:sz w:val="16"/>
              </w:rPr>
              <w:t>Physically secure and restrict access at custodian work areas, Durham and Atlanta locations, central filing, and offsite storage; inventory offsite paper and direct operators to preserve. Legitimate use only with safeguards/return. (¶ 44.)</w:t>
            </w:r>
          </w:p>
        </w:tc>
      </w:tr>
      <w:tr>
        <w:tc>
          <w:tcPr>
            <w:tcW w:type="dxa" w:w="2232"/>
            <w:vAlign w:val="top"/>
            <w:tcMar>
              <w:top w:w="80" w:type="dxa"/>
              <w:start w:w="85" w:type="dxa"/>
              <w:bottom w:w="80" w:type="dxa"/>
              <w:end w:w="85" w:type="dxa"/>
            </w:tcMar>
          </w:tcPr>
          <w:p>
            <w:pPr>
              <w:spacing w:after="0" w:before="0"/>
            </w:pPr>
            <w:r/>
            <w:r>
              <w:rPr>
                <w:b w:val="0"/>
                <w:sz w:val="16"/>
              </w:rPr>
              <w:t>Vendors</w:t>
            </w:r>
          </w:p>
        </w:tc>
        <w:tc>
          <w:tcPr>
            <w:tcW w:type="dxa" w:w="8568"/>
            <w:vAlign w:val="top"/>
            <w:tcMar>
              <w:top w:w="80" w:type="dxa"/>
              <w:start w:w="85" w:type="dxa"/>
              <w:bottom w:w="80" w:type="dxa"/>
              <w:end w:w="85" w:type="dxa"/>
            </w:tcMar>
          </w:tcPr>
          <w:p>
            <w:pPr>
              <w:spacing w:after="0" w:before="0"/>
            </w:pPr>
            <w:r/>
            <w:r>
              <w:rPr>
                <w:b w:val="0"/>
                <w:sz w:val="16"/>
              </w:rPr>
              <w:t>By March 13 send written hold notices to all relevant hosts/processors, not only the examples; require suspension of deletion/purge/disposal and preservation in current state; obtain written vendor confirmation. (¶ 43.)</w:t>
            </w:r>
          </w:p>
        </w:tc>
      </w:tr>
    </w:tbl>
    <w:p>
      <w:pPr>
        <w:widowControl/>
        <w:spacing w:after="20"/>
      </w:pPr>
    </w:p>
    <w:p>
      <w:pPr>
        <w:pStyle w:val="Heading1"/>
        <w:keepNext/>
        <w:widowControl/>
        <w:spacing w:before="240" w:after="100"/>
      </w:pPr>
      <w:r>
        <w:rPr>
          <w:rFonts w:ascii="Aptos" w:hAnsi="Aptos"/>
        </w:rPr>
        <w:t>5. Internal records reveal immediate preservation issues</w:t>
      </w:r>
    </w:p>
    <w:p>
      <w:pPr>
        <w:pStyle w:val="Heading2"/>
        <w:keepNext/>
        <w:widowControl/>
        <w:spacing w:before="160" w:after="100"/>
      </w:pPr>
      <w:r>
        <w:rPr>
          <w:rFonts w:ascii="Aptos" w:hAnsi="Aptos"/>
        </w:rPr>
        <w:t>5.1 Exchange-to-Microsoft 365 migration gap</w:t>
      </w:r>
    </w:p>
    <w:p>
      <w:pPr>
        <w:widowControl/>
        <w:spacing w:after="100" w:line="254" w:lineRule="auto"/>
      </w:pPr>
      <w:r>
        <w:rPr>
          <w:rFonts w:ascii="Aptos" w:hAnsi="Aptos"/>
        </w:rPr>
        <w:t>Dennis Wardlow’s March 5 email reports a September 2021 migration from on-premises Exchange Server 2016 to M365, conducted in waves from August 23 to October 1, 2021. Ashford Data Solutions’ tool reportedly skipped archive mailboxes and certain PST stores for about 2,100 employees. The missing data is estimated at approximately 340,000 emails from January 2019 through September 2021 and exists only on six decommissioned Dell PowerEdge servers at Sentinel Records Management (Raleigh; Account SM-2247891). The servers have reportedly remained powered off in climate-controlled storage since December 2021, but have not been integrity-checked; hardware degradation is possible. The affected emails are commingled with other employees’ data.</w:t>
      </w:r>
    </w:p>
    <w:p>
      <w:pPr>
        <w:pStyle w:val="ListBullet"/>
        <w:widowControl/>
        <w:spacing w:after="60" w:line="247" w:lineRule="auto"/>
      </w:pPr>
      <w:r>
        <w:rPr>
          <w:rFonts w:ascii="Aptos" w:hAnsi="Aptos"/>
        </w:rPr>
        <w:t>IT estimates 47,000–52,000 missing emails for eight migration-affected individuals it says match the 23-custodian list: Franklin Osei, Greg Hsu, Amanda Terrell, Richard Blaine, Katerina Novak, Luis Delgado, Jennifer Calloway, and David Yun. The first six match ¶ 13. Calloway and Yun do not appear in Exhibit C; verify whether they are alternate names, former employees, notice omissions, or a mismatch in the IT crosswalk. Do not silently substitute them for listed custodians.</w:t>
      </w:r>
    </w:p>
    <w:p>
      <w:pPr>
        <w:pStyle w:val="ListBullet"/>
        <w:widowControl/>
        <w:spacing w:after="60" w:line="247" w:lineRule="auto"/>
      </w:pPr>
      <w:r>
        <w:rPr>
          <w:rFonts w:ascii="Aptos" w:hAnsi="Aptos"/>
        </w:rPr>
        <w:t>M365 holds can reportedly be applied to all 23 named custodians within 24–48 hours after legal authorization and capture current/deleted M365 data from October 2021 forward. This does not close the pre-migration gap. Place M365/Teams/SharePoint/OneDrive holds immediately; separately preserve, assess, image and recover legacy servers and identify other affected custodians/systems.</w:t>
      </w:r>
    </w:p>
    <w:p>
      <w:pPr>
        <w:pStyle w:val="ListBullet"/>
        <w:widowControl/>
        <w:spacing w:after="60" w:line="247" w:lineRule="auto"/>
      </w:pPr>
      <w:r>
        <w:rPr>
          <w:rFonts w:ascii="Aptos" w:hAnsi="Aptos"/>
        </w:rPr>
        <w:t>IT is uncertain whether pre-December 2021 legacy backup tapes survived or were recycled. Investigate promptly with Sentinel, IT inventories, invoices, destruction logs and backup catalogs; preserve any surviving tapes. Treat server disks as potentially the only surviving source unless proved otherwise.</w:t>
      </w:r>
    </w:p>
    <w:p>
      <w:pPr>
        <w:pStyle w:val="ListBullet"/>
        <w:widowControl/>
        <w:spacing w:after="60" w:line="247" w:lineRule="auto"/>
      </w:pPr>
      <w:r>
        <w:rPr>
          <w:rFonts w:ascii="Aptos" w:hAnsi="Aptos"/>
        </w:rPr>
        <w:t>Preserve Ashford contract, mapping/validation records, incident report, remediation plan/estimate, internal escalation and budget decisions, affected-employee crosswalk, Sentinel storage/inventory records, and all migration / system documentation. These are expressly within Notice ¶¶ 30, 34, 42 and 43 and may illuminate source completeness.</w:t>
      </w:r>
    </w:p>
    <w:p>
      <w:pPr>
        <w:pStyle w:val="Heading2"/>
        <w:keepNext/>
        <w:widowControl/>
        <w:spacing w:before="160" w:after="100"/>
      </w:pPr>
      <w:r>
        <w:rPr>
          <w:rFonts w:ascii="Aptos" w:hAnsi="Aptos"/>
        </w:rPr>
        <w:t>5.2 January 15, 2025 destruction</w:t>
      </w:r>
    </w:p>
    <w:p>
      <w:pPr>
        <w:widowControl/>
        <w:spacing w:after="100" w:line="254" w:lineRule="auto"/>
      </w:pPr>
      <w:r>
        <w:rPr>
          <w:rFonts w:ascii="Aptos" w:hAnsi="Aptos"/>
        </w:rPr>
        <w:t>Patricia Albright’s January 16 email reports a January 15 destruction cycle, after a January 13 Hold Register check found no active hold, and gives approximate totals of 4.2 million records dated 2019–2021 (with the sales tranche through 2022). It reports permanent deletion from primary systems, destruction of on-site paper, and destruction by Sentinel of 47 boxes of 2019–2020 paper (Certificate SM-CERT-2025-00412). The represented categories are: 2.1 million routine emails/attachments; 1.4 million CRM/field activity records; 380,000 KOL event files; and 320,000 RPAF routine correspondence records. The email says compensation records, HCP due diligence, patient enrollments, grant disbursements, and eligibility files were not destroyed.</w:t>
      </w:r>
    </w:p>
    <w:p>
      <w:pPr>
        <w:pStyle w:val="ListBullet"/>
        <w:widowControl/>
        <w:spacing w:after="60" w:line="247" w:lineRule="auto"/>
      </w:pPr>
      <w:r>
        <w:rPr>
          <w:rFonts w:ascii="Aptos" w:hAnsi="Aptos"/>
        </w:rPr>
        <w:t>Potential policy mismatch: the supplied RDG-LGL-007 schedule sets speaker program records (Category L) and Ridgeline-system patient assistance records (Category M) at six years; compliance records (K) at six years; general correspondence (E) at three years; sales field records (F) at two years. The destruction email assigns KOL event files a three-year period and RPAF routine correspondence a three-year period and cites policy sections/categories (e.g., §§ 4.8 and 5.3) that do not correspond to the supplied policy text. Reconcile against the controlling policy version and schedules, classification, destruction batch and authorizations; do not assume the reported categories were eligible under the provided policy.</w:t>
      </w:r>
    </w:p>
    <w:p>
      <w:pPr>
        <w:pStyle w:val="ListBullet"/>
        <w:widowControl/>
        <w:spacing w:after="60" w:line="247" w:lineRule="auto"/>
      </w:pPr>
      <w:r>
        <w:rPr>
          <w:rFonts w:ascii="Aptos" w:hAnsi="Aptos"/>
        </w:rPr>
        <w:t>Potential responsiveness: KOL event planning, attendance, venue, and post-event material and RPAF operational correspondence are squarely within the notice examples/categories. Velcara commercial field activity and relevant emails may also be responsive. The records were destroyed before the March 3 notice, but investigate any earlier actual or reasonably anticipated preservation trigger, what versions/copies remain, and whether deleted items, backups, archives, vendor copies, users’ devices, exports or paper duplicates are recoverable.</w:t>
      </w:r>
    </w:p>
    <w:p>
      <w:pPr>
        <w:pStyle w:val="ListBullet"/>
        <w:widowControl/>
        <w:spacing w:after="60" w:line="247" w:lineRule="auto"/>
      </w:pPr>
      <w:r>
        <w:rPr>
          <w:rFonts w:ascii="Aptos" w:hAnsi="Aptos"/>
        </w:rPr>
        <w:t>The destruction email says the destruction log spreadsheet was attached, but no spreadsheet was among the documents provided for review. Obtain the original attachment, complete batch-level destruction log, certificates, vendor work orders, categories/date ranges, list of system paths, deleted-object/recovery status, and pre-destruction approval and notice records. Preserve all documentation about the event and report it promptly to DOJ if counsel concludes it is a circumstance covered by ¶ 46.</w:t>
      </w:r>
    </w:p>
    <w:p>
      <w:pPr>
        <w:pStyle w:val="ListBullet"/>
        <w:widowControl/>
        <w:spacing w:after="60" w:line="247" w:lineRule="auto"/>
      </w:pPr>
      <w:r>
        <w:rPr>
          <w:rFonts w:ascii="Aptos" w:hAnsi="Aptos"/>
        </w:rPr>
        <w:t>No finding is made here about intent, knowledge, legal duty at the time, or whether every item in the described destruction was relevant. Preserve what remains, stop any further destruction, and document recovery efforts and decisions contemporaneously.</w:t>
      </w:r>
    </w:p>
    <w:p>
      <w:pPr>
        <w:pStyle w:val="Heading2"/>
        <w:keepNext/>
        <w:widowControl/>
        <w:spacing w:before="160" w:after="100"/>
      </w:pPr>
      <w:r>
        <w:rPr>
          <w:rFonts w:ascii="Aptos" w:hAnsi="Aptos"/>
        </w:rPr>
        <w:t>5.3 RPAF governance and control</w:t>
      </w:r>
    </w:p>
    <w:p>
      <w:pPr>
        <w:widowControl/>
        <w:spacing w:after="100" w:line="254" w:lineRule="auto"/>
      </w:pPr>
      <w:r>
        <w:rPr>
          <w:rFonts w:ascii="Aptos" w:hAnsi="Aptos"/>
        </w:rPr>
        <w:t>The notice expressly includes RPAF to the extent it possesses, controls, or has custody of responsive information (¶ 4). The March 5 organizational chart describes RPAF as a separate 501(c)(3) with an independent board, separate systems/records and retention practices; three of five directors are Ridgeline officers or designees, two are independent; Richard Blaine is a Ridgeline liaison but has no authority over RPAF records or operations. The internal chart says board approval may be needed for a direct RPAF preservation directive. Thus, preserve all Ridgeline copies and Blaine’s/other Ridgeline employees’ records immediately and, through counsel, promptly assess control and arrange a separate written hold directed to RPAF’s board/executive director if appropriate. Preserve records needed to evidence funding, board interactions, and Ridgeline–RPAF communications; do not treat legal separation as a reason to omit RPAF from the investigation response.</w:t>
      </w:r>
    </w:p>
    <w:p>
      <w:pPr>
        <w:pStyle w:val="Heading2"/>
        <w:keepNext/>
        <w:widowControl/>
        <w:spacing w:before="160" w:after="100"/>
      </w:pPr>
      <w:r>
        <w:rPr>
          <w:rFonts w:ascii="Aptos" w:hAnsi="Aptos"/>
        </w:rPr>
        <w:t>5.4 Privileged and former-counsel records</w:t>
      </w:r>
    </w:p>
    <w:p>
      <w:pPr>
        <w:widowControl/>
        <w:spacing w:after="100" w:line="254" w:lineRule="auto"/>
      </w:pPr>
      <w:r>
        <w:rPr>
          <w:rFonts w:ascii="Aptos" w:hAnsi="Aptos"/>
        </w:rPr>
        <w:t>The notice requires preservation regardless of privilege and does not itself require production of privileged material. If items are later withheld under compulsory process, the notice calls for a sufficiently detailed privilege log. The organizational chart identifies Hargrove, Tillett &amp; Mays LLP as current defense counsel, Greenwell Analytics Group as counsel-retained e-discovery/forensic vendor, and Linden &amp; Pruitt, P.A. as former regulatory counsel (approximately 2020–mid-2024) now conflicted out, with Dr. Osei as primary business contact. Preserve all potentially privileged files and metadata; segregate access and use an independent counsel-led privilege protocol. The chart’s “prepared at direction of counsel” label is a handling signal, not by itself a privilege determination. Do not ask conflicted former counsel to conduct the privilege review.</w:t>
      </w:r>
    </w:p>
    <w:p>
      <w:pPr>
        <w:pStyle w:val="Heading1"/>
        <w:keepNext/>
        <w:widowControl/>
        <w:spacing w:before="240" w:after="100"/>
      </w:pPr>
      <w:r>
        <w:rPr>
          <w:rFonts w:ascii="Aptos" w:hAnsi="Aptos"/>
        </w:rPr>
        <w:t>6. Responsibilities and execution plan</w:t>
      </w:r>
    </w:p>
    <w:p>
      <w:pPr>
        <w:widowControl/>
        <w:spacing w:after="100" w:line="254" w:lineRule="auto"/>
      </w:pPr>
      <w:r>
        <w:rPr>
          <w:rFonts w:ascii="Aptos" w:hAnsi="Aptos"/>
        </w:rPr>
        <w:t>The following assignments are suggested from the documents reviewed; the notice itself imposes the obligations on Ridgeline and does not allocate every task to a particular employee. General Counsel should designate one accountable preservation lead and maintain a status/exception register.</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592"/>
            <w:vAlign w:val="top"/>
            <w:shd w:fill="1F4E78"/>
            <w:tcMar>
              <w:top w:w="80" w:type="dxa"/>
              <w:start w:w="85" w:type="dxa"/>
              <w:bottom w:w="80" w:type="dxa"/>
              <w:end w:w="85" w:type="dxa"/>
            </w:tcMar>
          </w:tcPr>
          <w:p>
            <w:pPr>
              <w:spacing w:after="0" w:before="0"/>
            </w:pPr>
            <w:r/>
            <w:r>
              <w:rPr>
                <w:b/>
                <w:color w:val="FFFFFF"/>
                <w:sz w:val="17"/>
              </w:rPr>
              <w:t>Suggested owner</w:t>
            </w:r>
          </w:p>
        </w:tc>
        <w:tc>
          <w:tcPr>
            <w:tcW w:type="dxa" w:w="8208"/>
            <w:vAlign w:val="top"/>
            <w:shd w:fill="1F4E78"/>
            <w:tcMar>
              <w:top w:w="80" w:type="dxa"/>
              <w:start w:w="85" w:type="dxa"/>
              <w:bottom w:w="80" w:type="dxa"/>
              <w:end w:w="85" w:type="dxa"/>
            </w:tcMar>
          </w:tcPr>
          <w:p>
            <w:pPr>
              <w:spacing w:after="0" w:before="0"/>
            </w:pPr>
            <w:r/>
            <w:r>
              <w:rPr>
                <w:b/>
                <w:color w:val="FFFFFF"/>
                <w:sz w:val="17"/>
              </w:rPr>
              <w:t>Core actions</w:t>
            </w:r>
          </w:p>
        </w:tc>
      </w:tr>
      <w:tr>
        <w:tc>
          <w:tcPr>
            <w:tcW w:type="dxa" w:w="2592"/>
            <w:vAlign w:val="top"/>
            <w:tcMar>
              <w:top w:w="80" w:type="dxa"/>
              <w:start w:w="85" w:type="dxa"/>
              <w:bottom w:w="80" w:type="dxa"/>
              <w:end w:w="85" w:type="dxa"/>
            </w:tcMar>
            <w:shd w:fill="F3F6F9"/>
          </w:tcPr>
          <w:p>
            <w:pPr>
              <w:spacing w:after="0" w:before="0"/>
            </w:pPr>
            <w:r/>
            <w:r>
              <w:rPr>
                <w:b w:val="0"/>
                <w:sz w:val="16"/>
              </w:rPr>
              <w:t>Marcus Ellsworth / OGC</w:t>
            </w:r>
          </w:p>
        </w:tc>
        <w:tc>
          <w:tcPr>
            <w:tcW w:type="dxa" w:w="8208"/>
            <w:vAlign w:val="top"/>
            <w:tcMar>
              <w:top w:w="80" w:type="dxa"/>
              <w:start w:w="85" w:type="dxa"/>
              <w:bottom w:w="80" w:type="dxa"/>
              <w:end w:w="85" w:type="dxa"/>
            </w:tcMar>
            <w:shd w:fill="F3F6F9"/>
          </w:tcPr>
          <w:p>
            <w:pPr>
              <w:spacing w:after="0" w:before="0"/>
            </w:pPr>
            <w:r/>
            <w:r>
              <w:rPr>
                <w:b w:val="0"/>
                <w:sz w:val="16"/>
              </w:rPr>
              <w:t>Issue written company-wide hold; identify all custodians, including two role-based identities; send department/unit notices; oversee hold register and confirmation; preserve potentially privileged material; direct DOJ communication through Faulkner/Gutierrez; assess RPAF control and destruction event.</w:t>
            </w:r>
          </w:p>
        </w:tc>
      </w:tr>
      <w:tr>
        <w:tc>
          <w:tcPr>
            <w:tcW w:type="dxa" w:w="2592"/>
            <w:vAlign w:val="top"/>
            <w:tcMar>
              <w:top w:w="80" w:type="dxa"/>
              <w:start w:w="85" w:type="dxa"/>
              <w:bottom w:w="80" w:type="dxa"/>
              <w:end w:w="85" w:type="dxa"/>
            </w:tcMar>
          </w:tcPr>
          <w:p>
            <w:pPr>
              <w:spacing w:after="0" w:before="0"/>
            </w:pPr>
            <w:r/>
            <w:r>
              <w:rPr>
                <w:b w:val="0"/>
                <w:sz w:val="16"/>
              </w:rPr>
              <w:t>Diane Cho-Rosen / Compliance</w:t>
            </w:r>
          </w:p>
        </w:tc>
        <w:tc>
          <w:tcPr>
            <w:tcW w:type="dxa" w:w="8208"/>
            <w:vAlign w:val="top"/>
            <w:tcMar>
              <w:top w:w="80" w:type="dxa"/>
              <w:start w:w="85" w:type="dxa"/>
              <w:bottom w:w="80" w:type="dxa"/>
              <w:end w:w="85" w:type="dxa"/>
            </w:tcMar>
          </w:tcPr>
          <w:p>
            <w:pPr>
              <w:spacing w:after="0" w:before="0"/>
            </w:pPr>
            <w:r/>
            <w:r>
              <w:rPr>
                <w:b w:val="0"/>
                <w:sz w:val="16"/>
              </w:rPr>
              <w:t>Preserve IntegriCall hotline records and reports; compliance/audit and investigation material; validate affected departments and hold acknowledgments; coordinate preservation in Compliance function.</w:t>
            </w:r>
          </w:p>
        </w:tc>
      </w:tr>
      <w:tr>
        <w:tc>
          <w:tcPr>
            <w:tcW w:type="dxa" w:w="2592"/>
            <w:vAlign w:val="top"/>
            <w:tcMar>
              <w:top w:w="80" w:type="dxa"/>
              <w:start w:w="85" w:type="dxa"/>
              <w:bottom w:w="80" w:type="dxa"/>
              <w:end w:w="85" w:type="dxa"/>
            </w:tcMar>
            <w:shd w:fill="F3F6F9"/>
          </w:tcPr>
          <w:p>
            <w:pPr>
              <w:spacing w:after="0" w:before="0"/>
            </w:pPr>
            <w:r/>
            <w:r>
              <w:rPr>
                <w:b w:val="0"/>
                <w:sz w:val="16"/>
              </w:rPr>
              <w:t>Dennis Wardlow / IT</w:t>
            </w:r>
          </w:p>
        </w:tc>
        <w:tc>
          <w:tcPr>
            <w:tcW w:type="dxa" w:w="8208"/>
            <w:vAlign w:val="top"/>
            <w:tcMar>
              <w:top w:w="80" w:type="dxa"/>
              <w:start w:w="85" w:type="dxa"/>
              <w:bottom w:w="80" w:type="dxa"/>
              <w:end w:w="85" w:type="dxa"/>
            </w:tcMar>
            <w:shd w:fill="F3F6F9"/>
          </w:tcPr>
          <w:p>
            <w:pPr>
              <w:spacing w:after="0" w:before="0"/>
            </w:pPr>
            <w:r/>
            <w:r>
              <w:rPr>
                <w:b w:val="0"/>
                <w:sz w:val="16"/>
              </w:rPr>
              <w:t>Immediately implement M365, Slack, Teams, SharePoint/OneDrive, and enterprise-app holds and retention changes; stop deletion/backup recycling; preserve system configuration, migration and loss records; secure vendor confirmations; coordinate forensic collection.</w:t>
            </w:r>
          </w:p>
        </w:tc>
      </w:tr>
      <w:tr>
        <w:tc>
          <w:tcPr>
            <w:tcW w:type="dxa" w:w="2592"/>
            <w:vAlign w:val="top"/>
            <w:tcMar>
              <w:top w:w="80" w:type="dxa"/>
              <w:start w:w="85" w:type="dxa"/>
              <w:bottom w:w="80" w:type="dxa"/>
              <w:end w:w="85" w:type="dxa"/>
            </w:tcMar>
          </w:tcPr>
          <w:p>
            <w:pPr>
              <w:spacing w:after="0" w:before="0"/>
            </w:pPr>
            <w:r/>
            <w:r>
              <w:rPr>
                <w:b w:val="0"/>
                <w:sz w:val="16"/>
              </w:rPr>
              <w:t>Patricia Albright / Records Management</w:t>
            </w:r>
          </w:p>
        </w:tc>
        <w:tc>
          <w:tcPr>
            <w:tcW w:type="dxa" w:w="8208"/>
            <w:vAlign w:val="top"/>
            <w:tcMar>
              <w:top w:w="80" w:type="dxa"/>
              <w:start w:w="85" w:type="dxa"/>
              <w:bottom w:w="80" w:type="dxa"/>
              <w:end w:w="85" w:type="dxa"/>
            </w:tcMar>
          </w:tcPr>
          <w:p>
            <w:pPr>
              <w:spacing w:after="0" w:before="0"/>
            </w:pPr>
            <w:r/>
            <w:r>
              <w:rPr>
                <w:b w:val="0"/>
                <w:sz w:val="16"/>
              </w:rPr>
              <w:t>Stop Jan/Apr scheduled destruction activity for in-scope records; secure offsite paper and index; obtain Jan 15 batch/certificates/attachment; maintain chain-of-custody and preservation status records.</w:t>
            </w:r>
          </w:p>
        </w:tc>
      </w:tr>
      <w:tr>
        <w:tc>
          <w:tcPr>
            <w:tcW w:type="dxa" w:w="2592"/>
            <w:vAlign w:val="top"/>
            <w:tcMar>
              <w:top w:w="80" w:type="dxa"/>
              <w:start w:w="85" w:type="dxa"/>
              <w:bottom w:w="80" w:type="dxa"/>
              <w:end w:w="85" w:type="dxa"/>
            </w:tcMar>
            <w:shd w:fill="F3F6F9"/>
          </w:tcPr>
          <w:p>
            <w:pPr>
              <w:spacing w:after="0" w:before="0"/>
            </w:pPr>
            <w:r/>
            <w:r>
              <w:rPr>
                <w:b w:val="0"/>
                <w:sz w:val="16"/>
              </w:rPr>
              <w:t>Business leads / custodian managers</w:t>
            </w:r>
          </w:p>
        </w:tc>
        <w:tc>
          <w:tcPr>
            <w:tcW w:type="dxa" w:w="8208"/>
            <w:vAlign w:val="top"/>
            <w:tcMar>
              <w:top w:w="80" w:type="dxa"/>
              <w:start w:w="85" w:type="dxa"/>
              <w:bottom w:w="80" w:type="dxa"/>
              <w:end w:w="85" w:type="dxa"/>
            </w:tcMar>
            <w:shd w:fill="F3F6F9"/>
          </w:tcPr>
          <w:p>
            <w:pPr>
              <w:spacing w:after="0" w:before="0"/>
            </w:pPr>
            <w:r/>
            <w:r>
              <w:rPr>
                <w:b w:val="0"/>
                <w:sz w:val="16"/>
              </w:rPr>
              <w:t>Distribute and explain individual notices; identify repositories, local files, personal devices/accounts, external HCP contacts and paper; collect acknowledgment and report loss/holds concerns. Frequent contacts for Exhibit D HCPs need individual instructions.</w:t>
            </w:r>
          </w:p>
        </w:tc>
      </w:tr>
      <w:tr>
        <w:tc>
          <w:tcPr>
            <w:tcW w:type="dxa" w:w="2592"/>
            <w:vAlign w:val="top"/>
            <w:tcMar>
              <w:top w:w="80" w:type="dxa"/>
              <w:start w:w="85" w:type="dxa"/>
              <w:bottom w:w="80" w:type="dxa"/>
              <w:end w:w="85" w:type="dxa"/>
            </w:tcMar>
          </w:tcPr>
          <w:p>
            <w:pPr>
              <w:spacing w:after="0" w:before="0"/>
            </w:pPr>
            <w:r/>
            <w:r>
              <w:rPr>
                <w:b w:val="0"/>
                <w:sz w:val="16"/>
              </w:rPr>
              <w:t>Outside defense counsel / Greenwell</w:t>
            </w:r>
          </w:p>
        </w:tc>
        <w:tc>
          <w:tcPr>
            <w:tcW w:type="dxa" w:w="8208"/>
            <w:vAlign w:val="top"/>
            <w:tcMar>
              <w:top w:w="80" w:type="dxa"/>
              <w:start w:w="85" w:type="dxa"/>
              <w:bottom w:w="80" w:type="dxa"/>
              <w:end w:w="85" w:type="dxa"/>
            </w:tcMar>
          </w:tcPr>
          <w:p>
            <w:pPr>
              <w:spacing w:after="0" w:before="0"/>
            </w:pPr>
            <w:r/>
            <w:r>
              <w:rPr>
                <w:b w:val="0"/>
                <w:sz w:val="16"/>
              </w:rPr>
              <w:t>Set defensible forensic protocol; preserve native metadata; image legacy Exchange servers and mobile devices; chain of custody, source inventory and exception log; support privilege segregation and verification.</w:t>
            </w:r>
          </w:p>
        </w:tc>
      </w:tr>
      <w:tr>
        <w:tc>
          <w:tcPr>
            <w:tcW w:type="dxa" w:w="2592"/>
            <w:vAlign w:val="top"/>
            <w:tcMar>
              <w:top w:w="80" w:type="dxa"/>
              <w:start w:w="85" w:type="dxa"/>
              <w:bottom w:w="80" w:type="dxa"/>
              <w:end w:w="85" w:type="dxa"/>
            </w:tcMar>
            <w:shd w:fill="F3F6F9"/>
          </w:tcPr>
          <w:p>
            <w:pPr>
              <w:spacing w:after="0" w:before="0"/>
            </w:pPr>
            <w:r/>
            <w:r>
              <w:rPr>
                <w:b w:val="0"/>
                <w:sz w:val="16"/>
              </w:rPr>
              <w:t>RPAF board / executive director (through counsel)</w:t>
            </w:r>
          </w:p>
        </w:tc>
        <w:tc>
          <w:tcPr>
            <w:tcW w:type="dxa" w:w="8208"/>
            <w:vAlign w:val="top"/>
            <w:tcMar>
              <w:top w:w="80" w:type="dxa"/>
              <w:start w:w="85" w:type="dxa"/>
              <w:bottom w:w="80" w:type="dxa"/>
              <w:end w:w="85" w:type="dxa"/>
            </w:tcMar>
            <w:shd w:fill="F3F6F9"/>
          </w:tcPr>
          <w:p>
            <w:pPr>
              <w:spacing w:after="0" w:before="0"/>
            </w:pPr>
            <w:r/>
            <w:r>
              <w:rPr>
                <w:b w:val="0"/>
                <w:sz w:val="16"/>
              </w:rPr>
              <w:t>Assess separate entity’s own preservation action and data sources; preserve own records, systems, board and grant files and vendor sources to the extent responsive and applicable.</w:t>
            </w:r>
          </w:p>
        </w:tc>
      </w:tr>
      <w:tr>
        <w:tc>
          <w:tcPr>
            <w:tcW w:type="dxa" w:w="2592"/>
            <w:vAlign w:val="top"/>
            <w:tcMar>
              <w:top w:w="80" w:type="dxa"/>
              <w:start w:w="85" w:type="dxa"/>
              <w:bottom w:w="80" w:type="dxa"/>
              <w:end w:w="85" w:type="dxa"/>
            </w:tcMar>
          </w:tcPr>
          <w:p>
            <w:pPr>
              <w:spacing w:after="0" w:before="0"/>
            </w:pPr>
            <w:r/>
            <w:r>
              <w:rPr>
                <w:b w:val="0"/>
                <w:sz w:val="16"/>
              </w:rPr>
              <w:t>Vendor owners / OGC</w:t>
            </w:r>
          </w:p>
        </w:tc>
        <w:tc>
          <w:tcPr>
            <w:tcW w:type="dxa" w:w="8208"/>
            <w:vAlign w:val="top"/>
            <w:tcMar>
              <w:top w:w="80" w:type="dxa"/>
              <w:start w:w="85" w:type="dxa"/>
              <w:bottom w:w="80" w:type="dxa"/>
              <w:end w:w="85" w:type="dxa"/>
            </w:tcMar>
          </w:tcPr>
          <w:p>
            <w:pPr>
              <w:spacing w:after="0" w:before="0"/>
            </w:pPr>
            <w:r/>
            <w:r>
              <w:rPr>
                <w:b w:val="0"/>
                <w:sz w:val="16"/>
              </w:rPr>
              <w:t>Send preservation notices and obtain written implementation confirmations from each relevant vendor, including all platforms/storage providers not limited to the four examples in ¶ 43.</w:t>
            </w:r>
          </w:p>
        </w:tc>
      </w:tr>
    </w:tbl>
    <w:p>
      <w:pPr>
        <w:widowControl/>
        <w:spacing w:after="20"/>
      </w:pPr>
    </w:p>
    <w:p>
      <w:pPr>
        <w:pStyle w:val="Heading2"/>
        <w:keepNext/>
        <w:widowControl/>
        <w:spacing w:before="160" w:after="100"/>
      </w:pPr>
      <w:r>
        <w:rPr>
          <w:rFonts w:ascii="Aptos" w:hAnsi="Aptos"/>
        </w:rPr>
        <w:t>6.1 Sequenced checklist</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1944"/>
            <w:vAlign w:val="top"/>
            <w:shd w:fill="1F4E78"/>
            <w:tcMar>
              <w:top w:w="80" w:type="dxa"/>
              <w:start w:w="85" w:type="dxa"/>
              <w:bottom w:w="80" w:type="dxa"/>
              <w:end w:w="85" w:type="dxa"/>
            </w:tcMar>
          </w:tcPr>
          <w:p>
            <w:pPr>
              <w:spacing w:after="0" w:before="0"/>
            </w:pPr>
            <w:r/>
            <w:r>
              <w:rPr>
                <w:b/>
                <w:color w:val="FFFFFF"/>
                <w:sz w:val="17"/>
              </w:rPr>
              <w:t>Timing</w:t>
            </w:r>
          </w:p>
        </w:tc>
        <w:tc>
          <w:tcPr>
            <w:tcW w:type="dxa" w:w="8856"/>
            <w:vAlign w:val="top"/>
            <w:shd w:fill="1F4E78"/>
            <w:tcMar>
              <w:top w:w="80" w:type="dxa"/>
              <w:start w:w="85" w:type="dxa"/>
              <w:bottom w:w="80" w:type="dxa"/>
              <w:end w:w="85" w:type="dxa"/>
            </w:tcMar>
          </w:tcPr>
          <w:p>
            <w:pPr>
              <w:spacing w:after="0" w:before="0"/>
            </w:pPr>
            <w:r/>
            <w:r>
              <w:rPr>
                <w:b/>
                <w:color w:val="FFFFFF"/>
                <w:sz w:val="17"/>
              </w:rPr>
              <w:t>Action set</w:t>
            </w:r>
          </w:p>
        </w:tc>
      </w:tr>
      <w:tr>
        <w:tc>
          <w:tcPr>
            <w:tcW w:type="dxa" w:w="1944"/>
            <w:vAlign w:val="top"/>
            <w:tcMar>
              <w:top w:w="80" w:type="dxa"/>
              <w:start w:w="85" w:type="dxa"/>
              <w:bottom w:w="80" w:type="dxa"/>
              <w:end w:w="85" w:type="dxa"/>
            </w:tcMar>
            <w:shd w:fill="F3F6F9"/>
          </w:tcPr>
          <w:p>
            <w:pPr>
              <w:spacing w:after="0" w:before="0"/>
            </w:pPr>
            <w:r/>
            <w:r>
              <w:rPr>
                <w:b w:val="0"/>
                <w:sz w:val="16"/>
              </w:rPr>
              <w:t>Now / first 24 hours</w:t>
            </w:r>
          </w:p>
        </w:tc>
        <w:tc>
          <w:tcPr>
            <w:tcW w:type="dxa" w:w="8856"/>
            <w:vAlign w:val="top"/>
            <w:tcMar>
              <w:top w:w="80" w:type="dxa"/>
              <w:start w:w="85" w:type="dxa"/>
              <w:bottom w:w="80" w:type="dxa"/>
              <w:end w:w="85" w:type="dxa"/>
            </w:tcMar>
            <w:shd w:fill="F3F6F9"/>
          </w:tcPr>
          <w:p>
            <w:pPr>
              <w:spacing w:after="0" w:before="0"/>
            </w:pPr>
            <w:r/>
            <w:r>
              <w:rPr>
                <w:b w:val="0"/>
                <w:sz w:val="16"/>
              </w:rPr>
              <w:t>Send hold to all departments and known custodians; preserve current M365 and other cloud/app data; freeze all scheduled deletion and backup rotation; notify Sentinel in writing to hold all Account SM-2247891 equipment, backups and paper; preserve the legacy servers in current condition; identify and block deletion on named custodians’ personal/company devices; collect acknowledgments and source lists.</w:t>
            </w:r>
          </w:p>
        </w:tc>
      </w:tr>
      <w:tr>
        <w:tc>
          <w:tcPr>
            <w:tcW w:type="dxa" w:w="1944"/>
            <w:vAlign w:val="top"/>
            <w:tcMar>
              <w:top w:w="80" w:type="dxa"/>
              <w:start w:w="85" w:type="dxa"/>
              <w:bottom w:w="80" w:type="dxa"/>
              <w:end w:w="85" w:type="dxa"/>
            </w:tcMar>
          </w:tcPr>
          <w:p>
            <w:pPr>
              <w:spacing w:after="0" w:before="0"/>
            </w:pPr>
            <w:r/>
            <w:r>
              <w:rPr>
                <w:b w:val="0"/>
                <w:sz w:val="16"/>
              </w:rPr>
              <w:t>Next 24–48 hours</w:t>
            </w:r>
          </w:p>
        </w:tc>
        <w:tc>
          <w:tcPr>
            <w:tcW w:type="dxa" w:w="8856"/>
            <w:vAlign w:val="top"/>
            <w:tcMar>
              <w:top w:w="80" w:type="dxa"/>
              <w:start w:w="85" w:type="dxa"/>
              <w:bottom w:w="80" w:type="dxa"/>
              <w:end w:w="85" w:type="dxa"/>
            </w:tcMar>
          </w:tcPr>
          <w:p>
            <w:pPr>
              <w:spacing w:after="0" w:before="0"/>
            </w:pPr>
            <w:r/>
            <w:r>
              <w:rPr>
                <w:b w:val="0"/>
                <w:sz w:val="16"/>
              </w:rPr>
              <w:t>Apply M365 in-place holds for all named custodians and relevant Teams/SharePoint/OneDrive; verify scope includes deleted/recoverable items and archive/journal mailboxes. Retain technical screenshots/configuration logs as evidence of implementation (not as substitute for the underlying data). Begin forensic plan with Greenwell; avoid booting or altering legacy servers before examiner protocol.</w:t>
            </w:r>
          </w:p>
        </w:tc>
      </w:tr>
      <w:tr>
        <w:tc>
          <w:tcPr>
            <w:tcW w:type="dxa" w:w="1944"/>
            <w:vAlign w:val="top"/>
            <w:tcMar>
              <w:top w:w="80" w:type="dxa"/>
              <w:start w:w="85" w:type="dxa"/>
              <w:bottom w:w="80" w:type="dxa"/>
              <w:end w:w="85" w:type="dxa"/>
            </w:tcMar>
            <w:shd w:fill="F3F6F9"/>
          </w:tcPr>
          <w:p>
            <w:pPr>
              <w:spacing w:after="0" w:before="0"/>
            </w:pPr>
            <w:r/>
            <w:r>
              <w:rPr>
                <w:b w:val="0"/>
                <w:sz w:val="16"/>
              </w:rPr>
              <w:t>By March 13</w:t>
            </w:r>
          </w:p>
        </w:tc>
        <w:tc>
          <w:tcPr>
            <w:tcW w:type="dxa" w:w="8856"/>
            <w:vAlign w:val="top"/>
            <w:tcMar>
              <w:top w:w="80" w:type="dxa"/>
              <w:start w:w="85" w:type="dxa"/>
              <w:bottom w:w="80" w:type="dxa"/>
              <w:end w:w="85" w:type="dxa"/>
            </w:tcMar>
            <w:shd w:fill="F3F6F9"/>
          </w:tcPr>
          <w:p>
            <w:pPr>
              <w:spacing w:after="0" w:before="0"/>
            </w:pPr>
            <w:r/>
            <w:r>
              <w:rPr>
                <w:b w:val="0"/>
                <w:sz w:val="16"/>
              </w:rPr>
              <w:t>Deliver written hold notices to all relevant vendors and obtain written receipt/implementation confirmations; include, as relevant, Veeva, SAP, Concur, IntegriCall, Microsoft, Salesforce, Slack, Sentinel, Ashford, and any vendors hosting RPAF or other responsive data. Confirm vendor-specific data, retention, backup, deletion and contract status.</w:t>
            </w:r>
          </w:p>
        </w:tc>
      </w:tr>
      <w:tr>
        <w:tc>
          <w:tcPr>
            <w:tcW w:type="dxa" w:w="1944"/>
            <w:vAlign w:val="top"/>
            <w:tcMar>
              <w:top w:w="80" w:type="dxa"/>
              <w:start w:w="85" w:type="dxa"/>
              <w:bottom w:w="80" w:type="dxa"/>
              <w:end w:w="85" w:type="dxa"/>
            </w:tcMar>
          </w:tcPr>
          <w:p>
            <w:pPr>
              <w:spacing w:after="0" w:before="0"/>
            </w:pPr>
            <w:r/>
            <w:r>
              <w:rPr>
                <w:b w:val="0"/>
                <w:sz w:val="16"/>
              </w:rPr>
              <w:t>By March 17</w:t>
            </w:r>
          </w:p>
        </w:tc>
        <w:tc>
          <w:tcPr>
            <w:tcW w:type="dxa" w:w="8856"/>
            <w:vAlign w:val="top"/>
            <w:tcMar>
              <w:top w:w="80" w:type="dxa"/>
              <w:start w:w="85" w:type="dxa"/>
              <w:bottom w:w="80" w:type="dxa"/>
              <w:end w:w="85" w:type="dxa"/>
            </w:tcMar>
          </w:tcPr>
          <w:p>
            <w:pPr>
              <w:spacing w:after="0" w:before="0"/>
            </w:pPr>
            <w:r/>
            <w:r>
              <w:rPr>
                <w:b w:val="0"/>
                <w:sz w:val="16"/>
              </w:rPr>
              <w:t>Submit accurate written certification responding to all six items in ¶ 45. Name oversight personnel and primary contact; specify vendors notified; identify that imaging is underway and projected completion; disclose exceptions/material gaps accurately. If any impediment threatens compliance, send a detailed written notice under ¶ 46 without waiting for certification.</w:t>
            </w:r>
          </w:p>
        </w:tc>
      </w:tr>
      <w:tr>
        <w:tc>
          <w:tcPr>
            <w:tcW w:type="dxa" w:w="1944"/>
            <w:vAlign w:val="top"/>
            <w:tcMar>
              <w:top w:w="80" w:type="dxa"/>
              <w:start w:w="85" w:type="dxa"/>
              <w:bottom w:w="80" w:type="dxa"/>
              <w:end w:w="85" w:type="dxa"/>
            </w:tcMar>
            <w:shd w:fill="F3F6F9"/>
          </w:tcPr>
          <w:p>
            <w:pPr>
              <w:spacing w:after="0" w:before="0"/>
            </w:pPr>
            <w:r/>
            <w:r>
              <w:rPr>
                <w:b w:val="0"/>
                <w:sz w:val="16"/>
              </w:rPr>
              <w:t>By March 24</w:t>
            </w:r>
          </w:p>
        </w:tc>
        <w:tc>
          <w:tcPr>
            <w:tcW w:type="dxa" w:w="8856"/>
            <w:vAlign w:val="top"/>
            <w:tcMar>
              <w:top w:w="80" w:type="dxa"/>
              <w:start w:w="85" w:type="dxa"/>
              <w:bottom w:w="80" w:type="dxa"/>
              <w:end w:w="85" w:type="dxa"/>
            </w:tcMar>
            <w:shd w:fill="F3F6F9"/>
          </w:tcPr>
          <w:p>
            <w:pPr>
              <w:spacing w:after="0" w:before="0"/>
            </w:pPr>
            <w:r/>
            <w:r>
              <w:rPr>
                <w:b w:val="0"/>
                <w:sz w:val="16"/>
              </w:rPr>
              <w:t>Complete bit-for-bit forensic imaging of all qualifying personal and company mobile devices for the resolved 23-custodian roster, with qualified examiner and per-device custody log. Document exceptions, refusal/access constraints, unavailable devices and remedial plan; promptly elevate to counsel/DOJ as appropriate.</w:t>
            </w:r>
          </w:p>
        </w:tc>
      </w:tr>
      <w:tr>
        <w:tc>
          <w:tcPr>
            <w:tcW w:type="dxa" w:w="1944"/>
            <w:vAlign w:val="top"/>
            <w:tcMar>
              <w:top w:w="80" w:type="dxa"/>
              <w:start w:w="85" w:type="dxa"/>
              <w:bottom w:w="80" w:type="dxa"/>
              <w:end w:w="85" w:type="dxa"/>
            </w:tcMar>
          </w:tcPr>
          <w:p>
            <w:pPr>
              <w:spacing w:after="0" w:before="0"/>
            </w:pPr>
            <w:r/>
            <w:r>
              <w:rPr>
                <w:b w:val="0"/>
                <w:sz w:val="16"/>
              </w:rPr>
              <w:t>Continuing / before any release</w:t>
            </w:r>
          </w:p>
        </w:tc>
        <w:tc>
          <w:tcPr>
            <w:tcW w:type="dxa" w:w="8856"/>
            <w:vAlign w:val="top"/>
            <w:tcMar>
              <w:top w:w="80" w:type="dxa"/>
              <w:start w:w="85" w:type="dxa"/>
              <w:bottom w:w="80" w:type="dxa"/>
              <w:end w:w="85" w:type="dxa"/>
            </w:tcMar>
          </w:tcPr>
          <w:p>
            <w:pPr>
              <w:spacing w:after="0" w:before="0"/>
            </w:pPr>
            <w:r/>
            <w:r>
              <w:rPr>
                <w:b w:val="0"/>
                <w:sz w:val="16"/>
              </w:rPr>
              <w:t>Quarterly reminders and acknowledgment tracking as appropriate; preserve new data, backups and versions; monitor vendor/system changes and data loss; maintain exception/remediation log; no destruction or release of hold until written DOJ notice, even if internal policy retention period expires.</w:t>
            </w:r>
          </w:p>
        </w:tc>
      </w:tr>
    </w:tbl>
    <w:p>
      <w:pPr>
        <w:widowControl/>
        <w:spacing w:after="20"/>
      </w:pPr>
    </w:p>
    <w:p>
      <w:pPr>
        <w:pStyle w:val="Heading1"/>
        <w:keepNext/>
        <w:widowControl/>
        <w:spacing w:before="240" w:after="100"/>
      </w:pPr>
      <w:r>
        <w:rPr>
          <w:rFonts w:ascii="Aptos" w:hAnsi="Aptos"/>
        </w:rPr>
        <w:t>7. Open items requiring immediate reconciliation</w:t>
      </w:r>
    </w:p>
    <w:p>
      <w:pPr>
        <w:pStyle w:val="ListNumber"/>
        <w:widowControl/>
        <w:spacing w:after="60" w:line="247" w:lineRule="auto"/>
      </w:pPr>
      <w:r>
        <w:rPr>
          <w:rFonts w:ascii="Aptos" w:hAnsi="Aptos"/>
        </w:rPr>
        <w:t>Confirm the date/time and manner of receipt, the calendar used for the cover-letter deadlines, and whether DOJ has issued any written modification. Use the stated March 13 / 17 / 24 dates unless counsel confirms otherwise in writing.</w:t>
      </w:r>
    </w:p>
    <w:p>
      <w:pPr>
        <w:pStyle w:val="ListNumber"/>
        <w:widowControl/>
        <w:spacing w:after="60" w:line="247" w:lineRule="auto"/>
      </w:pPr>
      <w:r>
        <w:rPr>
          <w:rFonts w:ascii="Aptos" w:hAnsi="Aptos"/>
        </w:rPr>
        <w:t>Obtain authoritative identity list for all 23 custodians: identify the Director of Pricing Analytics and Associate Director of Government Accounts; compare all 7 Exhibit C managers with HR/IT roster; reconcile Jennifer Calloway and David Yun; check aliases, employee IDs, termination dates, devices, email accounts and M365/legacy source mappings.</w:t>
      </w:r>
    </w:p>
    <w:p>
      <w:pPr>
        <w:pStyle w:val="ListNumber"/>
        <w:widowControl/>
        <w:spacing w:after="60" w:line="247" w:lineRule="auto"/>
      </w:pPr>
      <w:r>
        <w:rPr>
          <w:rFonts w:ascii="Aptos" w:hAnsi="Aptos"/>
        </w:rPr>
        <w:t>Obtain the missing Q1_2025_Destruction_Log.xlsx and full records for the January 15 batch: approval trail, prior notices, custodians/departments, data-system paths, exact dates, category assignment, 47 box inventory, certificates, vendors and recovery prospects. Compare actual schedule with policy categories and every prior policy version, including March 2019 Version 1.0.</w:t>
      </w:r>
    </w:p>
    <w:p>
      <w:pPr>
        <w:pStyle w:val="ListNumber"/>
        <w:widowControl/>
        <w:spacing w:after="60" w:line="247" w:lineRule="auto"/>
      </w:pPr>
      <w:r>
        <w:rPr>
          <w:rFonts w:ascii="Aptos" w:hAnsi="Aptos"/>
        </w:rPr>
        <w:t>Complete legacy-system inventory: six server asset tags/serial numbers, drive/RAID configuration, forensic integrity assessment, server/data maps, mailbox-to-employee list, the 2,100-user impact population, scope of 340,000 missing emails, list of affected eight custodians and all additional responsive employees, plus backup tape inventory/rotation/disposition proof.</w:t>
      </w:r>
    </w:p>
    <w:p>
      <w:pPr>
        <w:pStyle w:val="ListNumber"/>
        <w:widowControl/>
        <w:spacing w:after="60" w:line="247" w:lineRule="auto"/>
      </w:pPr>
      <w:r>
        <w:rPr>
          <w:rFonts w:ascii="Aptos" w:hAnsi="Aptos"/>
        </w:rPr>
        <w:t>Confirm exact platform/data scope and retention settings with Microsoft 365/Exchange, Slack, Teams, Salesforce, Veeva, SAP, Concur, SharePoint/OneDrive, IntegriCall, Sentinel, Ashford, Greenwell, and any RPAF-specific platforms; include version histories, deleted/recoverable data, journaling, archive, exports and vendor-side backups.</w:t>
      </w:r>
    </w:p>
    <w:p>
      <w:pPr>
        <w:pStyle w:val="ListNumber"/>
        <w:widowControl/>
        <w:spacing w:after="60" w:line="247" w:lineRule="auto"/>
      </w:pPr>
      <w:r>
        <w:rPr>
          <w:rFonts w:ascii="Aptos" w:hAnsi="Aptos"/>
        </w:rPr>
        <w:t>Assess RPAF legal/control and practical access; identify its executive director, board, vendors, systems, custodians, and independent directors; preserve Ridgeline-held records now and arrange an independent RPAF board/management hold through counsel where needed.</w:t>
      </w:r>
    </w:p>
    <w:p>
      <w:pPr>
        <w:pStyle w:val="ListNumber"/>
        <w:widowControl/>
        <w:spacing w:after="60" w:line="247" w:lineRule="auto"/>
      </w:pPr>
      <w:r>
        <w:rPr>
          <w:rFonts w:ascii="Aptos" w:hAnsi="Aptos"/>
        </w:rPr>
        <w:t>Confirm mobile-device and BYOD inventory for all resolved custodians; preserve company data and prevent remote wipe, device refresh, replacement, app deletion, or auto-delete. Coordinate lawful/consensual acquisition for personal devices and document limitations without substituting logical extraction for the stated imaging requirement.</w:t>
      </w:r>
    </w:p>
    <w:p>
      <w:pPr>
        <w:pStyle w:val="ListNumber"/>
        <w:widowControl/>
        <w:spacing w:after="60" w:line="247" w:lineRule="auto"/>
      </w:pPr>
      <w:r>
        <w:rPr>
          <w:rFonts w:ascii="Aptos" w:hAnsi="Aptos"/>
        </w:rPr>
        <w:t>Confirm the destruction of any backup tapes, email or paper copies following any earlier actual or reasonably anticipated investigation trigger; identify knowledge, notices, complaints, internal reviews and hold decisions relevant to timing. Preserve the record of the inquiry itself.</w:t>
      </w:r>
    </w:p>
    <w:p>
      <w:pPr>
        <w:pStyle w:val="ListNumber"/>
        <w:widowControl/>
        <w:spacing w:after="60" w:line="247" w:lineRule="auto"/>
      </w:pPr>
      <w:r>
        <w:rPr>
          <w:rFonts w:ascii="Aptos" w:hAnsi="Aptos"/>
        </w:rPr>
        <w:t>Implement segregated privilege review for communications with HTM and Linden &amp; Pruitt, and any investigation/work-product material. Preserve regardless of privilege; record privilege decisions and retain originals/metadata.</w:t>
      </w:r>
    </w:p>
    <w:p>
      <w:pPr>
        <w:pStyle w:val="Heading1"/>
        <w:keepNext/>
        <w:widowControl/>
        <w:spacing w:before="240" w:after="100"/>
      </w:pPr>
      <w:r>
        <w:rPr>
          <w:rFonts w:ascii="Aptos" w:hAnsi="Aptos"/>
        </w:rPr>
        <w:t>8. Source references</w:t>
      </w:r>
    </w:p>
    <w:p>
      <w:pPr>
        <w:widowControl/>
        <w:spacing w:after="100" w:line="254" w:lineRule="auto"/>
      </w:pPr>
      <w:r>
        <w:rPr>
          <w:rFonts w:ascii="Aptos" w:hAnsi="Aptos"/>
        </w:rPr>
        <w:t>Primary source: DOJ cover letter dated March 3, 2025 and “Litigation Hold and Document Preservation Notice” for Grand Jury Investigation No. 24-GJ-0387, including Exhibits A–D. Paragraph numbers cited above refer to that notice unless a different source is specified. Internal sources: Ridgeline Document Retention and Destruction Policy RDG-LGL-007 (effective April 15, 2022); Corporate Organizational Chart and Entity Structure (dated March 5, 2025); Dennis Wardlow email “RE: Urgent — Email System Migration History and Data Integrity Assessment per DOJ Preservation Notice” (March 5, 2025); Patricia Albright email “Confirmation — Scheduled Records Destruction Completed January 15, 2025” (January 16, 2025). The referenced destruction-log spreadsheet was not included in the materials reviewed.</w:t>
      </w:r>
    </w:p>
    <w:sectPr w:rsidR="00FC693F" w:rsidRPr="0006063C" w:rsidSect="00034616">
      <w:headerReference w:type="default" r:id="rId9"/>
      <w:foot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E78"/>
        <w:sz w:val="16"/>
      </w:rPr>
      <w:t>CONFIDENTIAL — INTERNAL PRESERVATION RESPONSE</w:t>
    </w:r>
  </w:p>
  <w:p>
    <w:pP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color w:val="646E78"/>
        <w:sz w:val="16"/>
      </w:rPr>
      <w:t>RIDGELINE THERAPEUTICS  |  DOJ PRESERVATION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E54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E54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18"/>
    </w:rPr>
  </w:style>
  <w:style w:type="paragraph" w:styleId="ListBullet2">
    <w:name w:val="List Bullet 2"/>
    <w:basedOn w:val="Normal"/>
    <w:uiPriority w:val="99"/>
    <w:unhideWhenUsed/>
    <w:rsid w:val="00326F90"/>
    <w:pPr>
      <w:numPr>
        <w:numId w:val="2"/>
      </w:numPr>
      <w:contextualSpacing/>
    </w:pPr>
    <w:rPr>
      <w:rFonts w:ascii="Aptos" w:hAnsi="Aptos" w:eastAsia="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Obligation Extraction Memorandum — DOJ Preservation Notice</dc:title>
  <dc:subject>Grand Jury Investigation No. 24-GJ-0387</dc:subject>
  <dc:creator>OpenAI</dc:creator>
  <cp:keywords>DOJ, preservation, litigation hold, obligation extraction</cp:keywords>
  <dc:description>generated by python-docx</dc:description>
  <cp:lastModifiedBy/>
  <cp:revision>1</cp:revision>
  <dcterms:created xsi:type="dcterms:W3CDTF">2013-12-23T23:15:00Z</dcterms:created>
  <dcterms:modified xsi:type="dcterms:W3CDTF">2013-12-23T23:15:00Z</dcterms:modified>
  <cp:category/>
</cp:coreProperties>
</file>