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6324F"/>
          <w:sz w:val="42"/>
        </w:rPr>
        <w:t>LITIGATION SUMMARY &amp; INITIAL STRATEGY MEMORANDUM</w:t>
      </w:r>
    </w:p>
    <w:p>
      <w:pPr>
        <w:spacing w:after="200"/>
      </w:pPr>
      <w:r>
        <w:rPr>
          <w:color w:val="5B6573"/>
          <w:sz w:val="21"/>
        </w:rPr>
        <w:t>Apex Industrial Solutions, LLC v. Greenfield Dynamics, Inc.  |  Mecklenburg County Superior Court  |  No. 25-CVS-4471</w:t>
      </w:r>
    </w:p>
    <w:tbl>
      <w:tblPr>
        <w:tblW w:type="auto" w:w="0"/>
        <w:jc w:val="left"/>
        <w:tblLayout w:type="fixed"/>
        <w:tblLook w:firstColumn="1" w:firstRow="1" w:lastColumn="0" w:lastRow="0" w:noHBand="0" w:noVBand="1" w:val="04A0"/>
      </w:tblPr>
      <w:tblGrid>
        <w:gridCol w:w="1037"/>
        <w:gridCol w:w="9864"/>
      </w:tblGrid>
      <w:tr>
        <w:trPr>
          <w:cantSplit/>
        </w:trPr>
        <w:tc>
          <w:tcPr>
            <w:tcW w:type="dxa" w:w="1037"/>
            <w:tcMar>
              <w:top w:w="35" w:type="dxa"/>
              <w:start w:w="55" w:type="dxa"/>
              <w:bottom w:w="35" w:type="dxa"/>
              <w:end w:w="55" w:type="dxa"/>
            </w:tcMar>
          </w:tcPr>
          <w:p>
            <w:pPr>
              <w:spacing w:after="0"/>
            </w:pPr>
            <w:r>
              <w:rPr>
                <w:b/>
                <w:color w:val="235789"/>
                <w:sz w:val="18"/>
              </w:rPr>
              <w:t>TO</w:t>
            </w:r>
          </w:p>
        </w:tc>
        <w:tc>
          <w:tcPr>
            <w:tcW w:type="dxa" w:w="9864"/>
            <w:tcMar>
              <w:top w:w="35" w:type="dxa"/>
              <w:start w:w="55" w:type="dxa"/>
              <w:bottom w:w="35" w:type="dxa"/>
              <w:end w:w="55" w:type="dxa"/>
            </w:tcMar>
          </w:tcPr>
          <w:p>
            <w:pPr>
              <w:spacing w:after="0"/>
            </w:pPr>
            <w:r>
              <w:rPr>
                <w:sz w:val="18"/>
              </w:rPr>
              <w:t>Patricia Yuen, General Counsel; Marcus Ellsworth, Chief Executive Officer</w:t>
            </w:r>
          </w:p>
        </w:tc>
      </w:tr>
      <w:tr>
        <w:trPr>
          <w:cantSplit/>
        </w:trPr>
        <w:tc>
          <w:tcPr>
            <w:tcW w:type="dxa" w:w="1037"/>
            <w:tcMar>
              <w:top w:w="35" w:type="dxa"/>
              <w:start w:w="55" w:type="dxa"/>
              <w:bottom w:w="35" w:type="dxa"/>
              <w:end w:w="55" w:type="dxa"/>
            </w:tcMar>
          </w:tcPr>
          <w:p>
            <w:pPr>
              <w:spacing w:after="0"/>
            </w:pPr>
            <w:r>
              <w:rPr>
                <w:b/>
                <w:color w:val="235789"/>
                <w:sz w:val="18"/>
              </w:rPr>
              <w:t>FROM</w:t>
            </w:r>
          </w:p>
        </w:tc>
        <w:tc>
          <w:tcPr>
            <w:tcW w:type="dxa" w:w="9864"/>
            <w:tcMar>
              <w:top w:w="35" w:type="dxa"/>
              <w:start w:w="55" w:type="dxa"/>
              <w:bottom w:w="35" w:type="dxa"/>
              <w:end w:w="55" w:type="dxa"/>
            </w:tcMar>
          </w:tcPr>
          <w:p>
            <w:pPr>
              <w:spacing w:after="0"/>
            </w:pPr>
            <w:r>
              <w:rPr>
                <w:sz w:val="18"/>
              </w:rPr>
              <w:t>Litigation Counsel</w:t>
            </w:r>
          </w:p>
        </w:tc>
      </w:tr>
      <w:tr>
        <w:trPr>
          <w:cantSplit/>
        </w:trPr>
        <w:tc>
          <w:tcPr>
            <w:tcW w:type="dxa" w:w="1037"/>
            <w:tcMar>
              <w:top w:w="35" w:type="dxa"/>
              <w:start w:w="55" w:type="dxa"/>
              <w:bottom w:w="35" w:type="dxa"/>
              <w:end w:w="55" w:type="dxa"/>
            </w:tcMar>
          </w:tcPr>
          <w:p>
            <w:pPr>
              <w:spacing w:after="0"/>
            </w:pPr>
            <w:r>
              <w:rPr>
                <w:b/>
                <w:color w:val="235789"/>
                <w:sz w:val="18"/>
              </w:rPr>
              <w:t>DATE</w:t>
            </w:r>
          </w:p>
        </w:tc>
        <w:tc>
          <w:tcPr>
            <w:tcW w:type="dxa" w:w="9864"/>
            <w:tcMar>
              <w:top w:w="35" w:type="dxa"/>
              <w:start w:w="55" w:type="dxa"/>
              <w:bottom w:w="35" w:type="dxa"/>
              <w:end w:w="55" w:type="dxa"/>
            </w:tcMar>
          </w:tcPr>
          <w:p>
            <w:pPr>
              <w:spacing w:after="0"/>
            </w:pPr>
            <w:r>
              <w:rPr>
                <w:sz w:val="18"/>
              </w:rPr>
              <w:t>April 28, 2025</w:t>
            </w:r>
          </w:p>
        </w:tc>
      </w:tr>
      <w:tr>
        <w:trPr>
          <w:cantSplit/>
        </w:trPr>
        <w:tc>
          <w:tcPr>
            <w:tcW w:type="dxa" w:w="1037"/>
            <w:tcMar>
              <w:top w:w="35" w:type="dxa"/>
              <w:start w:w="55" w:type="dxa"/>
              <w:bottom w:w="35" w:type="dxa"/>
              <w:end w:w="55" w:type="dxa"/>
            </w:tcMar>
          </w:tcPr>
          <w:p>
            <w:pPr>
              <w:spacing w:after="0"/>
            </w:pPr>
            <w:r>
              <w:rPr>
                <w:b/>
                <w:color w:val="235789"/>
                <w:sz w:val="18"/>
              </w:rPr>
              <w:t>RE</w:t>
            </w:r>
          </w:p>
        </w:tc>
        <w:tc>
          <w:tcPr>
            <w:tcW w:type="dxa" w:w="9864"/>
            <w:tcMar>
              <w:top w:w="35" w:type="dxa"/>
              <w:start w:w="55" w:type="dxa"/>
              <w:bottom w:w="35" w:type="dxa"/>
              <w:end w:w="55" w:type="dxa"/>
            </w:tcMar>
          </w:tcPr>
          <w:p>
            <w:pPr>
              <w:spacing w:after="0"/>
            </w:pPr>
            <w:r>
              <w:rPr>
                <w:sz w:val="18"/>
              </w:rPr>
              <w:t>Complaint, service, and May 9 TRO / preliminary-injunction hearing</w:t>
            </w:r>
          </w:p>
        </w:tc>
      </w:tr>
    </w:tbl>
    <w:p>
      <w:r>
        <w:rPr>
          <w:i/>
        </w:rPr>
        <w:t>CONFIDENTIAL — Prepared for the purpose of obtaining and providing legal advice. This preliminary assessment is based only on the April 22, 2025 complaint and its attached Exhibits A–F, the April 25 service affidavit, and Patricia Yuen’s April 25 email. The agreement and employment contracts are excerpts, not complete instruments; no underlying Greenfield records, declarations, or damages workpapers have been reviewed. Allegations are not established facts.</w:t>
      </w:r>
    </w:p>
    <w:p>
      <w:pPr>
        <w:pStyle w:val="Heading1"/>
      </w:pPr>
      <w:r>
        <w:t>Executive assessment</w:t>
      </w:r>
    </w:p>
    <w:p>
      <w:pPr>
        <w:pStyle w:val="ListBullet"/>
        <w:ind w:left="346" w:hanging="187"/>
      </w:pPr>
      <w:r>
        <w:rPr>
          <w:b/>
        </w:rPr>
        <w:t>The immediate priority is the May 9, 2025 hearing,</w:t>
      </w:r>
      <w:r>
        <w:t xml:space="preserve"> set for 10:00 a.m. before Judge Robert L. Vanderhorst. The TRO/PI request is operationally significant; prepare the evidentiary record now while separately protecting the responsive-pleading and removal deadlines.</w:t>
      </w:r>
    </w:p>
    <w:p>
      <w:pPr>
        <w:pStyle w:val="ListBullet"/>
        <w:ind w:left="346" w:hanging="187"/>
      </w:pPr>
      <w:r>
        <w:rPr>
          <w:b/>
        </w:rPr>
        <w:t>The non-renewal defense is materially weak on the current documents.</w:t>
      </w:r>
      <w:r>
        <w:t xml:space="preserve"> Section 4.2 expressly makes noncompliant notices void. Hargrove was not an authorized signatory, and Ellsworth’s September 12 letter was 169 days before February 28, 2024—short of the 180-day requirement. The correct 180-day date is September 1, not August 31 as pleaded; that one-day error does not make September 12 timely.</w:t>
      </w:r>
    </w:p>
    <w:p>
      <w:pPr>
        <w:pStyle w:val="ListBullet"/>
        <w:ind w:left="346" w:hanging="187"/>
      </w:pPr>
      <w:r>
        <w:rPr>
          <w:b/>
        </w:rPr>
        <w:t>Direct-sales exposure is more immediate than the renewal dispute.</w:t>
      </w:r>
      <w:r>
        <w:t xml:space="preserve"> The invoices establish at least $4.26 million of direct sales to four named Territory customers. Those invoices are dated November 2023–February 5, 2024, while the Initial Term was still in force; thus, even an effective non-renewal for February 2024 would not itself excuse those sales. Confirm the complete agreement, including any exceptions and the alleged 18% compensation term.</w:t>
      </w:r>
    </w:p>
    <w:p>
      <w:pPr>
        <w:pStyle w:val="ListBullet"/>
        <w:ind w:left="346" w:hanging="187"/>
      </w:pPr>
      <w:r>
        <w:rPr>
          <w:b/>
        </w:rPr>
        <w:t>The strongest current merits defense is against trade-secret causation and the breadth of injunctive relief.</w:t>
      </w:r>
      <w:r>
        <w:t xml:space="preserve"> Greenfield says Kelsey and Ostrowski were hired in February 2024, but the direct-sales campaign began in October 2023 and most invoice dates precede those hires. That chronology does not exclude earlier recruiting, pre-hire disclosures, or later use, but materially undermines the complaint’s assertion that the hires enabled the documented sales unless additional facts support it.</w:t>
      </w:r>
    </w:p>
    <w:p>
      <w:pPr>
        <w:pStyle w:val="ListBullet"/>
        <w:ind w:left="346" w:hanging="187"/>
      </w:pPr>
      <w:r>
        <w:rPr>
          <w:b/>
        </w:rPr>
        <w:t>Apex pleads $22,341,800 plus Count II punitive damages, fees, and interest.</w:t>
      </w:r>
      <w:r>
        <w:t xml:space="preserve"> That is a pleaded total, not a sound additive exposure estimate: several theories measure the same sales, accounts, and lost business, and unjust enrichment is pleaded in the alternative. The most supportable current dollar component may be the alleged direct-sale commission amount ($766,800) if the 18% term is verified; the renewal lost-profit model and other damages require substantial proof.</w:t>
      </w:r>
    </w:p>
    <w:p>
      <w:pPr>
        <w:pStyle w:val="ListBullet"/>
        <w:ind w:left="346" w:hanging="187"/>
      </w:pPr>
      <w:r>
        <w:rPr>
          <w:b/>
        </w:rPr>
        <w:t>The affidavit reflects facially proper corporate service on April 25.</w:t>
      </w:r>
      <w:r>
        <w:t xml:space="preserve"> The answer/Rule 12 deadline is May 27, 2025 (not May 25), because May 25 is Sunday and May 26 is Memorial Day. The May 9 hearing does not, by itself, extend that deadline.</w:t>
      </w:r>
    </w:p>
    <w:p>
      <w:pPr>
        <w:pStyle w:val="Heading1"/>
      </w:pPr>
      <w:r>
        <w:t>1. Procedural posture and immediate dates</w:t>
      </w:r>
    </w:p>
    <w:p>
      <w:r>
        <w:rPr>
          <w:i w:val="0"/>
        </w:rPr>
        <w:t>Apex filed its verified complaint and application for a temporary restraining order and preliminary injunction on April 22, 2025, in North Carolina Superior Court, Mecklenburg County. The case asserts breach of contract, tortious interference, Georgia and federal trade-secret misappropriation, and alternative unjust enrichment; it seeks monetary relief, injunctive relief, specific performance, fees, and a jury trial.</w:t>
      </w:r>
    </w:p>
    <w:tbl>
      <w:tblPr>
        <w:tblStyle w:val="TableGrid"/>
        <w:tblW w:type="auto" w:w="0"/>
        <w:jc w:val="center"/>
        <w:tblLayout w:type="fixed"/>
        <w:tblLook w:firstColumn="1" w:firstRow="1" w:lastColumn="0" w:lastRow="0" w:noHBand="0" w:noVBand="1" w:val="04A0"/>
      </w:tblPr>
      <w:tblGrid>
        <w:gridCol w:w="2232"/>
        <w:gridCol w:w="8568"/>
      </w:tblGrid>
      <w:tr>
        <w:trPr>
          <w:tblHeader w:val="true"/>
          <w:cantSplit/>
        </w:trPr>
        <w:tc>
          <w:tcPr>
            <w:tcW w:type="dxa" w:w="4997"/>
            <w:shd w:fill="16324F"/>
            <w:tcMar>
              <w:top w:w="70" w:type="dxa"/>
              <w:start w:w="85" w:type="dxa"/>
              <w:bottom w:w="70" w:type="dxa"/>
              <w:end w:w="85" w:type="dxa"/>
            </w:tcMar>
            <w:vAlign w:val="center"/>
          </w:tcPr>
          <w:p>
            <w:pPr>
              <w:spacing w:after="0" w:before="0"/>
            </w:pPr>
            <w:r>
              <w:rPr>
                <w:rFonts w:ascii="Calibri" w:hAnsi="Calibri"/>
                <w:b/>
                <w:color w:val="FFFFFF"/>
                <w:sz w:val="17"/>
              </w:rPr>
              <w:t>Event</w:t>
            </w:r>
          </w:p>
        </w:tc>
        <w:tc>
          <w:tcPr>
            <w:tcW w:type="dxa" w:w="4997"/>
            <w:shd w:fill="16324F"/>
            <w:tcMar>
              <w:top w:w="70" w:type="dxa"/>
              <w:start w:w="85" w:type="dxa"/>
              <w:bottom w:w="70" w:type="dxa"/>
              <w:end w:w="85" w:type="dxa"/>
            </w:tcMar>
            <w:vAlign w:val="center"/>
          </w:tcPr>
          <w:p>
            <w:pPr>
              <w:spacing w:after="0" w:before="0"/>
            </w:pPr>
            <w:r>
              <w:rPr>
                <w:rFonts w:ascii="Calibri" w:hAnsi="Calibri"/>
                <w:b/>
                <w:color w:val="FFFFFF"/>
                <w:sz w:val="17"/>
              </w:rPr>
              <w:t>What the record says / action</w:t>
            </w:r>
          </w:p>
        </w:tc>
      </w:tr>
      <w:tr>
        <w:trPr>
          <w:cantSplit/>
        </w:trPr>
        <w:tc>
          <w:tcPr>
            <w:tcW w:type="dxa" w:w="2232"/>
            <w:tcMar>
              <w:top w:w="70" w:type="dxa"/>
              <w:start w:w="85" w:type="dxa"/>
              <w:bottom w:w="70" w:type="dxa"/>
              <w:end w:w="85" w:type="dxa"/>
            </w:tcMar>
            <w:vAlign w:val="top"/>
          </w:tcPr>
          <w:p>
            <w:pPr>
              <w:spacing w:after="0" w:line="245" w:lineRule="auto"/>
            </w:pPr>
            <w:r>
              <w:rPr>
                <w:rFonts w:ascii="Calibri" w:hAnsi="Calibri"/>
                <w:color w:val="202A35"/>
                <w:sz w:val="17"/>
              </w:rPr>
              <w:t>Service — Apr. 25, 2025, 2:15 p.m.</w:t>
            </w:r>
          </w:p>
        </w:tc>
        <w:tc>
          <w:tcPr>
            <w:tcW w:type="dxa" w:w="8568"/>
            <w:tcMar>
              <w:top w:w="70" w:type="dxa"/>
              <w:start w:w="85" w:type="dxa"/>
              <w:bottom w:w="70" w:type="dxa"/>
              <w:end w:w="85" w:type="dxa"/>
            </w:tcMar>
            <w:vAlign w:val="top"/>
          </w:tcPr>
          <w:p>
            <w:pPr>
              <w:spacing w:after="0" w:line="245" w:lineRule="auto"/>
            </w:pPr>
            <w:r>
              <w:rPr>
                <w:rFonts w:ascii="Calibri" w:hAnsi="Calibri"/>
                <w:color w:val="202A35"/>
                <w:sz w:val="17"/>
              </w:rPr>
              <w:t>Process server Derek M. Calloway states he personally delivered the summons, complaint, Exhibits A–F, and May 9 hearing notice to Sandra H. Whitfield, who identified herself as Greenfield’s registered agent and corporate secretary, at Greenfield’s Charlotte principal office. The affidavit is notarized and cites N.C. Rule 4(j)(6)(a). No facial service defect is apparent; obtain the issued summons and verify agent/registered-agent records.</w:t>
            </w:r>
          </w:p>
        </w:tc>
      </w:tr>
      <w:tr>
        <w:trPr>
          <w:cantSplit/>
        </w:trPr>
        <w:tc>
          <w:tcPr>
            <w:tcW w:type="dxa" w:w="2232"/>
            <w:tcMar>
              <w:top w:w="70" w:type="dxa"/>
              <w:start w:w="85" w:type="dxa"/>
              <w:bottom w:w="70" w:type="dxa"/>
              <w:end w:w="85" w:type="dxa"/>
            </w:tcMar>
            <w:vAlign w:val="top"/>
            <w:shd w:fill="F4F7FA"/>
          </w:tcPr>
          <w:p>
            <w:pPr>
              <w:spacing w:after="0" w:line="245" w:lineRule="auto"/>
            </w:pPr>
            <w:r>
              <w:rPr>
                <w:rFonts w:ascii="Calibri" w:hAnsi="Calibri"/>
                <w:color w:val="202A35"/>
                <w:sz w:val="17"/>
              </w:rPr>
              <w:t>TRO / PI hearing — May 9, 2025, 10:00 a.m.</w:t>
            </w:r>
          </w:p>
        </w:tc>
        <w:tc>
          <w:tcPr>
            <w:tcW w:type="dxa" w:w="8568"/>
            <w:tcMar>
              <w:top w:w="70" w:type="dxa"/>
              <w:start w:w="85" w:type="dxa"/>
              <w:bottom w:w="70" w:type="dxa"/>
              <w:end w:w="85" w:type="dxa"/>
            </w:tcMar>
            <w:vAlign w:val="top"/>
            <w:shd w:fill="F4F7FA"/>
          </w:tcPr>
          <w:p>
            <w:pPr>
              <w:spacing w:after="0" w:line="245" w:lineRule="auto"/>
            </w:pPr>
            <w:r>
              <w:rPr>
                <w:rFonts w:ascii="Calibri" w:hAnsi="Calibri"/>
                <w:color w:val="202A35"/>
                <w:sz w:val="17"/>
              </w:rPr>
              <w:t>Notice identifies Judge Robert L. Vanderhorst, Mecklenburg County Superior Court. Obtain the actual motion, proposed order, any supporting declarations, local briefing instructions, and complete docket immediately; the complaint and service affidavit alone do not disclose the full evidentiary record or briefing schedule.</w:t>
            </w:r>
          </w:p>
        </w:tc>
      </w:tr>
      <w:tr>
        <w:trPr>
          <w:cantSplit/>
        </w:trPr>
        <w:tc>
          <w:tcPr>
            <w:tcW w:type="dxa" w:w="2232"/>
            <w:tcMar>
              <w:top w:w="70" w:type="dxa"/>
              <w:start w:w="85" w:type="dxa"/>
              <w:bottom w:w="70" w:type="dxa"/>
              <w:end w:w="85" w:type="dxa"/>
            </w:tcMar>
            <w:vAlign w:val="top"/>
          </w:tcPr>
          <w:p>
            <w:pPr>
              <w:spacing w:after="0" w:line="245" w:lineRule="auto"/>
            </w:pPr>
            <w:r>
              <w:rPr>
                <w:rFonts w:ascii="Calibri" w:hAnsi="Calibri"/>
                <w:color w:val="202A35"/>
                <w:sz w:val="17"/>
              </w:rPr>
              <w:t>Responsive pleading — May 27, 2025</w:t>
            </w:r>
          </w:p>
        </w:tc>
        <w:tc>
          <w:tcPr>
            <w:tcW w:type="dxa" w:w="8568"/>
            <w:tcMar>
              <w:top w:w="70" w:type="dxa"/>
              <w:start w:w="85" w:type="dxa"/>
              <w:bottom w:w="70" w:type="dxa"/>
              <w:end w:w="85" w:type="dxa"/>
            </w:tcMar>
            <w:vAlign w:val="top"/>
          </w:tcPr>
          <w:p>
            <w:pPr>
              <w:spacing w:after="0" w:line="245" w:lineRule="auto"/>
            </w:pPr>
            <w:r>
              <w:rPr>
                <w:rFonts w:ascii="Calibri" w:hAnsi="Calibri"/>
                <w:color w:val="202A35"/>
                <w:sz w:val="17"/>
              </w:rPr>
              <w:t>Under N.C. Rules 12(a) and 6(a), the 30-day period from April 25 runs through Sunday, May 25; Monday, May 26 is Memorial Day. The period therefore runs to Tuesday, May 27. Do not assume TRO briefing or the hearing extends the deadline. Calendar the answer, any Rule 12 motion, and any removal decision independently.</w:t>
            </w:r>
          </w:p>
        </w:tc>
      </w:tr>
      <w:tr>
        <w:trPr>
          <w:cantSplit/>
        </w:trPr>
        <w:tc>
          <w:tcPr>
            <w:tcW w:type="dxa" w:w="2232"/>
            <w:tcMar>
              <w:top w:w="70" w:type="dxa"/>
              <w:start w:w="85" w:type="dxa"/>
              <w:bottom w:w="70" w:type="dxa"/>
              <w:end w:w="85" w:type="dxa"/>
            </w:tcMar>
            <w:vAlign w:val="top"/>
            <w:shd w:fill="F4F7FA"/>
          </w:tcPr>
          <w:p>
            <w:pPr>
              <w:spacing w:after="0" w:line="245" w:lineRule="auto"/>
            </w:pPr>
            <w:r>
              <w:rPr>
                <w:rFonts w:ascii="Calibri" w:hAnsi="Calibri"/>
                <w:color w:val="202A35"/>
                <w:sz w:val="17"/>
              </w:rPr>
              <w:t>Potential removal — evaluate promptly</w:t>
            </w:r>
          </w:p>
        </w:tc>
        <w:tc>
          <w:tcPr>
            <w:tcW w:type="dxa" w:w="8568"/>
            <w:tcMar>
              <w:top w:w="70" w:type="dxa"/>
              <w:start w:w="85" w:type="dxa"/>
              <w:bottom w:w="70" w:type="dxa"/>
              <w:end w:w="85" w:type="dxa"/>
            </w:tcMar>
            <w:vAlign w:val="top"/>
            <w:shd w:fill="F4F7FA"/>
          </w:tcPr>
          <w:p>
            <w:pPr>
              <w:spacing w:after="0" w:line="245" w:lineRule="auto"/>
            </w:pPr>
            <w:r>
              <w:rPr>
                <w:rFonts w:ascii="Calibri" w:hAnsi="Calibri"/>
                <w:color w:val="202A35"/>
                <w:sz w:val="17"/>
              </w:rPr>
              <w:t>The pleaded DTSA claim supplies a federal-question basis for removal to the U.S. District Court for the Western District of North Carolina, subject to procedural requirements and a timely notice (ordinarily within 30 days of service/receipt, here through May 27). The forum clause expressly permits state or federal courts in Mecklenburg County. Consider timing and whether a removal would disrupt the May 9 hearing; removal does not eliminate the injunction request. Diversity cannot be assessed without Apex’s members’ citizenship.</w:t>
            </w:r>
          </w:p>
        </w:tc>
      </w:tr>
    </w:tbl>
    <w:p>
      <w:pPr>
        <w:spacing w:after="0"/>
      </w:pPr>
    </w:p>
    <w:p>
      <w:r>
        <w:rPr>
          <w:b/>
        </w:rPr>
        <w:t>Recommended sequencing:</w:t>
      </w:r>
      <w:r>
        <w:rPr>
          <w:i w:val="0"/>
        </w:rPr>
        <w:t xml:space="preserve"> prepare and oppose the May 9 injunction request first, but concurrently develop a responsive pleading and make a deliberate forum/removal decision well before May 27. A Rule 12 motion may alter the answer timetable, but should be calendared and filed based on the applicable rule—not assumed from informal discussions.</w:t>
      </w:r>
    </w:p>
    <w:p>
      <w:pPr>
        <w:pStyle w:val="Heading1"/>
      </w:pPr>
      <w:r>
        <w:t>2. Key facts and chronology</w:t>
      </w:r>
    </w:p>
    <w:tbl>
      <w:tblPr>
        <w:tblStyle w:val="TableGrid"/>
        <w:tblW w:type="auto" w:w="0"/>
        <w:jc w:val="center"/>
        <w:tblLayout w:type="fixed"/>
        <w:tblLook w:firstColumn="1" w:firstRow="1" w:lastColumn="0" w:lastRow="0" w:noHBand="0" w:noVBand="1" w:val="04A0"/>
      </w:tblPr>
      <w:tblGrid>
        <w:gridCol w:w="2045"/>
        <w:gridCol w:w="8755"/>
      </w:tblGrid>
      <w:tr>
        <w:trPr>
          <w:tblHeader w:val="true"/>
          <w:cantSplit/>
        </w:trPr>
        <w:tc>
          <w:tcPr>
            <w:tcW w:type="dxa" w:w="4997"/>
            <w:shd w:fill="16324F"/>
            <w:tcMar>
              <w:top w:w="70" w:type="dxa"/>
              <w:start w:w="85" w:type="dxa"/>
              <w:bottom w:w="70" w:type="dxa"/>
              <w:end w:w="85" w:type="dxa"/>
            </w:tcMar>
            <w:vAlign w:val="center"/>
          </w:tcPr>
          <w:p>
            <w:pPr>
              <w:spacing w:after="0" w:before="0"/>
            </w:pPr>
            <w:r>
              <w:rPr>
                <w:rFonts w:ascii="Calibri" w:hAnsi="Calibri"/>
                <w:b/>
                <w:color w:val="FFFFFF"/>
                <w:sz w:val="17"/>
              </w:rPr>
              <w:t>Date / period</w:t>
            </w:r>
          </w:p>
        </w:tc>
        <w:tc>
          <w:tcPr>
            <w:tcW w:type="dxa" w:w="4997"/>
            <w:shd w:fill="16324F"/>
            <w:tcMar>
              <w:top w:w="70" w:type="dxa"/>
              <w:start w:w="85" w:type="dxa"/>
              <w:bottom w:w="70" w:type="dxa"/>
              <w:end w:w="85" w:type="dxa"/>
            </w:tcMar>
            <w:vAlign w:val="center"/>
          </w:tcPr>
          <w:p>
            <w:pPr>
              <w:spacing w:after="0" w:before="0"/>
            </w:pPr>
            <w:r>
              <w:rPr>
                <w:rFonts w:ascii="Calibri" w:hAnsi="Calibri"/>
                <w:b/>
                <w:color w:val="FFFFFF"/>
                <w:sz w:val="17"/>
              </w:rPr>
              <w:t>Event and significance</w:t>
            </w:r>
          </w:p>
        </w:tc>
      </w:tr>
      <w:tr>
        <w:trPr>
          <w:cantSplit/>
        </w:trPr>
        <w:tc>
          <w:tcPr>
            <w:tcW w:type="dxa" w:w="2045"/>
            <w:tcMar>
              <w:top w:w="70" w:type="dxa"/>
              <w:start w:w="85" w:type="dxa"/>
              <w:bottom w:w="70" w:type="dxa"/>
              <w:end w:w="85" w:type="dxa"/>
            </w:tcMar>
            <w:vAlign w:val="top"/>
          </w:tcPr>
          <w:p>
            <w:pPr>
              <w:spacing w:after="0" w:line="245" w:lineRule="auto"/>
            </w:pPr>
            <w:r>
              <w:rPr>
                <w:rFonts w:ascii="Calibri" w:hAnsi="Calibri"/>
                <w:color w:val="202A35"/>
                <w:sz w:val="17"/>
              </w:rPr>
              <w:t>Mar. 1, 2019</w:t>
            </w:r>
          </w:p>
        </w:tc>
        <w:tc>
          <w:tcPr>
            <w:tcW w:type="dxa" w:w="8755"/>
            <w:tcMar>
              <w:top w:w="70" w:type="dxa"/>
              <w:start w:w="85" w:type="dxa"/>
              <w:bottom w:w="70" w:type="dxa"/>
              <w:end w:w="85" w:type="dxa"/>
            </w:tcMar>
            <w:vAlign w:val="top"/>
          </w:tcPr>
          <w:p>
            <w:pPr>
              <w:spacing w:after="0" w:line="245" w:lineRule="auto"/>
            </w:pPr>
            <w:r>
              <w:rPr>
                <w:rFonts w:ascii="Calibri" w:hAnsi="Calibri"/>
                <w:color w:val="202A35"/>
                <w:sz w:val="17"/>
              </w:rPr>
              <w:t>Exclusive Distribution Agreement begins. Five-year Initial Term ends Feb. 28, 2024. Greenfield grants Apex exclusive distribution rights across GA, AL, TN, SC, NC, FL, MS, and LA (as alleged).</w:t>
            </w:r>
          </w:p>
        </w:tc>
      </w:tr>
      <w:tr>
        <w:trPr>
          <w:cantSplit/>
        </w:trPr>
        <w:tc>
          <w:tcPr>
            <w:tcW w:type="dxa" w:w="2045"/>
            <w:tcMar>
              <w:top w:w="70" w:type="dxa"/>
              <w:start w:w="85" w:type="dxa"/>
              <w:bottom w:w="70" w:type="dxa"/>
              <w:end w:w="85" w:type="dxa"/>
            </w:tcMar>
            <w:vAlign w:val="top"/>
            <w:shd w:fill="F4F7FA"/>
          </w:tcPr>
          <w:p>
            <w:pPr>
              <w:spacing w:after="0" w:line="245" w:lineRule="auto"/>
            </w:pPr>
            <w:r>
              <w:rPr>
                <w:rFonts w:ascii="Calibri" w:hAnsi="Calibri"/>
                <w:color w:val="202A35"/>
                <w:sz w:val="17"/>
              </w:rPr>
              <w:t>Mar. 2020–Feb. 2021</w:t>
            </w:r>
          </w:p>
        </w:tc>
        <w:tc>
          <w:tcPr>
            <w:tcW w:type="dxa" w:w="8755"/>
            <w:tcMar>
              <w:top w:w="70" w:type="dxa"/>
              <w:start w:w="85" w:type="dxa"/>
              <w:bottom w:w="70" w:type="dxa"/>
              <w:end w:w="85" w:type="dxa"/>
            </w:tcMar>
            <w:vAlign w:val="top"/>
            <w:shd w:fill="F4F7FA"/>
          </w:tcPr>
          <w:p>
            <w:pPr>
              <w:spacing w:after="0" w:line="245" w:lineRule="auto"/>
            </w:pPr>
            <w:r>
              <w:rPr>
                <w:rFonts w:ascii="Calibri" w:hAnsi="Calibri"/>
                <w:color w:val="202A35"/>
                <w:sz w:val="17"/>
              </w:rPr>
              <w:t>Apex purchases approximately $7.1m against a $9.2m Year 2 minimum. Section 5.3 characterizes a single-year shortfall as curable and requires 60 days’ written notice and an opportunity to cure. Greenfield sent no such notice; Apex later exceeded the minimums in Years 3–5 and purchased $55.7m cumulatively against $54m.</w:t>
            </w:r>
          </w:p>
        </w:tc>
      </w:tr>
      <w:tr>
        <w:trPr>
          <w:cantSplit/>
        </w:trPr>
        <w:tc>
          <w:tcPr>
            <w:tcW w:type="dxa" w:w="2045"/>
            <w:tcMar>
              <w:top w:w="70" w:type="dxa"/>
              <w:start w:w="85" w:type="dxa"/>
              <w:bottom w:w="70" w:type="dxa"/>
              <w:end w:w="85" w:type="dxa"/>
            </w:tcMar>
            <w:vAlign w:val="top"/>
          </w:tcPr>
          <w:p>
            <w:pPr>
              <w:spacing w:after="0" w:line="245" w:lineRule="auto"/>
            </w:pPr>
            <w:r>
              <w:rPr>
                <w:rFonts w:ascii="Calibri" w:hAnsi="Calibri"/>
                <w:color w:val="202A35"/>
                <w:sz w:val="17"/>
              </w:rPr>
              <w:t>July 15, 2023</w:t>
            </w:r>
          </w:p>
        </w:tc>
        <w:tc>
          <w:tcPr>
            <w:tcW w:type="dxa" w:w="8755"/>
            <w:tcMar>
              <w:top w:w="70" w:type="dxa"/>
              <w:start w:w="85" w:type="dxa"/>
              <w:bottom w:w="70" w:type="dxa"/>
              <w:end w:w="85" w:type="dxa"/>
            </w:tcMar>
            <w:vAlign w:val="top"/>
          </w:tcPr>
          <w:p>
            <w:pPr>
              <w:spacing w:after="0" w:line="245" w:lineRule="auto"/>
            </w:pPr>
            <w:r>
              <w:rPr>
                <w:rFonts w:ascii="Calibri" w:hAnsi="Calibri"/>
                <w:color w:val="202A35"/>
                <w:sz w:val="17"/>
              </w:rPr>
              <w:t>VP of Sales Thomas Hargrove sends a non-renewal notice. Section 4.2 requires delivery by the CEO or General Counsel and states a noncompliant notice is void. Yuen reports Hargrove acted without her review or Ellsworth’s approval.</w:t>
            </w:r>
          </w:p>
        </w:tc>
      </w:tr>
      <w:tr>
        <w:trPr>
          <w:cantSplit/>
        </w:trPr>
        <w:tc>
          <w:tcPr>
            <w:tcW w:type="dxa" w:w="2045"/>
            <w:tcMar>
              <w:top w:w="70" w:type="dxa"/>
              <w:start w:w="85" w:type="dxa"/>
              <w:bottom w:w="70" w:type="dxa"/>
              <w:end w:w="85" w:type="dxa"/>
            </w:tcMar>
            <w:vAlign w:val="top"/>
            <w:shd w:fill="F4F7FA"/>
          </w:tcPr>
          <w:p>
            <w:pPr>
              <w:spacing w:after="0" w:line="245" w:lineRule="auto"/>
            </w:pPr>
            <w:r>
              <w:rPr>
                <w:rFonts w:ascii="Calibri" w:hAnsi="Calibri"/>
                <w:color w:val="202A35"/>
                <w:sz w:val="17"/>
              </w:rPr>
              <w:t>Aug. 3, 2023</w:t>
            </w:r>
          </w:p>
        </w:tc>
        <w:tc>
          <w:tcPr>
            <w:tcW w:type="dxa" w:w="8755"/>
            <w:tcMar>
              <w:top w:w="70" w:type="dxa"/>
              <w:start w:w="85" w:type="dxa"/>
              <w:bottom w:w="70" w:type="dxa"/>
              <w:end w:w="85" w:type="dxa"/>
            </w:tcMar>
            <w:vAlign w:val="top"/>
            <w:shd w:fill="F4F7FA"/>
          </w:tcPr>
          <w:p>
            <w:pPr>
              <w:spacing w:after="0" w:line="245" w:lineRule="auto"/>
            </w:pPr>
            <w:r>
              <w:rPr>
                <w:rFonts w:ascii="Calibri" w:hAnsi="Calibri"/>
                <w:color w:val="202A35"/>
                <w:sz w:val="17"/>
              </w:rPr>
              <w:t>Apex counsel objects in writing to the signatory defect and identifies an Aug. 31 deadline. Greenfield did not respond before the later notice.</w:t>
            </w:r>
          </w:p>
        </w:tc>
      </w:tr>
      <w:tr>
        <w:trPr>
          <w:cantSplit/>
        </w:trPr>
        <w:tc>
          <w:tcPr>
            <w:tcW w:type="dxa" w:w="2045"/>
            <w:tcMar>
              <w:top w:w="70" w:type="dxa"/>
              <w:start w:w="85" w:type="dxa"/>
              <w:bottom w:w="70" w:type="dxa"/>
              <w:end w:w="85" w:type="dxa"/>
            </w:tcMar>
            <w:vAlign w:val="top"/>
          </w:tcPr>
          <w:p>
            <w:pPr>
              <w:spacing w:after="0" w:line="245" w:lineRule="auto"/>
            </w:pPr>
            <w:r>
              <w:rPr>
                <w:rFonts w:ascii="Calibri" w:hAnsi="Calibri"/>
                <w:color w:val="202A35"/>
                <w:sz w:val="17"/>
              </w:rPr>
              <w:t>Sept. 1 / Sept. 12, 2023</w:t>
            </w:r>
          </w:p>
        </w:tc>
        <w:tc>
          <w:tcPr>
            <w:tcW w:type="dxa" w:w="8755"/>
            <w:tcMar>
              <w:top w:w="70" w:type="dxa"/>
              <w:start w:w="85" w:type="dxa"/>
              <w:bottom w:w="70" w:type="dxa"/>
              <w:end w:w="85" w:type="dxa"/>
            </w:tcMar>
            <w:vAlign w:val="top"/>
          </w:tcPr>
          <w:p>
            <w:pPr>
              <w:spacing w:after="0" w:line="245" w:lineRule="auto"/>
            </w:pPr>
            <w:r>
              <w:rPr>
                <w:rFonts w:ascii="Calibri" w:hAnsi="Calibri"/>
                <w:color w:val="202A35"/>
                <w:sz w:val="17"/>
              </w:rPr>
              <w:t>On ordinary date arithmetic, Sept. 1 is 180 days before Feb. 28, 2024; the complaint’s Aug. 31 deadline is one day early. Ellsworth’s Sept. 12 notice is 169 days before expiration and therefore 11 days short even using Sept. 1. It expressly supersedes/replaces the July letter.</w:t>
            </w:r>
          </w:p>
        </w:tc>
      </w:tr>
      <w:tr>
        <w:trPr>
          <w:cantSplit/>
        </w:trPr>
        <w:tc>
          <w:tcPr>
            <w:tcW w:type="dxa" w:w="2045"/>
            <w:tcMar>
              <w:top w:w="70" w:type="dxa"/>
              <w:start w:w="85" w:type="dxa"/>
              <w:bottom w:w="70" w:type="dxa"/>
              <w:end w:w="85" w:type="dxa"/>
            </w:tcMar>
            <w:vAlign w:val="top"/>
            <w:shd w:fill="F4F7FA"/>
          </w:tcPr>
          <w:p>
            <w:pPr>
              <w:spacing w:after="0" w:line="245" w:lineRule="auto"/>
            </w:pPr>
            <w:r>
              <w:rPr>
                <w:rFonts w:ascii="Calibri" w:hAnsi="Calibri"/>
                <w:color w:val="202A35"/>
                <w:sz w:val="17"/>
              </w:rPr>
              <w:t>Oct. 2023–Feb. 5, 2024</w:t>
            </w:r>
          </w:p>
        </w:tc>
        <w:tc>
          <w:tcPr>
            <w:tcW w:type="dxa" w:w="8755"/>
            <w:tcMar>
              <w:top w:w="70" w:type="dxa"/>
              <w:start w:w="85" w:type="dxa"/>
              <w:bottom w:w="70" w:type="dxa"/>
              <w:end w:w="85" w:type="dxa"/>
            </w:tcMar>
            <w:vAlign w:val="top"/>
            <w:shd w:fill="F4F7FA"/>
          </w:tcPr>
          <w:p>
            <w:pPr>
              <w:spacing w:after="0" w:line="245" w:lineRule="auto"/>
            </w:pPr>
            <w:r>
              <w:rPr>
                <w:rFonts w:ascii="Calibri" w:hAnsi="Calibri"/>
                <w:color w:val="202A35"/>
                <w:sz w:val="17"/>
              </w:rPr>
              <w:t>Complaint alleges the direct-sales campaign began around October 2023; Yuen reports Hargrove led the initiative. Exhibit E invoices total $4.26m: Magnolia $870k (Nov. 15); Tidewater $720k (Dec. 8) plus $480k (Jan. 22); Clearwater $640k (Jan. 18); Southeastern $1.55m (Feb. 5). All are within the Initial Term. These are proof of sales, not by themselves proof of Apex’s lost margin or misappropriation.</w:t>
            </w:r>
          </w:p>
        </w:tc>
      </w:tr>
      <w:tr>
        <w:trPr>
          <w:cantSplit/>
        </w:trPr>
        <w:tc>
          <w:tcPr>
            <w:tcW w:type="dxa" w:w="2045"/>
            <w:tcMar>
              <w:top w:w="70" w:type="dxa"/>
              <w:start w:w="85" w:type="dxa"/>
              <w:bottom w:w="70" w:type="dxa"/>
              <w:end w:w="85" w:type="dxa"/>
            </w:tcMar>
            <w:vAlign w:val="top"/>
          </w:tcPr>
          <w:p>
            <w:pPr>
              <w:spacing w:after="0" w:line="245" w:lineRule="auto"/>
            </w:pPr>
            <w:r>
              <w:rPr>
                <w:rFonts w:ascii="Calibri" w:hAnsi="Calibri"/>
                <w:color w:val="202A35"/>
                <w:sz w:val="17"/>
              </w:rPr>
              <w:t>Management / notice context</w:t>
            </w:r>
          </w:p>
        </w:tc>
        <w:tc>
          <w:tcPr>
            <w:tcW w:type="dxa" w:w="8755"/>
            <w:tcMar>
              <w:top w:w="70" w:type="dxa"/>
              <w:start w:w="85" w:type="dxa"/>
              <w:bottom w:w="70" w:type="dxa"/>
              <w:end w:w="85" w:type="dxa"/>
            </w:tcMar>
            <w:vAlign w:val="top"/>
          </w:tcPr>
          <w:p>
            <w:pPr>
              <w:spacing w:after="0" w:line="245" w:lineRule="auto"/>
            </w:pPr>
            <w:r>
              <w:rPr>
                <w:rFonts w:ascii="Calibri" w:hAnsi="Calibri"/>
                <w:color w:val="202A35"/>
                <w:sz w:val="17"/>
              </w:rPr>
              <w:t>Yuen reports Hargrove sent the July notice on his own initiative, without her review or approval, and was eager to begin Greenfield’s Southeast direct-sales efforts. This creates adverse intent/knowledge risk and makes preservation/interviews with Hargrove, Yuen, and Ellsworth urgent; corroborate the account against contemporaneous records.</w:t>
            </w:r>
          </w:p>
        </w:tc>
      </w:tr>
      <w:tr>
        <w:trPr>
          <w:cantSplit/>
        </w:trPr>
        <w:tc>
          <w:tcPr>
            <w:tcW w:type="dxa" w:w="2045"/>
            <w:tcMar>
              <w:top w:w="70" w:type="dxa"/>
              <w:start w:w="85" w:type="dxa"/>
              <w:bottom w:w="70" w:type="dxa"/>
              <w:end w:w="85" w:type="dxa"/>
            </w:tcMar>
            <w:vAlign w:val="top"/>
            <w:shd w:fill="F4F7FA"/>
          </w:tcPr>
          <w:p>
            <w:pPr>
              <w:spacing w:after="0" w:line="245" w:lineRule="auto"/>
            </w:pPr>
            <w:r>
              <w:rPr>
                <w:rFonts w:ascii="Calibri" w:hAnsi="Calibri"/>
                <w:color w:val="202A35"/>
                <w:sz w:val="17"/>
              </w:rPr>
              <w:t>Feb. 2024</w:t>
            </w:r>
          </w:p>
        </w:tc>
        <w:tc>
          <w:tcPr>
            <w:tcW w:type="dxa" w:w="8755"/>
            <w:tcMar>
              <w:top w:w="70" w:type="dxa"/>
              <w:start w:w="85" w:type="dxa"/>
              <w:bottom w:w="70" w:type="dxa"/>
              <w:end w:w="85" w:type="dxa"/>
            </w:tcMar>
            <w:vAlign w:val="top"/>
            <w:shd w:fill="F4F7FA"/>
          </w:tcPr>
          <w:p>
            <w:pPr>
              <w:spacing w:after="0" w:line="245" w:lineRule="auto"/>
            </w:pPr>
            <w:r>
              <w:rPr>
                <w:rFonts w:ascii="Calibri" w:hAnsi="Calibri"/>
                <w:color w:val="202A35"/>
                <w:sz w:val="17"/>
              </w:rPr>
              <w:t>Yuen reports Greenfield hired Kelsey and Ostrowski. Exact offer, acceptance, start, and recruiting dates are not supplied. Most documented invoices predate February; the Feb. 5 sale may also predate their start dates.</w:t>
            </w:r>
          </w:p>
        </w:tc>
      </w:tr>
      <w:tr>
        <w:trPr>
          <w:cantSplit/>
        </w:trPr>
        <w:tc>
          <w:tcPr>
            <w:tcW w:type="dxa" w:w="2045"/>
            <w:tcMar>
              <w:top w:w="70" w:type="dxa"/>
              <w:start w:w="85" w:type="dxa"/>
              <w:bottom w:w="70" w:type="dxa"/>
              <w:end w:w="85" w:type="dxa"/>
            </w:tcMar>
            <w:vAlign w:val="top"/>
          </w:tcPr>
          <w:p>
            <w:pPr>
              <w:spacing w:after="0" w:line="245" w:lineRule="auto"/>
            </w:pPr>
            <w:r>
              <w:rPr>
                <w:rFonts w:ascii="Calibri" w:hAnsi="Calibri"/>
                <w:color w:val="202A35"/>
                <w:sz w:val="17"/>
              </w:rPr>
              <w:t>Feb. 28, 2024</w:t>
            </w:r>
          </w:p>
        </w:tc>
        <w:tc>
          <w:tcPr>
            <w:tcW w:type="dxa" w:w="8755"/>
            <w:tcMar>
              <w:top w:w="70" w:type="dxa"/>
              <w:start w:w="85" w:type="dxa"/>
              <w:bottom w:w="70" w:type="dxa"/>
              <w:end w:w="85" w:type="dxa"/>
            </w:tcMar>
            <w:vAlign w:val="top"/>
          </w:tcPr>
          <w:p>
            <w:pPr>
              <w:spacing w:after="0" w:line="245" w:lineRule="auto"/>
            </w:pPr>
            <w:r>
              <w:rPr>
                <w:rFonts w:ascii="Calibri" w:hAnsi="Calibri"/>
                <w:color w:val="202A35"/>
                <w:sz w:val="17"/>
              </w:rPr>
              <w:t>Initial Term expires. If neither notice complied with Section 4.2, the Agreement automatically renewed through Feb. 28, 2026. On current text, this is Apex’s strong position.</w:t>
            </w:r>
          </w:p>
        </w:tc>
      </w:tr>
      <w:tr>
        <w:trPr>
          <w:cantSplit/>
        </w:trPr>
        <w:tc>
          <w:tcPr>
            <w:tcW w:type="dxa" w:w="2045"/>
            <w:tcMar>
              <w:top w:w="70" w:type="dxa"/>
              <w:start w:w="85" w:type="dxa"/>
              <w:bottom w:w="70" w:type="dxa"/>
              <w:end w:w="85" w:type="dxa"/>
            </w:tcMar>
            <w:vAlign w:val="top"/>
            <w:shd w:fill="F4F7FA"/>
          </w:tcPr>
          <w:p>
            <w:pPr>
              <w:spacing w:after="0" w:line="245" w:lineRule="auto"/>
            </w:pPr>
            <w:r>
              <w:rPr>
                <w:rFonts w:ascii="Calibri" w:hAnsi="Calibri"/>
                <w:color w:val="202A35"/>
                <w:sz w:val="17"/>
              </w:rPr>
              <w:t>Apr. 22–25, 2025</w:t>
            </w:r>
          </w:p>
        </w:tc>
        <w:tc>
          <w:tcPr>
            <w:tcW w:type="dxa" w:w="8755"/>
            <w:tcMar>
              <w:top w:w="70" w:type="dxa"/>
              <w:start w:w="85" w:type="dxa"/>
              <w:bottom w:w="70" w:type="dxa"/>
              <w:end w:w="85" w:type="dxa"/>
            </w:tcMar>
            <w:vAlign w:val="top"/>
            <w:shd w:fill="F4F7FA"/>
          </w:tcPr>
          <w:p>
            <w:pPr>
              <w:spacing w:after="0" w:line="245" w:lineRule="auto"/>
            </w:pPr>
            <w:r>
              <w:rPr>
                <w:rFonts w:ascii="Calibri" w:hAnsi="Calibri"/>
                <w:color w:val="202A35"/>
                <w:sz w:val="17"/>
              </w:rPr>
              <w:t>Complaint filed Apr. 22; service affidavit states service Apr. 25. The complaint alleges direct sales continued “through the present,” but the invoices supplied end Feb. 5, 2024. Verify any later transactions, cessation dates, and Apex’s discovery date; a lengthy gap may bear on urgency.</w:t>
            </w:r>
          </w:p>
        </w:tc>
      </w:tr>
    </w:tbl>
    <w:p>
      <w:pPr>
        <w:spacing w:after="0"/>
      </w:pPr>
    </w:p>
    <w:p>
      <w:pPr>
        <w:pStyle w:val="Heading1"/>
      </w:pPr>
      <w:r>
        <w:t>3. Contract, forum, and choice-of-law analysis</w:t>
      </w:r>
    </w:p>
    <w:p>
      <w:pPr>
        <w:pStyle w:val="Heading2"/>
      </w:pPr>
      <w:r>
        <w:t>A. Renewal and the Year 2 shortfall</w:t>
      </w:r>
    </w:p>
    <w:p>
      <w:r>
        <w:rPr>
          <w:i w:val="0"/>
        </w:rPr>
        <w:t>The agreement excerpt is unusually explicit: Section 4.2 requires notice at least 180 days before expiration, requires the notice to be delivered by the terminating party’s CEO or General Counsel, and declares a notice that fails the signatory or timing requirements “void and of no force or effect.” Hargrove’s July letter does not meet the specified signatory condition. The September letter has the correct signer but was delivered 169 days before expiration. Its “supersedes and replaces” language further weakens any argument that it relates back to July. Apex’s August 3 warning, followed by Greenfield’s silence until after the deadline, is unfavorable evidence on notice and equitable defenses.</w:t>
      </w:r>
    </w:p>
    <w:p>
      <w:r>
        <w:rPr>
          <w:i w:val="0"/>
        </w:rPr>
        <w:t>Date calculation correction: the calendar-date difference between September 1, 2023 and February 28, 2024 is 180 days; August 31 is 181 days before February 28. The complaint is therefore one day early in identifying the cutoff. September 12 remains 11 days late, so the calculation error does not cure the notice. Confirm the agreement’s notice-delivery mechanics, actual delivery receipts, and any controlling interpretation of “prior to” before finalizing the position.</w:t>
      </w:r>
    </w:p>
    <w:p>
      <w:r>
        <w:rPr>
          <w:i w:val="0"/>
        </w:rPr>
        <w:t>The Year 2 shortfall is not a persuasive present defense to the renewal. Section 5.3 required written notice and a 60-day cure opportunity before termination rights could be exercised; Yuen confirms none was sent. The record also reflects acceptance of later performance and cumulative purchases above the five-year total. The omission is likely a substantial waiver/notice problem. The shortfall may be relevant to breach, but cannot safely be treated as automatically terminating the agreement or excusing Greenfield’s direct sales. COVID-related defenses need not be resolved to assess that procedural failure.</w:t>
      </w:r>
    </w:p>
    <w:p>
      <w:pPr>
        <w:pStyle w:val="Heading2"/>
      </w:pPr>
      <w:r>
        <w:t>B. Direct sales and contract damages</w:t>
      </w:r>
    </w:p>
    <w:p>
      <w:r>
        <w:rPr>
          <w:i w:val="0"/>
        </w:rPr>
        <w:t>Even if the September notice had been timely, all four representative invoices fall before February 28, 2024, while the Initial Term was still operative. Thus the direct sales can support a contract breach independent of renewal. The full agreement is essential: confirm whether exclusivity is absolute, whether Greenfield reserved direct-account or house-account rights, what sales are covered, how the alleged 18% commission is defined, and whether Sections 12 or 5 impose other notice/cure conditions. The excerpts do not include these provisions or any complete termination/notice article.</w:t>
      </w:r>
    </w:p>
    <w:p>
      <w:r>
        <w:rPr>
          <w:i w:val="0"/>
        </w:rPr>
        <w:t>The two-year renewal is also plausible under the text. But Apex’s claimed $7.084m in future lost profits assumes $16.1m annual sales at a 22% gross margin for both renewal years. Section 5.2 provides a renewal minimum: absent a mutual agreement 60 days before the renewal, the Year 5 $14m figure adjusts by CPI-U. It does not establish $16.1m annual sales or a 22% margin. Obtain the parties’ renewal discussions, applicable CPI calculations, actual 2024–2025 orders, comparable sales history, costs/margins, and mitigation evidence. Distinguish contractual minimum purchases from sales forecast and profit evidence.</w:t>
      </w:r>
    </w:p>
    <w:p>
      <w:pPr>
        <w:pStyle w:val="Heading2"/>
      </w:pPr>
      <w:r>
        <w:t>C. Choice of law, venue, and removal</w:t>
      </w:r>
    </w:p>
    <w:p>
      <w:pPr>
        <w:pStyle w:val="ListBullet"/>
        <w:ind w:left="346" w:hanging="187"/>
      </w:pPr>
      <w:r>
        <w:rPr>
          <w:b/>
        </w:rPr>
        <w:t>Venue and personal jurisdiction:</w:t>
      </w:r>
      <w:r>
        <w:t xml:space="preserve"> the agreement’s broad forum clause selects state or federal courts in Mecklenburg County and consents to jurisdiction; Greenfield’s principal place of business is in Charlotte. The current state forum is consistent with the clause.</w:t>
      </w:r>
    </w:p>
    <w:p>
      <w:pPr>
        <w:pStyle w:val="ListBullet"/>
        <w:ind w:left="346" w:hanging="187"/>
      </w:pPr>
      <w:r>
        <w:rPr>
          <w:b/>
        </w:rPr>
        <w:t>Contract:</w:t>
      </w:r>
      <w:r>
        <w:t xml:space="preserve"> Section 16.1 selects Georgia substantive law for interpretation, validity, performance, and enforcement. North Carolina procedure governs in this state court, including Rule 65 and the service/pleading rules.</w:t>
      </w:r>
    </w:p>
    <w:p>
      <w:pPr>
        <w:pStyle w:val="ListBullet"/>
        <w:ind w:left="346" w:hanging="187"/>
      </w:pPr>
      <w:r>
        <w:rPr>
          <w:b/>
        </w:rPr>
        <w:t>Tort and trade-secret choice of law:</w:t>
      </w:r>
      <w:r>
        <w:t xml:space="preserve"> the distribution agreement’s Georgia clause is strong for contract issues, but does not conclusively resolve every independent tort choice-of-law question. The tortious-interference claim concerns customer relationships in several states; the North Carolina court may need to apply North Carolina conflicts rules. DTSA is federal law. The GTSA claim’s governing-law basis should be contested/briefed if material rather than assumed from the contract clause.</w:t>
      </w:r>
    </w:p>
    <w:p>
      <w:pPr>
        <w:pStyle w:val="ListBullet"/>
        <w:ind w:left="346" w:hanging="187"/>
      </w:pPr>
      <w:r>
        <w:rPr>
          <w:b/>
        </w:rPr>
        <w:t>Employee covenants:</w:t>
      </w:r>
      <w:r>
        <w:t xml:space="preserve"> both Exhibit F agreements separately select Georgia law; each employee is identified as a Georgia resident when signing. Georgia’s Restrictive Covenants Act generally permits covenants for qualifying employees and can presume a restriction of two years or less reasonable in duration, but employee status, scope, geographic fit, consideration, and the full agreements remain material. The noncompete’s prohibition on work for a competitor “in any capacity” across eight states is broad. A North Carolina forum may be asked to apply North Carolina public policy / its restrictive-covenant standards despite the selection clause; outcome is not certain.</w:t>
      </w:r>
    </w:p>
    <w:p>
      <w:r>
        <w:rPr>
          <w:i w:val="0"/>
        </w:rPr>
        <w:t>Greenfield is not a party to the employment agreements. Their choice-of-law provisions govern Apex–employee covenant issues, not automatically Greenfield’s liability. Apex may pursue a properly supported interference theory against Greenfield, but it must prove an enforceable covenant, knowledge, intentional inducement, breach, causation, and improper conduct. The former employees are not named defendants in this case. Do not assume the injunction can simply enforce their personal covenants against Greenfield.</w:t>
      </w:r>
    </w:p>
    <w:p>
      <w:pPr>
        <w:pStyle w:val="Heading1"/>
      </w:pPr>
      <w:r>
        <w:t>4. Claim-by-claim assessment</w:t>
      </w:r>
    </w:p>
    <w:tbl>
      <w:tblPr>
        <w:tblStyle w:val="TableGrid"/>
        <w:tblW w:type="auto" w:w="0"/>
        <w:jc w:val="center"/>
        <w:tblLayout w:type="fixed"/>
        <w:tblLook w:firstColumn="1" w:firstRow="1" w:lastColumn="0" w:lastRow="0" w:noHBand="0" w:noVBand="1" w:val="04A0"/>
      </w:tblPr>
      <w:tblGrid>
        <w:gridCol w:w="1944"/>
        <w:gridCol w:w="3528"/>
        <w:gridCol w:w="5328"/>
      </w:tblGrid>
      <w:tr>
        <w:trPr>
          <w:tblHeader w:val="true"/>
          <w:cantSplit/>
        </w:trPr>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Claim</w:t>
            </w:r>
          </w:p>
        </w:tc>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Apex’s theory / pleaded amount</w:t>
            </w:r>
          </w:p>
        </w:tc>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Initial assessment and defense focus</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Count I — breach of exclusive distribution agreement</w:t>
            </w:r>
          </w:p>
        </w:tc>
        <w:tc>
          <w:tcPr>
            <w:tcW w:type="dxa" w:w="3528"/>
            <w:tcMar>
              <w:top w:w="70" w:type="dxa"/>
              <w:start w:w="85" w:type="dxa"/>
              <w:bottom w:w="70" w:type="dxa"/>
              <w:end w:w="85" w:type="dxa"/>
            </w:tcMar>
            <w:vAlign w:val="top"/>
          </w:tcPr>
          <w:p>
            <w:pPr>
              <w:spacing w:after="0" w:line="245" w:lineRule="auto"/>
            </w:pPr>
            <w:r>
              <w:rPr>
                <w:rFonts w:ascii="Calibri" w:hAnsi="Calibri"/>
                <w:color w:val="202A35"/>
                <w:sz w:val="16"/>
              </w:rPr>
              <w:t>Invalid notices, direct sales, and failure to honor renewal. $7,850,800: $7.084m renewal lost profits + $766,800 direct-sale commissions; specific performance; contractual prevailing-party fees.</w:t>
            </w:r>
          </w:p>
        </w:tc>
        <w:tc>
          <w:tcPr>
            <w:tcW w:type="dxa" w:w="5328"/>
            <w:tcMar>
              <w:top w:w="70" w:type="dxa"/>
              <w:start w:w="85" w:type="dxa"/>
              <w:bottom w:w="70" w:type="dxa"/>
              <w:end w:w="85" w:type="dxa"/>
            </w:tcMar>
            <w:vAlign w:val="top"/>
          </w:tcPr>
          <w:p>
            <w:pPr>
              <w:spacing w:after="0" w:line="245" w:lineRule="auto"/>
            </w:pPr>
            <w:r>
              <w:rPr>
                <w:rFonts w:ascii="Calibri" w:hAnsi="Calibri"/>
                <w:color w:val="202A35"/>
                <w:sz w:val="16"/>
              </w:rPr>
              <w:t>High liability risk on direct sales if the full agreement confirms exclusive rights and the 18% term. Renewal issue also favors Apex on present text. Main damages defenses: full contract terms; $16.1m revenue / 22% margin foundation; mitigation; sales actually achievable; causation; overlap with account-value claim. Section 5.3 makes Year 2 shortfall a weak termination defense. Fee exposure is reciprocal and potentially material.</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Count II — tortious interference with business relationships</w:t>
            </w:r>
          </w:p>
        </w:tc>
        <w:tc>
          <w:tcPr>
            <w:tcW w:type="dxa" w:w="3528"/>
            <w:tcMar>
              <w:top w:w="70" w:type="dxa"/>
              <w:start w:w="85" w:type="dxa"/>
              <w:bottom w:w="70" w:type="dxa"/>
              <w:end w:w="85" w:type="dxa"/>
            </w:tcMar>
            <w:vAlign w:val="top"/>
            <w:shd w:fill="F4F7FA"/>
          </w:tcPr>
          <w:p>
            <w:pPr>
              <w:spacing w:after="0" w:line="245" w:lineRule="auto"/>
            </w:pPr>
            <w:r>
              <w:rPr>
                <w:rFonts w:ascii="Calibri" w:hAnsi="Calibri"/>
                <w:color w:val="202A35"/>
                <w:sz w:val="16"/>
              </w:rPr>
              <w:t>Four named customer accounts; alleged undercutting and misuse of data. $6.2m claimed NPV plus unspecified punitive damages. Paragraph 72 also alleges interference with Kelsey/Ostrowski covenants.</w:t>
            </w:r>
          </w:p>
        </w:tc>
        <w:tc>
          <w:tcPr>
            <w:tcW w:type="dxa" w:w="5328"/>
            <w:tcMar>
              <w:top w:w="70" w:type="dxa"/>
              <w:start w:w="85" w:type="dxa"/>
              <w:bottom w:w="70" w:type="dxa"/>
              <w:end w:w="85" w:type="dxa"/>
            </w:tcMar>
            <w:vAlign w:val="top"/>
            <w:shd w:fill="F4F7FA"/>
          </w:tcPr>
          <w:p>
            <w:pPr>
              <w:spacing w:after="0" w:line="245" w:lineRule="auto"/>
            </w:pPr>
            <w:r>
              <w:rPr>
                <w:rFonts w:ascii="Calibri" w:hAnsi="Calibri"/>
                <w:color w:val="202A35"/>
                <w:sz w:val="16"/>
              </w:rPr>
              <w:t>Meaningful risk because Greenfield’s own invoices show direct sales to known Apex accounts during the contract. Challenge applicable state law, existing relationship/expectancy proof, improper means/privilege, causal link, and $6.2m valuation. The complaint’s customer NPV may duplicate contract lost profits and commission damages. Punitive damages require a distinct legal/factual basis and cannot be treated as assured.</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Count III — trade-secret misappropriation (GTSA / DTSA)</w:t>
            </w:r>
          </w:p>
        </w:tc>
        <w:tc>
          <w:tcPr>
            <w:tcW w:type="dxa" w:w="3528"/>
            <w:tcMar>
              <w:top w:w="70" w:type="dxa"/>
              <w:start w:w="85" w:type="dxa"/>
              <w:bottom w:w="70" w:type="dxa"/>
              <w:end w:w="85" w:type="dxa"/>
            </w:tcMar>
            <w:vAlign w:val="top"/>
          </w:tcPr>
          <w:p>
            <w:pPr>
              <w:spacing w:after="0" w:line="245" w:lineRule="auto"/>
            </w:pPr>
            <w:r>
              <w:rPr>
                <w:rFonts w:ascii="Calibri" w:hAnsi="Calibri"/>
                <w:color w:val="202A35"/>
                <w:sz w:val="16"/>
              </w:rPr>
              <w:t>Customer database, price matrices/discounts, and pipeline forecasts; asserted protection measures; alleged hiring/use. $3.4m “actual”/replacement-cost damages + $3.4m exemplary damages; injunction and fees.</w:t>
            </w:r>
          </w:p>
        </w:tc>
        <w:tc>
          <w:tcPr>
            <w:tcW w:type="dxa" w:w="5328"/>
            <w:tcMar>
              <w:top w:w="70" w:type="dxa"/>
              <w:start w:w="85" w:type="dxa"/>
              <w:bottom w:w="70" w:type="dxa"/>
              <w:end w:w="85" w:type="dxa"/>
            </w:tcMar>
            <w:vAlign w:val="top"/>
          </w:tcPr>
          <w:p>
            <w:pPr>
              <w:spacing w:after="0" w:line="245" w:lineRule="auto"/>
            </w:pPr>
            <w:r>
              <w:rPr>
                <w:rFonts w:ascii="Calibri" w:hAnsi="Calibri"/>
                <w:color w:val="202A35"/>
                <w:sz w:val="16"/>
              </w:rPr>
              <w:t>Evidence-dependent and presently less established than contract breach. Demand identification of each alleged secret, secrecy/value measures, access, acquisition/use, timing, and damages methodology. Hiring alone or employee knowledge is not proof of misappropriation. Critical timing mismatch: documented direct sales began months before reported February 2024 hires. Apex must show actual or threatened use, not merely that employees know information. DTSA injunctions may not bar employment based only on what a person knows; restrictions must rest on evidence of threatened misappropriation and cannot conflict with applicable state law. Avoid duplicative actual-loss / unjust-enrichment recovery; the $3.4m replacement-cost figure needs a defensible statutory measure.</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Count IV — unjust enrichment (alternative)</w:t>
            </w:r>
          </w:p>
        </w:tc>
        <w:tc>
          <w:tcPr>
            <w:tcW w:type="dxa" w:w="3528"/>
            <w:tcMar>
              <w:top w:w="70" w:type="dxa"/>
              <w:start w:w="85" w:type="dxa"/>
              <w:bottom w:w="70" w:type="dxa"/>
              <w:end w:w="85" w:type="dxa"/>
            </w:tcMar>
            <w:vAlign w:val="top"/>
            <w:shd w:fill="F4F7FA"/>
          </w:tcPr>
          <w:p>
            <w:pPr>
              <w:spacing w:after="0" w:line="245" w:lineRule="auto"/>
            </w:pPr>
            <w:r>
              <w:rPr>
                <w:rFonts w:ascii="Calibri" w:hAnsi="Calibri"/>
                <w:color w:val="202A35"/>
                <w:sz w:val="16"/>
              </w:rPr>
              <w:t>Disgorgement of Greenfield’s estimated 35% profit on the same $4.26m direct sales: $1,491,000.</w:t>
            </w:r>
          </w:p>
        </w:tc>
        <w:tc>
          <w:tcPr>
            <w:tcW w:type="dxa" w:w="5328"/>
            <w:tcMar>
              <w:top w:w="70" w:type="dxa"/>
              <w:start w:w="85" w:type="dxa"/>
              <w:bottom w:w="70" w:type="dxa"/>
              <w:end w:w="85" w:type="dxa"/>
            </w:tcMar>
            <w:vAlign w:val="top"/>
            <w:shd w:fill="F4F7FA"/>
          </w:tcPr>
          <w:p>
            <w:pPr>
              <w:spacing w:after="0" w:line="245" w:lineRule="auto"/>
            </w:pPr>
            <w:r>
              <w:rPr>
                <w:rFonts w:ascii="Calibri" w:hAnsi="Calibri"/>
                <w:color w:val="202A35"/>
                <w:sz w:val="16"/>
              </w:rPr>
              <w:t>Pled expressly in the alternative to contract relief. If an enforceable agreement governs the same subject, an independent quasi-contract recovery may be unavailable. Even if available, verify 35% actual incremental profit and costs; revenue is not profit. Must not duplicate commissions, contract lost profits, or trade-secret unjust enrichment.</w:t>
            </w:r>
          </w:p>
        </w:tc>
      </w:tr>
    </w:tbl>
    <w:p>
      <w:pPr>
        <w:spacing w:after="0"/>
      </w:pPr>
    </w:p>
    <w:p>
      <w:pPr>
        <w:pStyle w:val="Heading1"/>
      </w:pPr>
      <w:r>
        <w:t>5. Damages and exposure framework</w:t>
      </w:r>
    </w:p>
    <w:p>
      <w:r>
        <w:rPr>
          <w:i w:val="0"/>
        </w:rPr>
        <w:t>Apex’s arithmetic for its stated total is correct: $7.8508m + $6.2m + $6.8m + $1.491m = $22.3418m. The sum is not evidence that Apex can recover every component cumulatively. The same four transactions and customer relationships underlie (i) commission/lost-profit contract damages, (ii) the $6.2m customer-relationship valuation, (iii) the $1.491m Greenfield profit estimate, and potentially (iv) the trade-secret valuation. Courts generally prevent duplicative compensation for one injury; statutory unjust-enrichment and exemplary remedies are subject to separate statutory proof and limits.</w:t>
      </w:r>
    </w:p>
    <w:tbl>
      <w:tblPr>
        <w:tblStyle w:val="TableGrid"/>
        <w:tblW w:type="auto" w:w="0"/>
        <w:jc w:val="center"/>
        <w:tblLayout w:type="fixed"/>
        <w:tblLook w:firstColumn="1" w:firstRow="1" w:lastColumn="0" w:lastRow="0" w:noHBand="0" w:noVBand="1" w:val="04A0"/>
      </w:tblPr>
      <w:tblGrid>
        <w:gridCol w:w="1944"/>
        <w:gridCol w:w="2448"/>
        <w:gridCol w:w="6408"/>
      </w:tblGrid>
      <w:tr>
        <w:trPr>
          <w:tblHeader w:val="true"/>
          <w:cantSplit/>
        </w:trPr>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Pleading component</w:t>
            </w:r>
          </w:p>
        </w:tc>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Apex calculation</w:t>
            </w:r>
          </w:p>
        </w:tc>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Exposure lens / immediate proof issue</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Direct-sale commissions</w:t>
            </w:r>
          </w:p>
        </w:tc>
        <w:tc>
          <w:tcPr>
            <w:tcW w:type="dxa" w:w="2448"/>
            <w:tcMar>
              <w:top w:w="70" w:type="dxa"/>
              <w:start w:w="85" w:type="dxa"/>
              <w:bottom w:w="70" w:type="dxa"/>
              <w:end w:w="85" w:type="dxa"/>
            </w:tcMar>
            <w:vAlign w:val="top"/>
          </w:tcPr>
          <w:p>
            <w:pPr>
              <w:spacing w:after="0" w:line="245" w:lineRule="auto"/>
            </w:pPr>
            <w:r>
              <w:rPr>
                <w:rFonts w:ascii="Calibri" w:hAnsi="Calibri"/>
                <w:color w:val="202A35"/>
                <w:sz w:val="16"/>
              </w:rPr>
              <w:t>18% × $4.26m = $766,800</w:t>
            </w:r>
          </w:p>
        </w:tc>
        <w:tc>
          <w:tcPr>
            <w:tcW w:type="dxa" w:w="6408"/>
            <w:tcMar>
              <w:top w:w="70" w:type="dxa"/>
              <w:start w:w="85" w:type="dxa"/>
              <w:bottom w:w="70" w:type="dxa"/>
              <w:end w:w="85" w:type="dxa"/>
            </w:tcMar>
            <w:vAlign w:val="top"/>
          </w:tcPr>
          <w:p>
            <w:pPr>
              <w:spacing w:after="0" w:line="245" w:lineRule="auto"/>
            </w:pPr>
            <w:r>
              <w:rPr>
                <w:rFonts w:ascii="Calibri" w:hAnsi="Calibri"/>
                <w:color w:val="202A35"/>
                <w:sz w:val="16"/>
              </w:rPr>
              <w:t>Potentially the clearest quantified item if the complete agreement establishes 18% compensation and sales were covered. Need returns/credits, actual contract mechanics, and whether commission is the proper measure.</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Renewal lost profits</w:t>
            </w:r>
          </w:p>
        </w:tc>
        <w:tc>
          <w:tcPr>
            <w:tcW w:type="dxa" w:w="2448"/>
            <w:tcMar>
              <w:top w:w="70" w:type="dxa"/>
              <w:start w:w="85" w:type="dxa"/>
              <w:bottom w:w="70" w:type="dxa"/>
              <w:end w:w="85" w:type="dxa"/>
            </w:tcMar>
            <w:vAlign w:val="top"/>
            <w:shd w:fill="F4F7FA"/>
          </w:tcPr>
          <w:p>
            <w:pPr>
              <w:spacing w:after="0" w:line="245" w:lineRule="auto"/>
            </w:pPr>
            <w:r>
              <w:rPr>
                <w:rFonts w:ascii="Calibri" w:hAnsi="Calibri"/>
                <w:color w:val="202A35"/>
                <w:sz w:val="16"/>
              </w:rPr>
              <w:t>$16.1m annual sales × 22% × 2 years = $7.084m</w:t>
            </w:r>
          </w:p>
        </w:tc>
        <w:tc>
          <w:tcPr>
            <w:tcW w:type="dxa" w:w="6408"/>
            <w:tcMar>
              <w:top w:w="70" w:type="dxa"/>
              <w:start w:w="85" w:type="dxa"/>
              <w:bottom w:w="70" w:type="dxa"/>
              <w:end w:w="85" w:type="dxa"/>
            </w:tcMar>
            <w:vAlign w:val="top"/>
            <w:shd w:fill="F4F7FA"/>
          </w:tcPr>
          <w:p>
            <w:pPr>
              <w:spacing w:after="0" w:line="245" w:lineRule="auto"/>
            </w:pPr>
            <w:r>
              <w:rPr>
                <w:rFonts w:ascii="Calibri" w:hAnsi="Calibri"/>
                <w:color w:val="202A35"/>
                <w:sz w:val="16"/>
              </w:rPr>
              <w:t>Material but contested. Forecast is not the contractual minimum; require contemporaneous evidence, margin calculations, costs, actual renewal sales, capacity, mitigation, and customer churn.</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Lost customer relationships</w:t>
            </w:r>
          </w:p>
        </w:tc>
        <w:tc>
          <w:tcPr>
            <w:tcW w:type="dxa" w:w="2448"/>
            <w:tcMar>
              <w:top w:w="70" w:type="dxa"/>
              <w:start w:w="85" w:type="dxa"/>
              <w:bottom w:w="70" w:type="dxa"/>
              <w:end w:w="85" w:type="dxa"/>
            </w:tcMar>
            <w:vAlign w:val="top"/>
          </w:tcPr>
          <w:p>
            <w:pPr>
              <w:spacing w:after="0" w:line="245" w:lineRule="auto"/>
            </w:pPr>
            <w:r>
              <w:rPr>
                <w:rFonts w:ascii="Calibri" w:hAnsi="Calibri"/>
                <w:color w:val="202A35"/>
                <w:sz w:val="16"/>
              </w:rPr>
              <w:t>$6.2m NPV</w:t>
            </w:r>
          </w:p>
        </w:tc>
        <w:tc>
          <w:tcPr>
            <w:tcW w:type="dxa" w:w="6408"/>
            <w:tcMar>
              <w:top w:w="70" w:type="dxa"/>
              <w:start w:w="85" w:type="dxa"/>
              <w:bottom w:w="70" w:type="dxa"/>
              <w:end w:w="85" w:type="dxa"/>
            </w:tcMar>
            <w:vAlign w:val="top"/>
          </w:tcPr>
          <w:p>
            <w:pPr>
              <w:spacing w:after="0" w:line="245" w:lineRule="auto"/>
            </w:pPr>
            <w:r>
              <w:rPr>
                <w:rFonts w:ascii="Calibri" w:hAnsi="Calibri"/>
                <w:color w:val="202A35"/>
                <w:sz w:val="16"/>
              </w:rPr>
              <w:t>Methodology is summarized, not demonstrated. Obtain underlying customer-by-customer model, retention periods, discount rate, margins, growth assumptions, and avoid overlap with Count I.</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Trade-secret damages / exemplary</w:t>
            </w:r>
          </w:p>
        </w:tc>
        <w:tc>
          <w:tcPr>
            <w:tcW w:type="dxa" w:w="2448"/>
            <w:tcMar>
              <w:top w:w="70" w:type="dxa"/>
              <w:start w:w="85" w:type="dxa"/>
              <w:bottom w:w="70" w:type="dxa"/>
              <w:end w:w="85" w:type="dxa"/>
            </w:tcMar>
            <w:vAlign w:val="top"/>
            <w:shd w:fill="F4F7FA"/>
          </w:tcPr>
          <w:p>
            <w:pPr>
              <w:spacing w:after="0" w:line="245" w:lineRule="auto"/>
            </w:pPr>
            <w:r>
              <w:rPr>
                <w:rFonts w:ascii="Calibri" w:hAnsi="Calibri"/>
                <w:color w:val="202A35"/>
                <w:sz w:val="16"/>
              </w:rPr>
              <w:t>$3.4m replacement cost + $3.4m exemplary</w:t>
            </w:r>
          </w:p>
        </w:tc>
        <w:tc>
          <w:tcPr>
            <w:tcW w:type="dxa" w:w="6408"/>
            <w:tcMar>
              <w:top w:w="70" w:type="dxa"/>
              <w:start w:w="85" w:type="dxa"/>
              <w:bottom w:w="70" w:type="dxa"/>
              <w:end w:w="85" w:type="dxa"/>
            </w:tcMar>
            <w:vAlign w:val="top"/>
            <w:shd w:fill="F4F7FA"/>
          </w:tcPr>
          <w:p>
            <w:pPr>
              <w:spacing w:after="0" w:line="245" w:lineRule="auto"/>
            </w:pPr>
            <w:r>
              <w:rPr>
                <w:rFonts w:ascii="Calibri" w:hAnsi="Calibri"/>
                <w:color w:val="202A35"/>
                <w:sz w:val="16"/>
              </w:rPr>
              <w:t>No supporting workpapers provided. Clarify whether replacement cost measures actual loss, unjust enrichment, or a reasonable royalty; prevent double count. Exemplary award depends on proof of willful/malicious misappropriation and is statutorily capped (Apex claims one times its asserted actual amount).</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Unjust enrichment</w:t>
            </w:r>
          </w:p>
        </w:tc>
        <w:tc>
          <w:tcPr>
            <w:tcW w:type="dxa" w:w="2448"/>
            <w:tcMar>
              <w:top w:w="70" w:type="dxa"/>
              <w:start w:w="85" w:type="dxa"/>
              <w:bottom w:w="70" w:type="dxa"/>
              <w:end w:w="85" w:type="dxa"/>
            </w:tcMar>
            <w:vAlign w:val="top"/>
          </w:tcPr>
          <w:p>
            <w:pPr>
              <w:spacing w:after="0" w:line="245" w:lineRule="auto"/>
            </w:pPr>
            <w:r>
              <w:rPr>
                <w:rFonts w:ascii="Calibri" w:hAnsi="Calibri"/>
                <w:color w:val="202A35"/>
                <w:sz w:val="16"/>
              </w:rPr>
              <w:t>$1.491m = 35% × $4.26m</w:t>
            </w:r>
          </w:p>
        </w:tc>
        <w:tc>
          <w:tcPr>
            <w:tcW w:type="dxa" w:w="6408"/>
            <w:tcMar>
              <w:top w:w="70" w:type="dxa"/>
              <w:start w:w="85" w:type="dxa"/>
              <w:bottom w:w="70" w:type="dxa"/>
              <w:end w:w="85" w:type="dxa"/>
            </w:tcMar>
            <w:vAlign w:val="top"/>
          </w:tcPr>
          <w:p>
            <w:pPr>
              <w:spacing w:after="0" w:line="245" w:lineRule="auto"/>
            </w:pPr>
            <w:r>
              <w:rPr>
                <w:rFonts w:ascii="Calibri" w:hAnsi="Calibri"/>
                <w:color w:val="202A35"/>
                <w:sz w:val="16"/>
              </w:rPr>
              <w:t>Alternative claim; must substantiate net profit, not gross revenue, and avoid a second award for losses/profits already compensated.</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Additional relief</w:t>
            </w:r>
          </w:p>
        </w:tc>
        <w:tc>
          <w:tcPr>
            <w:tcW w:type="dxa" w:w="2448"/>
            <w:tcMar>
              <w:top w:w="70" w:type="dxa"/>
              <w:start w:w="85" w:type="dxa"/>
              <w:bottom w:w="70" w:type="dxa"/>
              <w:end w:w="85" w:type="dxa"/>
            </w:tcMar>
            <w:vAlign w:val="top"/>
            <w:shd w:fill="F4F7FA"/>
          </w:tcPr>
          <w:p>
            <w:pPr>
              <w:spacing w:after="0" w:line="245" w:lineRule="auto"/>
            </w:pPr>
            <w:r>
              <w:rPr>
                <w:rFonts w:ascii="Calibri" w:hAnsi="Calibri"/>
                <w:color w:val="202A35"/>
                <w:sz w:val="16"/>
              </w:rPr>
              <w:t>Count II punitive damages unspecified; fees, interest, injunction, specific performance</w:t>
            </w:r>
          </w:p>
        </w:tc>
        <w:tc>
          <w:tcPr>
            <w:tcW w:type="dxa" w:w="6408"/>
            <w:tcMar>
              <w:top w:w="70" w:type="dxa"/>
              <w:start w:w="85" w:type="dxa"/>
              <w:bottom w:w="70" w:type="dxa"/>
              <w:end w:w="85" w:type="dxa"/>
            </w:tcMar>
            <w:vAlign w:val="top"/>
            <w:shd w:fill="F4F7FA"/>
          </w:tcPr>
          <w:p>
            <w:pPr>
              <w:spacing w:after="0" w:line="245" w:lineRule="auto"/>
            </w:pPr>
            <w:r>
              <w:rPr>
                <w:rFonts w:ascii="Calibri" w:hAnsi="Calibri"/>
                <w:color w:val="202A35"/>
                <w:sz w:val="16"/>
              </w:rPr>
              <w:t>Quantification cannot be made from the current record. Contract fees are prevailing-party reciprocal; GTSA fee/exemplary relief requires statutory predicates. Injunction creates material business cost independent of money damages.</w:t>
            </w:r>
          </w:p>
        </w:tc>
      </w:tr>
    </w:tbl>
    <w:p>
      <w:pPr>
        <w:spacing w:after="0"/>
      </w:pPr>
    </w:p>
    <w:p>
      <w:r>
        <w:rPr>
          <w:b/>
        </w:rPr>
        <w:t>Realistic present view:</w:t>
      </w:r>
      <w:r>
        <w:rPr>
          <w:i w:val="0"/>
        </w:rPr>
        <w:t xml:space="preserve"> there is substantial exposure to a contract liability finding for the documented direct sales and a meaningful possibility that the court finds the agreement renewed through February 2026. The upper pleaded principal total of $22.34m is an aggressive ceiling, not a likely additive award on this record. A responsible reserve/range needs the complete contract, actual margin and revenue data, a nonduplicative damages model, and evidence concerning subsequent sales and trade-secret use. The case also presents material fee and operational-injunction exposure.</w:t>
      </w:r>
    </w:p>
    <w:p>
      <w:pPr>
        <w:pStyle w:val="Heading1"/>
      </w:pPr>
      <w:r>
        <w:t>6. May 9 TRO / preliminary injunction: opposition and mitigation</w:t>
      </w:r>
    </w:p>
    <w:p>
      <w:r>
        <w:rPr>
          <w:i w:val="0"/>
        </w:rPr>
        <w:t>Apex seeks four principal forms of relief: (1) bar all direct Greenfield sales to any customer in the eight-state Territory during the action; (2) return or destroy Apex sales information, under neutral supervision and with sworn certification; (3) prohibit Greenfield from employing Kelsey and Ostrowski in Territory-related or information-access roles; and (4) a verified accounting of all Territory direct sales since October 2023. The hearing is noticed with roughly two weeks’ lead time; no ex parte order appears in the materials provided.</w:t>
      </w:r>
    </w:p>
    <w:tbl>
      <w:tblPr>
        <w:tblStyle w:val="TableGrid"/>
        <w:tblW w:type="auto" w:w="0"/>
        <w:jc w:val="center"/>
        <w:tblLayout w:type="fixed"/>
        <w:tblLook w:firstColumn="1" w:firstRow="1" w:lastColumn="0" w:lastRow="0" w:noHBand="0" w:noVBand="1" w:val="04A0"/>
      </w:tblPr>
      <w:tblGrid>
        <w:gridCol w:w="1944"/>
        <w:gridCol w:w="8856"/>
      </w:tblGrid>
      <w:tr>
        <w:trPr>
          <w:tblHeader w:val="true"/>
          <w:cantSplit/>
        </w:trPr>
        <w:tc>
          <w:tcPr>
            <w:tcW w:type="dxa" w:w="4997"/>
            <w:shd w:fill="16324F"/>
            <w:tcMar>
              <w:top w:w="70" w:type="dxa"/>
              <w:start w:w="85" w:type="dxa"/>
              <w:bottom w:w="70" w:type="dxa"/>
              <w:end w:w="85" w:type="dxa"/>
            </w:tcMar>
            <w:vAlign w:val="center"/>
          </w:tcPr>
          <w:p>
            <w:pPr>
              <w:spacing w:after="0" w:before="0"/>
            </w:pPr>
            <w:r>
              <w:rPr>
                <w:rFonts w:ascii="Calibri" w:hAnsi="Calibri"/>
                <w:b/>
                <w:color w:val="FFFFFF"/>
                <w:sz w:val="16"/>
              </w:rPr>
              <w:t>Issue</w:t>
            </w:r>
          </w:p>
        </w:tc>
        <w:tc>
          <w:tcPr>
            <w:tcW w:type="dxa" w:w="4997"/>
            <w:shd w:fill="16324F"/>
            <w:tcMar>
              <w:top w:w="70" w:type="dxa"/>
              <w:start w:w="85" w:type="dxa"/>
              <w:bottom w:w="70" w:type="dxa"/>
              <w:end w:w="85" w:type="dxa"/>
            </w:tcMar>
            <w:vAlign w:val="center"/>
          </w:tcPr>
          <w:p>
            <w:pPr>
              <w:spacing w:after="0" w:before="0"/>
            </w:pPr>
            <w:r>
              <w:rPr>
                <w:rFonts w:ascii="Calibri" w:hAnsi="Calibri"/>
                <w:b/>
                <w:color w:val="FFFFFF"/>
                <w:sz w:val="16"/>
              </w:rPr>
              <w:t>Assessment / recommended response</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Likelihood of success</w:t>
            </w:r>
          </w:p>
        </w:tc>
        <w:tc>
          <w:tcPr>
            <w:tcW w:type="dxa" w:w="8856"/>
            <w:tcMar>
              <w:top w:w="70" w:type="dxa"/>
              <w:start w:w="85" w:type="dxa"/>
              <w:bottom w:w="70" w:type="dxa"/>
              <w:end w:w="85" w:type="dxa"/>
            </w:tcMar>
            <w:vAlign w:val="top"/>
          </w:tcPr>
          <w:p>
            <w:pPr>
              <w:spacing w:after="0" w:line="245" w:lineRule="auto"/>
            </w:pPr>
            <w:r>
              <w:rPr>
                <w:rFonts w:ascii="Calibri" w:hAnsi="Calibri"/>
                <w:color w:val="202A35"/>
                <w:sz w:val="16"/>
              </w:rPr>
              <w:t>Apex has a strong contract argument on notice defects and documented direct sales. Counter with the full agreement, any direct-sale carve-outs, product/customer scope, and proof of cure/termination notices if any. Do not center the opposition on the Year 2 shortfall absent evidence overcoming Section 5.3.</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Irreparable harm / urgency</w:t>
            </w:r>
          </w:p>
        </w:tc>
        <w:tc>
          <w:tcPr>
            <w:tcW w:type="dxa" w:w="8856"/>
            <w:tcMar>
              <w:top w:w="70" w:type="dxa"/>
              <w:start w:w="85" w:type="dxa"/>
              <w:bottom w:w="70" w:type="dxa"/>
              <w:end w:w="85" w:type="dxa"/>
            </w:tcMar>
            <w:vAlign w:val="top"/>
            <w:shd w:fill="F4F7FA"/>
          </w:tcPr>
          <w:p>
            <w:pPr>
              <w:spacing w:after="0" w:line="245" w:lineRule="auto"/>
            </w:pPr>
            <w:r>
              <w:rPr>
                <w:rFonts w:ascii="Calibri" w:hAnsi="Calibri"/>
                <w:color w:val="202A35"/>
                <w:sz w:val="16"/>
              </w:rPr>
              <w:t>Apex can argue loss of goodwill and trade-secret value; the contract itself supports its position. Test whether direct sales or use continued after Feb. 2024, identify the last transaction and cessation date, and establish when Apex learned the facts. The gap between the last supplied invoice (Feb. 5, 2024) and filing (Apr. 22, 2025), if not explained by later activity or delayed discovery, weakens urgency. Quantifiable past sales alone do not prove ongoing irreparable harm.</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Scope and tailoring</w:t>
            </w:r>
          </w:p>
        </w:tc>
        <w:tc>
          <w:tcPr>
            <w:tcW w:type="dxa" w:w="8856"/>
            <w:tcMar>
              <w:top w:w="70" w:type="dxa"/>
              <w:start w:w="85" w:type="dxa"/>
              <w:bottom w:w="70" w:type="dxa"/>
              <w:end w:w="85" w:type="dxa"/>
            </w:tcMar>
            <w:vAlign w:val="top"/>
          </w:tcPr>
          <w:p>
            <w:pPr>
              <w:spacing w:after="0" w:line="245" w:lineRule="auto"/>
            </w:pPr>
            <w:r>
              <w:rPr>
                <w:rFonts w:ascii="Calibri" w:hAnsi="Calibri"/>
                <w:color w:val="202A35"/>
                <w:sz w:val="16"/>
              </w:rPr>
              <w:t>Seek to narrow any order to actual contract restrictions and proven information/customer use, rather than a blanket eight-state sales prohibition or all customers. If the agreement remains in force and has no exceptions, continuing direct sales may worsen the merits and injunction position; consider immediately routing Territory orders through Apex or pausing disputed direct transactions, without conceding liability.</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Trade-secret preservation</w:t>
            </w:r>
          </w:p>
        </w:tc>
        <w:tc>
          <w:tcPr>
            <w:tcW w:type="dxa" w:w="8856"/>
            <w:tcMar>
              <w:top w:w="70" w:type="dxa"/>
              <w:start w:w="85" w:type="dxa"/>
              <w:bottom w:w="70" w:type="dxa"/>
              <w:end w:w="85" w:type="dxa"/>
            </w:tcMar>
            <w:vAlign w:val="top"/>
            <w:shd w:fill="F4F7FA"/>
          </w:tcPr>
          <w:p>
            <w:pPr>
              <w:spacing w:after="0" w:line="245" w:lineRule="auto"/>
            </w:pPr>
            <w:r>
              <w:rPr>
                <w:rFonts w:ascii="Calibri" w:hAnsi="Calibri"/>
                <w:color w:val="202A35"/>
                <w:sz w:val="16"/>
              </w:rPr>
              <w:t>Do not delete, wipe, return, or alter data before preservation. Immediately suspend any nonessential access/use, preserve devices, accounts, and backups, and conduct a counsel-directed forensic review. Offer a neutral protocol: preserve forensic images, segregate identified Apex material, permit limited inspection, and return/destroy only after preservation and a privilege/ownership review. Exclude Greenfield’s own, public, independently developed, or legally retained records.</w:t>
            </w:r>
          </w:p>
        </w:tc>
      </w:tr>
      <w:tr>
        <w:trPr>
          <w:cantSplit/>
        </w:trPr>
        <w:tc>
          <w:tcPr>
            <w:tcW w:type="dxa" w:w="1944"/>
            <w:tcMar>
              <w:top w:w="70" w:type="dxa"/>
              <w:start w:w="85" w:type="dxa"/>
              <w:bottom w:w="70" w:type="dxa"/>
              <w:end w:w="85" w:type="dxa"/>
            </w:tcMar>
            <w:vAlign w:val="top"/>
          </w:tcPr>
          <w:p>
            <w:pPr>
              <w:spacing w:after="0" w:line="245" w:lineRule="auto"/>
            </w:pPr>
            <w:r>
              <w:rPr>
                <w:rFonts w:ascii="Calibri" w:hAnsi="Calibri"/>
                <w:color w:val="202A35"/>
                <w:sz w:val="16"/>
              </w:rPr>
              <w:t>Kelsey / Ostrowski</w:t>
            </w:r>
          </w:p>
        </w:tc>
        <w:tc>
          <w:tcPr>
            <w:tcW w:type="dxa" w:w="8856"/>
            <w:tcMar>
              <w:top w:w="70" w:type="dxa"/>
              <w:start w:w="85" w:type="dxa"/>
              <w:bottom w:w="70" w:type="dxa"/>
              <w:end w:w="85" w:type="dxa"/>
            </w:tcMar>
            <w:vAlign w:val="top"/>
          </w:tcPr>
          <w:p>
            <w:pPr>
              <w:spacing w:after="0" w:line="245" w:lineRule="auto"/>
            </w:pPr>
            <w:r>
              <w:rPr>
                <w:rFonts w:ascii="Calibri" w:hAnsi="Calibri"/>
                <w:color w:val="202A35"/>
                <w:sz w:val="16"/>
              </w:rPr>
              <w:t>Verify dates, duties, customer contact, recruiting, restrictions, and data access. Pending review, consider a documented firewall from Apex’s four accounts and alleged confidential materials; instruct no use/disclosure and no solicitation of the disputed accounts. Resist a blanket employment ban absent evidence of threatened misuse. DTSA expressly limits employment restraints based merely on information a person knows; Apex’s agreements bind the employees, not Greenfield.</w:t>
            </w:r>
          </w:p>
        </w:tc>
      </w:tr>
      <w:tr>
        <w:trPr>
          <w:cantSplit/>
        </w:trPr>
        <w:tc>
          <w:tcPr>
            <w:tcW w:type="dxa" w:w="1944"/>
            <w:tcMar>
              <w:top w:w="70" w:type="dxa"/>
              <w:start w:w="85" w:type="dxa"/>
              <w:bottom w:w="70" w:type="dxa"/>
              <w:end w:w="85" w:type="dxa"/>
            </w:tcMar>
            <w:vAlign w:val="top"/>
            <w:shd w:fill="F4F7FA"/>
          </w:tcPr>
          <w:p>
            <w:pPr>
              <w:spacing w:after="0" w:line="245" w:lineRule="auto"/>
            </w:pPr>
            <w:r>
              <w:rPr>
                <w:rFonts w:ascii="Calibri" w:hAnsi="Calibri"/>
                <w:color w:val="202A35"/>
                <w:sz w:val="16"/>
              </w:rPr>
              <w:t>Accounting and bond</w:t>
            </w:r>
          </w:p>
        </w:tc>
        <w:tc>
          <w:tcPr>
            <w:tcW w:type="dxa" w:w="8856"/>
            <w:tcMar>
              <w:top w:w="70" w:type="dxa"/>
              <w:start w:w="85" w:type="dxa"/>
              <w:bottom w:w="70" w:type="dxa"/>
              <w:end w:w="85" w:type="dxa"/>
            </w:tcMar>
            <w:vAlign w:val="top"/>
            <w:shd w:fill="F4F7FA"/>
          </w:tcPr>
          <w:p>
            <w:pPr>
              <w:spacing w:after="0" w:line="245" w:lineRule="auto"/>
            </w:pPr>
            <w:r>
              <w:rPr>
                <w:rFonts w:ascii="Calibri" w:hAnsi="Calibri"/>
                <w:color w:val="202A35"/>
                <w:sz w:val="16"/>
              </w:rPr>
              <w:t>Preserve and reconcile all Territory sales from Oct. 2023 forward. Offer a verified, narrowly scoped accounting under an appropriate protective order if feasible. Seek a meaningful Rule 65(c) bond tied to the real costs of an order restricting direct sales across eight states; the employees’ private no-bond clause does not itself waive Greenfield’s protections or the court’s bond requirement.</w:t>
            </w:r>
          </w:p>
        </w:tc>
      </w:tr>
    </w:tbl>
    <w:p>
      <w:pPr>
        <w:spacing w:after="0"/>
      </w:pPr>
    </w:p>
    <w:p>
      <w:r>
        <w:rPr>
          <w:b/>
        </w:rPr>
        <w:t>The opposition should be evidence-led, not merely a legal brief.</w:t>
      </w:r>
      <w:r>
        <w:rPr>
          <w:i w:val="0"/>
        </w:rPr>
        <w:t xml:space="preserve"> Submit declarations from Yuen, Ellsworth, Hargrove, HR, sales operations, and IT as appropriate, limited to facts each can verify. Avoid categorical denials until a forensic and sales review is complete. Ask for expedited, targeted discovery if the court needs more evidence—especially hiring chronology, customer orders, data access, and post-February 2024 activity—and propose a narrow interim status quo rather than an overbroad restraint.</w:t>
      </w:r>
    </w:p>
    <w:p>
      <w:pPr>
        <w:pStyle w:val="Heading1"/>
      </w:pPr>
      <w:r>
        <w:t>7. Immediate action plan</w:t>
      </w:r>
    </w:p>
    <w:tbl>
      <w:tblPr>
        <w:tblStyle w:val="TableGrid"/>
        <w:tblW w:type="auto" w:w="0"/>
        <w:jc w:val="center"/>
        <w:tblLayout w:type="fixed"/>
        <w:tblLook w:firstColumn="1" w:firstRow="1" w:lastColumn="0" w:lastRow="0" w:noHBand="0" w:noVBand="1" w:val="04A0"/>
      </w:tblPr>
      <w:tblGrid>
        <w:gridCol w:w="1800"/>
        <w:gridCol w:w="4752"/>
        <w:gridCol w:w="4248"/>
      </w:tblGrid>
      <w:tr>
        <w:trPr>
          <w:tblHeader w:val="true"/>
          <w:cantSplit/>
        </w:trPr>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When</w:t>
            </w:r>
          </w:p>
        </w:tc>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Action / owner</w:t>
            </w:r>
          </w:p>
        </w:tc>
        <w:tc>
          <w:tcPr>
            <w:tcW w:type="dxa" w:w="3331"/>
            <w:shd w:fill="16324F"/>
            <w:tcMar>
              <w:top w:w="70" w:type="dxa"/>
              <w:start w:w="85" w:type="dxa"/>
              <w:bottom w:w="70" w:type="dxa"/>
              <w:end w:w="85" w:type="dxa"/>
            </w:tcMar>
            <w:vAlign w:val="center"/>
          </w:tcPr>
          <w:p>
            <w:pPr>
              <w:spacing w:after="0" w:before="0"/>
            </w:pPr>
            <w:r>
              <w:rPr>
                <w:rFonts w:ascii="Calibri" w:hAnsi="Calibri"/>
                <w:b/>
                <w:color w:val="FFFFFF"/>
                <w:sz w:val="16"/>
              </w:rPr>
              <w:t>Purpose</w:t>
            </w:r>
          </w:p>
        </w:tc>
      </w:tr>
      <w:tr>
        <w:trPr>
          <w:cantSplit/>
        </w:trPr>
        <w:tc>
          <w:tcPr>
            <w:tcW w:type="dxa" w:w="1800"/>
            <w:tcMar>
              <w:top w:w="70" w:type="dxa"/>
              <w:start w:w="85" w:type="dxa"/>
              <w:bottom w:w="70" w:type="dxa"/>
              <w:end w:w="85" w:type="dxa"/>
            </w:tcMar>
            <w:vAlign w:val="top"/>
          </w:tcPr>
          <w:p>
            <w:pPr>
              <w:spacing w:after="0" w:line="245" w:lineRule="auto"/>
            </w:pPr>
            <w:r>
              <w:rPr>
                <w:rFonts w:ascii="Calibri" w:hAnsi="Calibri"/>
                <w:color w:val="202A35"/>
                <w:sz w:val="16"/>
              </w:rPr>
              <w:t>Immediately — Apr. 28</w:t>
            </w:r>
          </w:p>
        </w:tc>
        <w:tc>
          <w:tcPr>
            <w:tcW w:type="dxa" w:w="4752"/>
            <w:tcMar>
              <w:top w:w="70" w:type="dxa"/>
              <w:start w:w="85" w:type="dxa"/>
              <w:bottom w:w="70" w:type="dxa"/>
              <w:end w:w="85" w:type="dxa"/>
            </w:tcMar>
            <w:vAlign w:val="top"/>
          </w:tcPr>
          <w:p>
            <w:pPr>
              <w:spacing w:after="0" w:line="245" w:lineRule="auto"/>
            </w:pPr>
            <w:r>
              <w:rPr>
                <w:rFonts w:ascii="Calibri" w:hAnsi="Calibri"/>
                <w:color w:val="202A35"/>
                <w:sz w:val="16"/>
              </w:rPr>
              <w:t>Issue a written litigation hold to executives, Hargrove, sales, HR/recruiting, finance, customer support, IT, and Kelsey/Ostrowski; suspend routine deletion and auto-purge. Preserve email, chat, CRM, pricing, shared drives, mobile devices, cloud accounts, invoices, quote history, and backups.</w:t>
            </w:r>
          </w:p>
        </w:tc>
        <w:tc>
          <w:tcPr>
            <w:tcW w:type="dxa" w:w="4248"/>
            <w:tcMar>
              <w:top w:w="70" w:type="dxa"/>
              <w:start w:w="85" w:type="dxa"/>
              <w:bottom w:w="70" w:type="dxa"/>
              <w:end w:w="85" w:type="dxa"/>
            </w:tcMar>
            <w:vAlign w:val="top"/>
          </w:tcPr>
          <w:p>
            <w:pPr>
              <w:spacing w:after="0" w:line="245" w:lineRule="auto"/>
            </w:pPr>
            <w:r>
              <w:rPr>
                <w:rFonts w:ascii="Calibri" w:hAnsi="Calibri"/>
                <w:color w:val="202A35"/>
                <w:sz w:val="16"/>
              </w:rPr>
              <w:t>Preserve discoverable evidence and avoid spoliation; document custodian acknowledgments.</w:t>
            </w:r>
          </w:p>
        </w:tc>
      </w:tr>
      <w:tr>
        <w:trPr>
          <w:cantSplit/>
        </w:trPr>
        <w:tc>
          <w:tcPr>
            <w:tcW w:type="dxa" w:w="1800"/>
            <w:tcMar>
              <w:top w:w="70" w:type="dxa"/>
              <w:start w:w="85" w:type="dxa"/>
              <w:bottom w:w="70" w:type="dxa"/>
              <w:end w:w="85" w:type="dxa"/>
            </w:tcMar>
            <w:vAlign w:val="top"/>
            <w:shd w:fill="F4F7FA"/>
          </w:tcPr>
          <w:p>
            <w:pPr>
              <w:spacing w:after="0" w:line="245" w:lineRule="auto"/>
            </w:pPr>
            <w:r>
              <w:rPr>
                <w:rFonts w:ascii="Calibri" w:hAnsi="Calibri"/>
                <w:color w:val="202A35"/>
                <w:sz w:val="16"/>
              </w:rPr>
              <w:t>Immediately — Apr. 28</w:t>
            </w:r>
          </w:p>
        </w:tc>
        <w:tc>
          <w:tcPr>
            <w:tcW w:type="dxa" w:w="4752"/>
            <w:tcMar>
              <w:top w:w="70" w:type="dxa"/>
              <w:start w:w="85" w:type="dxa"/>
              <w:bottom w:w="70" w:type="dxa"/>
              <w:end w:w="85" w:type="dxa"/>
            </w:tcMar>
            <w:vAlign w:val="top"/>
            <w:shd w:fill="F4F7FA"/>
          </w:tcPr>
          <w:p>
            <w:pPr>
              <w:spacing w:after="0" w:line="245" w:lineRule="auto"/>
            </w:pPr>
            <w:r>
              <w:rPr>
                <w:rFonts w:ascii="Calibri" w:hAnsi="Calibri"/>
                <w:color w:val="202A35"/>
                <w:sz w:val="16"/>
              </w:rPr>
              <w:t>Confirm all direct sales/orders into the Territory from Oct. 2023 to present, including quotes, proposals, bookings, ship dates, credits, and current pipeline. Pending review, pause or route disputed direct sales through Apex where contractually required.</w:t>
            </w:r>
          </w:p>
        </w:tc>
        <w:tc>
          <w:tcPr>
            <w:tcW w:type="dxa" w:w="4248"/>
            <w:tcMar>
              <w:top w:w="70" w:type="dxa"/>
              <w:start w:w="85" w:type="dxa"/>
              <w:bottom w:w="70" w:type="dxa"/>
              <w:end w:w="85" w:type="dxa"/>
            </w:tcMar>
            <w:vAlign w:val="top"/>
            <w:shd w:fill="F4F7FA"/>
          </w:tcPr>
          <w:p>
            <w:pPr>
              <w:spacing w:after="0" w:line="245" w:lineRule="auto"/>
            </w:pPr>
            <w:r>
              <w:rPr>
                <w:rFonts w:ascii="Calibri" w:hAnsi="Calibri"/>
                <w:color w:val="202A35"/>
                <w:sz w:val="16"/>
              </w:rPr>
              <w:t>Stop potential ongoing breach and substantiate the TRO record.</w:t>
            </w:r>
          </w:p>
        </w:tc>
      </w:tr>
      <w:tr>
        <w:trPr>
          <w:cantSplit/>
        </w:trPr>
        <w:tc>
          <w:tcPr>
            <w:tcW w:type="dxa" w:w="1800"/>
            <w:tcMar>
              <w:top w:w="70" w:type="dxa"/>
              <w:start w:w="85" w:type="dxa"/>
              <w:bottom w:w="70" w:type="dxa"/>
              <w:end w:w="85" w:type="dxa"/>
            </w:tcMar>
            <w:vAlign w:val="top"/>
          </w:tcPr>
          <w:p>
            <w:pPr>
              <w:spacing w:after="0" w:line="245" w:lineRule="auto"/>
            </w:pPr>
            <w:r>
              <w:rPr>
                <w:rFonts w:ascii="Calibri" w:hAnsi="Calibri"/>
                <w:color w:val="202A35"/>
                <w:sz w:val="16"/>
              </w:rPr>
              <w:t>Apr. 28–29</w:t>
            </w:r>
          </w:p>
        </w:tc>
        <w:tc>
          <w:tcPr>
            <w:tcW w:type="dxa" w:w="4752"/>
            <w:tcMar>
              <w:top w:w="70" w:type="dxa"/>
              <w:start w:w="85" w:type="dxa"/>
              <w:bottom w:w="70" w:type="dxa"/>
              <w:end w:w="85" w:type="dxa"/>
            </w:tcMar>
            <w:vAlign w:val="top"/>
          </w:tcPr>
          <w:p>
            <w:pPr>
              <w:spacing w:after="0" w:line="245" w:lineRule="auto"/>
            </w:pPr>
            <w:r>
              <w:rPr>
                <w:rFonts w:ascii="Calibri" w:hAnsi="Calibri"/>
                <w:color w:val="202A35"/>
                <w:sz w:val="16"/>
              </w:rPr>
              <w:t>Collect the complete executed Distribution Agreement and amendments, all Section 4.2 notices and delivery records, Section 5.2 renewal discussions/CPI calculation, and all Apex/Greenfield communications about termination and direct sales.</w:t>
            </w:r>
          </w:p>
        </w:tc>
        <w:tc>
          <w:tcPr>
            <w:tcW w:type="dxa" w:w="4248"/>
            <w:tcMar>
              <w:top w:w="70" w:type="dxa"/>
              <w:start w:w="85" w:type="dxa"/>
              <w:bottom w:w="70" w:type="dxa"/>
              <w:end w:w="85" w:type="dxa"/>
            </w:tcMar>
            <w:vAlign w:val="top"/>
          </w:tcPr>
          <w:p>
            <w:pPr>
              <w:spacing w:after="0" w:line="245" w:lineRule="auto"/>
            </w:pPr>
            <w:r>
              <w:rPr>
                <w:rFonts w:ascii="Calibri" w:hAnsi="Calibri"/>
                <w:color w:val="202A35"/>
                <w:sz w:val="16"/>
              </w:rPr>
              <w:t>Resolve contractual exceptions, notice mechanics, renewal terms, and evidence of intent/knowledge.</w:t>
            </w:r>
          </w:p>
        </w:tc>
      </w:tr>
      <w:tr>
        <w:trPr>
          <w:cantSplit/>
        </w:trPr>
        <w:tc>
          <w:tcPr>
            <w:tcW w:type="dxa" w:w="1800"/>
            <w:tcMar>
              <w:top w:w="70" w:type="dxa"/>
              <w:start w:w="85" w:type="dxa"/>
              <w:bottom w:w="70" w:type="dxa"/>
              <w:end w:w="85" w:type="dxa"/>
            </w:tcMar>
            <w:vAlign w:val="top"/>
            <w:shd w:fill="F4F7FA"/>
          </w:tcPr>
          <w:p>
            <w:pPr>
              <w:spacing w:after="0" w:line="245" w:lineRule="auto"/>
            </w:pPr>
            <w:r>
              <w:rPr>
                <w:rFonts w:ascii="Calibri" w:hAnsi="Calibri"/>
                <w:color w:val="202A35"/>
                <w:sz w:val="16"/>
              </w:rPr>
              <w:t>Apr. 28–30</w:t>
            </w:r>
          </w:p>
        </w:tc>
        <w:tc>
          <w:tcPr>
            <w:tcW w:type="dxa" w:w="4752"/>
            <w:tcMar>
              <w:top w:w="70" w:type="dxa"/>
              <w:start w:w="85" w:type="dxa"/>
              <w:bottom w:w="70" w:type="dxa"/>
              <w:end w:w="85" w:type="dxa"/>
            </w:tcMar>
            <w:vAlign w:val="top"/>
            <w:shd w:fill="F4F7FA"/>
          </w:tcPr>
          <w:p>
            <w:pPr>
              <w:spacing w:after="0" w:line="245" w:lineRule="auto"/>
            </w:pPr>
            <w:r>
              <w:rPr>
                <w:rFonts w:ascii="Calibri" w:hAnsi="Calibri"/>
                <w:color w:val="202A35"/>
                <w:sz w:val="16"/>
              </w:rPr>
              <w:t>Collect full Kelsey/Ostrowski agreements and personnel records: departure, offer, acceptance, start dates, recruiting contacts, job descriptions, compensation, customer assignments, training, systems access, downloads, and certifications. Conduct counsel-directed interviews.</w:t>
            </w:r>
          </w:p>
        </w:tc>
        <w:tc>
          <w:tcPr>
            <w:tcW w:type="dxa" w:w="4248"/>
            <w:tcMar>
              <w:top w:w="70" w:type="dxa"/>
              <w:start w:w="85" w:type="dxa"/>
              <w:bottom w:w="70" w:type="dxa"/>
              <w:end w:w="85" w:type="dxa"/>
            </w:tcMar>
            <w:vAlign w:val="top"/>
            <w:shd w:fill="F4F7FA"/>
          </w:tcPr>
          <w:p>
            <w:pPr>
              <w:spacing w:after="0" w:line="245" w:lineRule="auto"/>
            </w:pPr>
            <w:r>
              <w:rPr>
                <w:rFonts w:ascii="Calibri" w:hAnsi="Calibri"/>
                <w:color w:val="202A35"/>
                <w:sz w:val="16"/>
              </w:rPr>
              <w:t>Test covenant enforceability, interference, access, and the decisive chronology.</w:t>
            </w:r>
          </w:p>
        </w:tc>
      </w:tr>
      <w:tr>
        <w:trPr>
          <w:cantSplit/>
        </w:trPr>
        <w:tc>
          <w:tcPr>
            <w:tcW w:type="dxa" w:w="1800"/>
            <w:tcMar>
              <w:top w:w="70" w:type="dxa"/>
              <w:start w:w="85" w:type="dxa"/>
              <w:bottom w:w="70" w:type="dxa"/>
              <w:end w:w="85" w:type="dxa"/>
            </w:tcMar>
            <w:vAlign w:val="top"/>
          </w:tcPr>
          <w:p>
            <w:pPr>
              <w:spacing w:after="0" w:line="245" w:lineRule="auto"/>
            </w:pPr>
            <w:r>
              <w:rPr>
                <w:rFonts w:ascii="Calibri" w:hAnsi="Calibri"/>
                <w:color w:val="202A35"/>
                <w:sz w:val="16"/>
              </w:rPr>
              <w:t>By May 1–2</w:t>
            </w:r>
          </w:p>
        </w:tc>
        <w:tc>
          <w:tcPr>
            <w:tcW w:type="dxa" w:w="4752"/>
            <w:tcMar>
              <w:top w:w="70" w:type="dxa"/>
              <w:start w:w="85" w:type="dxa"/>
              <w:bottom w:w="70" w:type="dxa"/>
              <w:end w:w="85" w:type="dxa"/>
            </w:tcMar>
            <w:vAlign w:val="top"/>
          </w:tcPr>
          <w:p>
            <w:pPr>
              <w:spacing w:after="0" w:line="245" w:lineRule="auto"/>
            </w:pPr>
            <w:r>
              <w:rPr>
                <w:rFonts w:ascii="Calibri" w:hAnsi="Calibri"/>
                <w:color w:val="202A35"/>
                <w:sz w:val="16"/>
              </w:rPr>
              <w:t>Complete targeted forensic preservation/review of relevant devices, CRM exports, file transfers, print/download logs, email, messaging, and Greenfield pricing/quotes to the four customers. Compare offer prices to independent sources and old account terms.</w:t>
            </w:r>
          </w:p>
        </w:tc>
        <w:tc>
          <w:tcPr>
            <w:tcW w:type="dxa" w:w="4248"/>
            <w:tcMar>
              <w:top w:w="70" w:type="dxa"/>
              <w:start w:w="85" w:type="dxa"/>
              <w:bottom w:w="70" w:type="dxa"/>
              <w:end w:w="85" w:type="dxa"/>
            </w:tcMar>
            <w:vAlign w:val="top"/>
          </w:tcPr>
          <w:p>
            <w:pPr>
              <w:spacing w:after="0" w:line="245" w:lineRule="auto"/>
            </w:pPr>
            <w:r>
              <w:rPr>
                <w:rFonts w:ascii="Calibri" w:hAnsi="Calibri"/>
                <w:color w:val="202A35"/>
                <w:sz w:val="16"/>
              </w:rPr>
              <w:t>Determine whether information was acquired/used and ensure declarations are accurate.</w:t>
            </w:r>
          </w:p>
        </w:tc>
      </w:tr>
      <w:tr>
        <w:trPr>
          <w:cantSplit/>
        </w:trPr>
        <w:tc>
          <w:tcPr>
            <w:tcW w:type="dxa" w:w="1800"/>
            <w:tcMar>
              <w:top w:w="70" w:type="dxa"/>
              <w:start w:w="85" w:type="dxa"/>
              <w:bottom w:w="70" w:type="dxa"/>
              <w:end w:w="85" w:type="dxa"/>
            </w:tcMar>
            <w:vAlign w:val="top"/>
            <w:shd w:fill="F4F7FA"/>
          </w:tcPr>
          <w:p>
            <w:pPr>
              <w:spacing w:after="0" w:line="245" w:lineRule="auto"/>
            </w:pPr>
            <w:r>
              <w:rPr>
                <w:rFonts w:ascii="Calibri" w:hAnsi="Calibri"/>
                <w:color w:val="202A35"/>
                <w:sz w:val="16"/>
              </w:rPr>
              <w:t>Before May 9</w:t>
            </w:r>
          </w:p>
        </w:tc>
        <w:tc>
          <w:tcPr>
            <w:tcW w:type="dxa" w:w="4752"/>
            <w:tcMar>
              <w:top w:w="70" w:type="dxa"/>
              <w:start w:w="85" w:type="dxa"/>
              <w:bottom w:w="70" w:type="dxa"/>
              <w:end w:w="85" w:type="dxa"/>
            </w:tcMar>
            <w:vAlign w:val="top"/>
            <w:shd w:fill="F4F7FA"/>
          </w:tcPr>
          <w:p>
            <w:pPr>
              <w:spacing w:after="0" w:line="245" w:lineRule="auto"/>
            </w:pPr>
            <w:r>
              <w:rPr>
                <w:rFonts w:ascii="Calibri" w:hAnsi="Calibri"/>
                <w:color w:val="202A35"/>
                <w:sz w:val="16"/>
              </w:rPr>
              <w:t>Prepare declarations, documentary exhibits, response brief, proposed narrower order, bond evidence, and hearing outline. Obtain the actual motion, court scheduling instructions, and any plaintiff evidence; pursue expedited discovery / stipulation if useful.</w:t>
            </w:r>
          </w:p>
        </w:tc>
        <w:tc>
          <w:tcPr>
            <w:tcW w:type="dxa" w:w="4248"/>
            <w:tcMar>
              <w:top w:w="70" w:type="dxa"/>
              <w:start w:w="85" w:type="dxa"/>
              <w:bottom w:w="70" w:type="dxa"/>
              <w:end w:w="85" w:type="dxa"/>
            </w:tcMar>
            <w:vAlign w:val="top"/>
            <w:shd w:fill="F4F7FA"/>
          </w:tcPr>
          <w:p>
            <w:pPr>
              <w:spacing w:after="0" w:line="245" w:lineRule="auto"/>
            </w:pPr>
            <w:r>
              <w:rPr>
                <w:rFonts w:ascii="Calibri" w:hAnsi="Calibri"/>
                <w:color w:val="202A35"/>
                <w:sz w:val="16"/>
              </w:rPr>
              <w:t>Present a reliable record on ongoing conduct, threatened misuse, urgency, tailoring, and balance of equities.</w:t>
            </w:r>
          </w:p>
        </w:tc>
      </w:tr>
      <w:tr>
        <w:trPr>
          <w:cantSplit/>
        </w:trPr>
        <w:tc>
          <w:tcPr>
            <w:tcW w:type="dxa" w:w="1800"/>
            <w:tcMar>
              <w:top w:w="70" w:type="dxa"/>
              <w:start w:w="85" w:type="dxa"/>
              <w:bottom w:w="70" w:type="dxa"/>
              <w:end w:w="85" w:type="dxa"/>
            </w:tcMar>
            <w:vAlign w:val="top"/>
          </w:tcPr>
          <w:p>
            <w:pPr>
              <w:spacing w:after="0" w:line="245" w:lineRule="auto"/>
            </w:pPr>
            <w:r>
              <w:rPr>
                <w:rFonts w:ascii="Calibri" w:hAnsi="Calibri"/>
                <w:color w:val="202A35"/>
                <w:sz w:val="16"/>
              </w:rPr>
              <w:t>By May 27</w:t>
            </w:r>
          </w:p>
        </w:tc>
        <w:tc>
          <w:tcPr>
            <w:tcW w:type="dxa" w:w="4752"/>
            <w:tcMar>
              <w:top w:w="70" w:type="dxa"/>
              <w:start w:w="85" w:type="dxa"/>
              <w:bottom w:w="70" w:type="dxa"/>
              <w:end w:w="85" w:type="dxa"/>
            </w:tcMar>
            <w:vAlign w:val="top"/>
          </w:tcPr>
          <w:p>
            <w:pPr>
              <w:spacing w:after="0" w:line="245" w:lineRule="auto"/>
            </w:pPr>
            <w:r>
              <w:rPr>
                <w:rFonts w:ascii="Calibri" w:hAnsi="Calibri"/>
                <w:color w:val="202A35"/>
                <w:sz w:val="16"/>
              </w:rPr>
              <w:t>File an answer or appropriate Rule 12 motion; separately decide and, if chosen, file removal within the statutory deadline. Preserve defenses, jury demand, venue/forum rights, and counterclaim/affirmative-defense options after factual review.</w:t>
            </w:r>
          </w:p>
        </w:tc>
        <w:tc>
          <w:tcPr>
            <w:tcW w:type="dxa" w:w="4248"/>
            <w:tcMar>
              <w:top w:w="70" w:type="dxa"/>
              <w:start w:w="85" w:type="dxa"/>
              <w:bottom w:w="70" w:type="dxa"/>
              <w:end w:w="85" w:type="dxa"/>
            </w:tcMar>
            <w:vAlign w:val="top"/>
          </w:tcPr>
          <w:p>
            <w:pPr>
              <w:spacing w:after="0" w:line="245" w:lineRule="auto"/>
            </w:pPr>
            <w:r>
              <w:rPr>
                <w:rFonts w:ascii="Calibri" w:hAnsi="Calibri"/>
                <w:color w:val="202A35"/>
                <w:sz w:val="16"/>
              </w:rPr>
              <w:t>Avoid default/waiver and preserve the desired forum.</w:t>
            </w:r>
          </w:p>
        </w:tc>
      </w:tr>
      <w:tr>
        <w:trPr>
          <w:cantSplit/>
        </w:trPr>
        <w:tc>
          <w:tcPr>
            <w:tcW w:type="dxa" w:w="1800"/>
            <w:tcMar>
              <w:top w:w="70" w:type="dxa"/>
              <w:start w:w="85" w:type="dxa"/>
              <w:bottom w:w="70" w:type="dxa"/>
              <w:end w:w="85" w:type="dxa"/>
            </w:tcMar>
            <w:vAlign w:val="top"/>
            <w:shd w:fill="F4F7FA"/>
          </w:tcPr>
          <w:p>
            <w:pPr>
              <w:spacing w:after="0" w:line="245" w:lineRule="auto"/>
            </w:pPr>
            <w:r>
              <w:rPr>
                <w:rFonts w:ascii="Calibri" w:hAnsi="Calibri"/>
                <w:color w:val="202A35"/>
                <w:sz w:val="16"/>
              </w:rPr>
              <w:t>Ongoing</w:t>
            </w:r>
          </w:p>
        </w:tc>
        <w:tc>
          <w:tcPr>
            <w:tcW w:type="dxa" w:w="4752"/>
            <w:tcMar>
              <w:top w:w="70" w:type="dxa"/>
              <w:start w:w="85" w:type="dxa"/>
              <w:bottom w:w="70" w:type="dxa"/>
              <w:end w:w="85" w:type="dxa"/>
            </w:tcMar>
            <w:vAlign w:val="top"/>
            <w:shd w:fill="F4F7FA"/>
          </w:tcPr>
          <w:p>
            <w:pPr>
              <w:spacing w:after="0" w:line="245" w:lineRule="auto"/>
            </w:pPr>
            <w:r>
              <w:rPr>
                <w:rFonts w:ascii="Calibri" w:hAnsi="Calibri"/>
                <w:color w:val="202A35"/>
                <w:sz w:val="16"/>
              </w:rPr>
              <w:t>Maintain privileged communications with counsel; restrict internal circulation of Yuen’s April 25 email and this memo. Do not forward to business teams or opposing counsel. Preserve the email and underlying nonprivileged facts/documents separately.</w:t>
            </w:r>
          </w:p>
        </w:tc>
        <w:tc>
          <w:tcPr>
            <w:tcW w:type="dxa" w:w="4248"/>
            <w:tcMar>
              <w:top w:w="70" w:type="dxa"/>
              <w:start w:w="85" w:type="dxa"/>
              <w:bottom w:w="70" w:type="dxa"/>
              <w:end w:w="85" w:type="dxa"/>
            </w:tcMar>
            <w:vAlign w:val="top"/>
            <w:shd w:fill="F4F7FA"/>
          </w:tcPr>
          <w:p>
            <w:pPr>
              <w:spacing w:after="0" w:line="245" w:lineRule="auto"/>
            </w:pPr>
            <w:r>
              <w:rPr>
                <w:rFonts w:ascii="Calibri" w:hAnsi="Calibri"/>
                <w:color w:val="202A35"/>
                <w:sz w:val="16"/>
              </w:rPr>
              <w:t>Protect legal advice/work product while meeting preservation duties; avoid inadvertent waiver.</w:t>
            </w:r>
          </w:p>
        </w:tc>
      </w:tr>
    </w:tbl>
    <w:p>
      <w:pPr>
        <w:spacing w:after="0"/>
      </w:pPr>
    </w:p>
    <w:p>
      <w:pPr>
        <w:pStyle w:val="Heading1"/>
      </w:pPr>
      <w:r>
        <w:t>8. Priority factual questions for the April 28 strategy call</w:t>
      </w:r>
    </w:p>
    <w:p>
      <w:pPr>
        <w:pStyle w:val="ListBullet"/>
        <w:ind w:left="346" w:hanging="187"/>
      </w:pPr>
      <w:r>
        <w:t>What exact date did Hargrove initiate direct sales planning, and what did he know about Apex’s exclusivity and the July notice defect? Produce his emails, texts, calendars, sales instructions, and communications with Ellsworth/Yuen.</w:t>
      </w:r>
    </w:p>
    <w:p>
      <w:pPr>
        <w:pStyle w:val="ListBullet"/>
        <w:ind w:left="346" w:hanging="187"/>
      </w:pPr>
      <w:r>
        <w:t>What were the exact employment start and recruitment dates for Kelsey and Ostrowski? Were they contacted, interviewed, or given Greenfield information before the first customer sale? Did they participate in any of the four quoted/invoiced transactions?</w:t>
      </w:r>
    </w:p>
    <w:p>
      <w:pPr>
        <w:pStyle w:val="ListBullet"/>
        <w:ind w:left="346" w:hanging="187"/>
      </w:pPr>
      <w:r>
        <w:t>Did either employee retain or transfer Apex files, customer data, prices, or pipeline information? Which devices, accounts, storage locations, and corporate systems were involved? What is known from audit logs and forensic evidence?</w:t>
      </w:r>
    </w:p>
    <w:p>
      <w:pPr>
        <w:pStyle w:val="ListBullet"/>
        <w:ind w:left="346" w:hanging="187"/>
      </w:pPr>
      <w:r>
        <w:t>Were direct sales made after Feb. 5, 2024 or after Feb. 28, 2024? What is the latest quote/order/shipment and what is the customer’s current supplier relationship? When did Apex discover each transaction and the alleged use?</w:t>
      </w:r>
    </w:p>
    <w:p>
      <w:pPr>
        <w:pStyle w:val="ListBullet"/>
        <w:ind w:left="346" w:hanging="187"/>
      </w:pPr>
      <w:r>
        <w:t>Does the complete agreement grant house accounts, direct-sale exceptions, transition rights, or other qualifications to exclusivity? Does it establish the 18% rate and remedies? What were renewal purchase commitments and actual sales in 2024/2025?</w:t>
      </w:r>
    </w:p>
    <w:p>
      <w:pPr>
        <w:pStyle w:val="ListBullet"/>
        <w:ind w:left="346" w:hanging="187"/>
      </w:pPr>
      <w:r>
        <w:t>Do the complete employment contracts include severability, blue-pencil, employee classification, confidentiality definitions, and any notice provisions omitted from Exhibit F? What state did each employee work in at termination and when hired by Greenfield?</w:t>
      </w:r>
    </w:p>
    <w:p>
      <w:pPr>
        <w:pStyle w:val="ListBullet"/>
        <w:ind w:left="346" w:hanging="187"/>
      </w:pPr>
      <w:r>
        <w:t>What are all members’ citizenships of Apex for diversity, and has Greenfield made any substantive filing or representation that could affect removal? What is the company’s preference between state and federal court given the May 9 setting?</w:t>
      </w:r>
    </w:p>
    <w:p>
      <w:pPr>
        <w:pStyle w:val="ListBullet"/>
        <w:ind w:left="346" w:hanging="187"/>
      </w:pPr>
      <w:r>
        <w:t>What communications or nonprivileged documents reflect Apex’s customer relationship and pipeline values? What source data supports the 22% margin, $16.1m sales forecast, $6.2m NPV, $3.4m replacement cost, and 35% Greenfield profit estimate?</w:t>
      </w:r>
    </w:p>
    <w:p>
      <w:pPr>
        <w:pStyle w:val="Heading1"/>
      </w:pPr>
      <w:r>
        <w:t>Bottom line</w:t>
      </w:r>
    </w:p>
    <w:p>
      <w:r>
        <w:rPr>
          <w:i w:val="0"/>
        </w:rPr>
        <w:t>Prepare on the assumption that Apex has a credible contract claim and that some form of narrowly tailored injunctive relief is a real possibility, especially if direct sales continued while the agreement remained in force. Do not let the weak Year 2 shortfall or the one-day notice-deadline error distract from the stronger points: sales invoices precede employee hiring; the trade-secret record is presently inferential; the requested employment and territory-wide restraints are broad; and the claimed damages appear to overlap. The immediate goals are to stop any ongoing disputed conduct, preserve and investigate data, assemble accurate witness evidence, oppose overbroad relief, and protect the May 27 response/removal deadline.</w:t>
      </w:r>
    </w:p>
    <w:sectPr w:rsidR="00FC693F" w:rsidRPr="0006063C" w:rsidSect="00034616">
      <w:headerReference w:type="default" r:id="rId9"/>
      <w:footerReference w:type="default" r:id="rId10"/>
      <w:pgSz w:w="12240" w:h="15840"/>
      <w:pgMar w:top="1037" w:right="1123" w:bottom="1037"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Greenfield Dynamics, Inc. v. Apex Industrial Solutions, LLC  •  Case No. 25-CVS-4471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16324F"/>
      </w:pBdr>
    </w:pPr>
    <w:r>
      <w:rPr>
        <w:rFonts w:ascii="Calibri" w:hAnsi="Calibri"/>
        <w:b/>
        <w:color w:val="9B1C1C"/>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35789"/>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632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Litigation Summary and Initial Strategy Memorandum — Apex v. Greenfield</dc:title>
  <dc:subject>Privileged litigation assessment of complaint, service, damages, and May 9 injunction hearing</dc:subject>
  <dc:creator>Litigation Counsel</dc:creator>
  <cp:keywords>Privileged; Attorney-Client; Work Product; Litigation Summary</cp:keywords>
  <dc:description>generated by python-docx</dc:description>
  <cp:lastModifiedBy/>
  <cp:revision>1</cp:revision>
  <dcterms:created xsi:type="dcterms:W3CDTF">2013-12-23T23:15:00Z</dcterms:created>
  <dcterms:modified xsi:type="dcterms:W3CDTF">2013-12-23T23:15:00Z</dcterms:modified>
  <cp:category/>
</cp:coreProperties>
</file>