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65D"/>
          <w:sz w:val="40"/>
        </w:rPr>
        <w:t>MEMORANDUM</w:t>
      </w:r>
    </w:p>
    <w:p>
      <w:pPr>
        <w:spacing w:after="240"/>
        <w:jc w:val="center"/>
      </w:pPr>
      <w:r>
        <w:rPr>
          <w:rFonts w:ascii="Arial" w:hAnsi="Arial"/>
          <w:i/>
          <w:color w:val="666666"/>
          <w:sz w:val="20"/>
        </w:rPr>
        <w:t>Production 3 privilege-coding anomaly and proposed clawback</w:t>
      </w:r>
    </w:p>
    <w:tbl>
      <w:tblPr>
        <w:tblW w:type="auto" w:w="0"/>
        <w:jc w:val="left"/>
        <w:tblLayout w:type="fixed"/>
        <w:tblLook w:firstColumn="1" w:firstRow="1" w:lastColumn="0" w:lastRow="0" w:noHBand="0" w:noVBand="1" w:val="04A0"/>
      </w:tblPr>
      <w:tblGrid>
        <w:gridCol w:w="4997"/>
        <w:gridCol w:w="4997"/>
      </w:tblGrid>
      <w:tr>
        <w:tc>
          <w:tcPr>
            <w:tcW w:type="dxa" w:w="1037"/>
            <w:shd w:fill="D9EAF7"/>
            <w:vAlign w:val="top"/>
            <w:tcMar>
              <w:top w:w="55" w:type="dxa"/>
              <w:start w:w="70" w:type="dxa"/>
              <w:bottom w:w="55" w:type="dxa"/>
              <w:end w:w="70" w:type="dxa"/>
            </w:tcMar>
          </w:tcPr>
          <w:p>
            <w:pPr>
              <w:spacing w:after="0" w:before="0" w:line="240" w:lineRule="auto"/>
            </w:pPr>
            <w:r/>
            <w:r>
              <w:rPr>
                <w:rFonts w:ascii="Arial" w:hAnsi="Arial"/>
                <w:b/>
                <w:color w:val="17365D"/>
                <w:sz w:val="18"/>
              </w:rPr>
              <w:t>TO</w:t>
            </w:r>
          </w:p>
        </w:tc>
        <w:tc>
          <w:tcPr>
            <w:tcW w:type="dxa" w:w="8784"/>
            <w:vAlign w:val="top"/>
            <w:tcMar>
              <w:top w:w="55" w:type="dxa"/>
              <w:start w:w="70" w:type="dxa"/>
              <w:bottom w:w="55" w:type="dxa"/>
              <w:end w:w="70" w:type="dxa"/>
            </w:tcMar>
          </w:tcPr>
          <w:p>
            <w:pPr>
              <w:spacing w:after="0" w:before="0" w:line="240" w:lineRule="auto"/>
            </w:pPr>
            <w:r/>
            <w:r>
              <w:rPr>
                <w:rFonts w:ascii="Arial" w:hAnsi="Arial"/>
                <w:b w:val="0"/>
                <w:sz w:val="19"/>
              </w:rPr>
              <w:t>Catherine “Kate” Ellsworth, Partner / Lead Counsel</w:t>
            </w:r>
          </w:p>
        </w:tc>
      </w:tr>
      <w:tr>
        <w:tc>
          <w:tcPr>
            <w:tcW w:type="dxa" w:w="1037"/>
            <w:shd w:fill="D9EAF7"/>
            <w:vAlign w:val="top"/>
            <w:tcMar>
              <w:top w:w="55" w:type="dxa"/>
              <w:start w:w="70" w:type="dxa"/>
              <w:bottom w:w="55" w:type="dxa"/>
              <w:end w:w="70" w:type="dxa"/>
            </w:tcMar>
          </w:tcPr>
          <w:p>
            <w:pPr>
              <w:spacing w:after="0" w:before="0" w:line="240" w:lineRule="auto"/>
            </w:pPr>
            <w:r/>
            <w:r>
              <w:rPr>
                <w:rFonts w:ascii="Arial" w:hAnsi="Arial"/>
                <w:b/>
                <w:color w:val="17365D"/>
                <w:sz w:val="18"/>
              </w:rPr>
              <w:t>FROM</w:t>
            </w:r>
          </w:p>
        </w:tc>
        <w:tc>
          <w:tcPr>
            <w:tcW w:type="dxa" w:w="8784"/>
            <w:vAlign w:val="top"/>
            <w:tcMar>
              <w:top w:w="55" w:type="dxa"/>
              <w:start w:w="70" w:type="dxa"/>
              <w:bottom w:w="55" w:type="dxa"/>
              <w:end w:w="70" w:type="dxa"/>
            </w:tcMar>
          </w:tcPr>
          <w:p>
            <w:pPr>
              <w:spacing w:after="0" w:before="0" w:line="240" w:lineRule="auto"/>
            </w:pPr>
            <w:r/>
            <w:r>
              <w:rPr>
                <w:rFonts w:ascii="Arial" w:hAnsi="Arial"/>
                <w:b w:val="0"/>
                <w:sz w:val="19"/>
              </w:rPr>
              <w:t>Privilege Review Team</w:t>
            </w:r>
          </w:p>
        </w:tc>
      </w:tr>
      <w:tr>
        <w:tc>
          <w:tcPr>
            <w:tcW w:type="dxa" w:w="1037"/>
            <w:shd w:fill="D9EAF7"/>
            <w:vAlign w:val="top"/>
            <w:tcMar>
              <w:top w:w="55" w:type="dxa"/>
              <w:start w:w="70" w:type="dxa"/>
              <w:bottom w:w="55" w:type="dxa"/>
              <w:end w:w="70" w:type="dxa"/>
            </w:tcMar>
          </w:tcPr>
          <w:p>
            <w:pPr>
              <w:spacing w:after="0" w:before="0" w:line="240" w:lineRule="auto"/>
            </w:pPr>
            <w:r/>
            <w:r>
              <w:rPr>
                <w:rFonts w:ascii="Arial" w:hAnsi="Arial"/>
                <w:b/>
                <w:color w:val="17365D"/>
                <w:sz w:val="18"/>
              </w:rPr>
              <w:t>DATE</w:t>
            </w:r>
          </w:p>
        </w:tc>
        <w:tc>
          <w:tcPr>
            <w:tcW w:type="dxa" w:w="8784"/>
            <w:vAlign w:val="top"/>
            <w:tcMar>
              <w:top w:w="55" w:type="dxa"/>
              <w:start w:w="70" w:type="dxa"/>
              <w:bottom w:w="55" w:type="dxa"/>
              <w:end w:w="70" w:type="dxa"/>
            </w:tcMar>
          </w:tcPr>
          <w:p>
            <w:pPr>
              <w:spacing w:after="0" w:before="0" w:line="240" w:lineRule="auto"/>
            </w:pPr>
            <w:r/>
            <w:r>
              <w:rPr>
                <w:rFonts w:ascii="Arial" w:hAnsi="Arial"/>
                <w:b w:val="0"/>
                <w:sz w:val="19"/>
              </w:rPr>
              <w:t>June 18, 2024</w:t>
            </w:r>
          </w:p>
        </w:tc>
      </w:tr>
      <w:tr>
        <w:tc>
          <w:tcPr>
            <w:tcW w:type="dxa" w:w="1037"/>
            <w:shd w:fill="D9EAF7"/>
            <w:vAlign w:val="top"/>
            <w:tcMar>
              <w:top w:w="55" w:type="dxa"/>
              <w:start w:w="70" w:type="dxa"/>
              <w:bottom w:w="55" w:type="dxa"/>
              <w:end w:w="70" w:type="dxa"/>
            </w:tcMar>
          </w:tcPr>
          <w:p>
            <w:pPr>
              <w:spacing w:after="0" w:before="0" w:line="240" w:lineRule="auto"/>
            </w:pPr>
            <w:r/>
            <w:r>
              <w:rPr>
                <w:rFonts w:ascii="Arial" w:hAnsi="Arial"/>
                <w:b/>
                <w:color w:val="17365D"/>
                <w:sz w:val="18"/>
              </w:rPr>
              <w:t>RE</w:t>
            </w:r>
          </w:p>
        </w:tc>
        <w:tc>
          <w:tcPr>
            <w:tcW w:type="dxa" w:w="8784"/>
            <w:vAlign w:val="top"/>
            <w:tcMar>
              <w:top w:w="55" w:type="dxa"/>
              <w:start w:w="70" w:type="dxa"/>
              <w:bottom w:w="55" w:type="dxa"/>
              <w:end w:w="70" w:type="dxa"/>
            </w:tcMar>
          </w:tcPr>
          <w:p>
            <w:pPr>
              <w:spacing w:after="0" w:before="0" w:line="240" w:lineRule="auto"/>
            </w:pPr>
            <w:r/>
            <w:r>
              <w:rPr>
                <w:rFonts w:ascii="Arial" w:hAnsi="Arial"/>
                <w:b w:val="0"/>
                <w:sz w:val="19"/>
              </w:rPr>
              <w:t>Production 3: 47 potentially privileged documents inadvertently produced; clawback assessment</w:t>
            </w:r>
          </w:p>
        </w:tc>
      </w:tr>
    </w:tbl>
    <w:p>
      <w:pPr>
        <w:spacing w:before="180" w:after="140"/>
      </w:pPr>
      <w:r>
        <w:rPr>
          <w:b/>
          <w:color w:val="8B1E1E"/>
        </w:rPr>
        <w:t xml:space="preserve">BOTTOM LINE. </w:t>
      </w:r>
      <w:r>
        <w:t>Serve a prompt, protective clawback notice under the February 28 Order, but do not assert privilege indiscriminately over all 47 documents. The QC report supports an inadvertent, vendor-script overwrite discovered June 17 during the scheduled post-production audit. Several reviewed items contain strong in-house counsel advice or opinion work product; others are only partially privileged, were disclosed to outsiders, or belong to separate privilege holders. Obtain NorthBridge’s missing Appendix A immediately, finalize the complete Bates list and privilege determinations, and target service by June 21 (well before the conservative July 1 deadline).</w:t>
      </w:r>
    </w:p>
    <w:p>
      <w:pPr>
        <w:pStyle w:val="Heading1"/>
      </w:pPr>
      <w:r>
        <w:t>1. Background and timing</w:t>
      </w:r>
    </w:p>
    <w:p>
      <w:r>
        <w:t>Production 3 was delivered June 10, 2024 and comprises 2,300 documents, RDGL-00019720–RDGL-00022019. NorthBridge’s June 17 QC report says 47 documents were originally coded privileged by Harwick &amp; Calloway reviewers, then recoded “Responsive—Not Privileged” by email-threading script NB-RelScript-Thread-v4.2.1. The defect permitted child-to-parent privilege propagation; it was not present in v4.1.8 used for Productions 1 and 2. QC identified the anomaly at 8:47 a.m. CDT; NorthBridge notified Daniel Farias at 9:14 a.m. and confirmed by email at 9:27 a.m. The report says the standard five-business-day QC audit detected the problem and the defective script was disabled at 10:15 a.m.</w:t>
      </w:r>
    </w:p>
    <w:p>
      <w:r>
        <w:rPr>
          <w:b/>
        </w:rPr>
        <w:t xml:space="preserve">Order deadline. </w:t>
      </w:r>
      <w:r>
        <w:t>Section IV.B of the February 28, 2024 Stipulated Confidentiality and Clawback Order requires written notice within ten business days of discovery, sent to government lead counsel by email with a contemporaneous hard copy by overnight delivery; the log may accompany the notice or follow within five business days. The QC report calculates “on or about July 1.” June 19, 2024 is a federal holiday, so the precise computation may depend on how “business day” is applied. Calendar July 1 as the conservative outside date, confirm the computation with local counsel, and do not wait: aim to serve by June 21. The order also requires the recipient to sequester/return/destroy within five business days of valid notice and bars use of content already reviewed pending resolution.</w:t>
      </w:r>
    </w:p>
    <w:p>
      <w:r>
        <w:rPr>
          <w:b/>
        </w:rPr>
        <w:t xml:space="preserve">Diligence record. </w:t>
      </w:r>
      <w:r>
        <w:t>The report’s timeline, privilege field audit, reviewer coding history, script deployment/rollback, and 27-minute escalation from vendor project manager to counsel support lack of intentional waiver and prompt action. Preserve this evidence. Because the Order imputes constructive knowledge where reasonable diligence would have revealed the issue earlier, retain proof of QC procedures and the actual audit trail; the five-day audit cycle and prompt identification are helpful, but a specific defense is needed if the government argues earlier discoverability.</w:t>
      </w:r>
    </w:p>
    <w:p>
      <w:pPr>
        <w:pStyle w:val="Heading1"/>
      </w:pPr>
      <w:r>
        <w:t>2. Document-by-document assessment</w:t>
      </w:r>
    </w:p>
    <w:p>
      <w:r>
        <w:t>The accompanying draft log covers only the ten representative sets actually enumerated in the QC report. It separates claimed material from non-privileged content and identifies two potential claims held by non-company parties. The principal assessments are:</w:t>
      </w:r>
    </w:p>
    <w:p>
      <w:pPr>
        <w:pStyle w:val="ListBullet"/>
        <w:spacing w:after="80" w:line="245" w:lineRule="auto"/>
      </w:pPr>
      <w:r>
        <w:rPr>
          <w:b/>
        </w:rPr>
        <w:t xml:space="preserve">RDGL-00020114–00020116 — 2020 Ellsworth/Nagarajan thread. </w:t>
      </w:r>
      <w:r>
        <w:t>Potentially claim as confidential prospective-client legal advice. Priya sought outside counsel’s assessment of Ridgeline’s promotional review process and Ellsworth responded with substantive regulatory advice. The October 2023 engagement letter expressly disclaims retroactive adoption of prior communications; it does not itself resolve whether these 2020 confidential communications are protected as prospective-client communications. Confirm legal-advice purpose and no intervening disclosure; claim narrowly if confirmed.</w:t>
      </w:r>
    </w:p>
    <w:p>
      <w:pPr>
        <w:pStyle w:val="ListBullet"/>
        <w:spacing w:after="80" w:line="245" w:lineRule="auto"/>
      </w:pPr>
      <w:r>
        <w:rPr>
          <w:b/>
        </w:rPr>
        <w:t xml:space="preserve">RDGL-00020340–00020353 — Q3 planning thread. </w:t>
      </w:r>
      <w:r>
        <w:t>Partial attorney-client claim only. The discrete request to Deputy GC Viklund and his response about using the Nakamura fibromyalgia study in a sales aid are legal advice; internal communications revealing that advice may also be protected. The thread also contains ordinary sales targets, budget, marketing and speaker logistics. Do not claw back those business portions merely because they share a thread with legal advice; identify exact messages/redactions from native data.</w:t>
      </w:r>
    </w:p>
    <w:p>
      <w:pPr>
        <w:pStyle w:val="ListBullet"/>
        <w:spacing w:after="80" w:line="245" w:lineRule="auto"/>
      </w:pPr>
      <w:r>
        <w:rPr>
          <w:b/>
        </w:rPr>
        <w:t xml:space="preserve">RDGL-00020401–00020402 — GC advice on Q4 pain-focused speaker deck. </w:t>
      </w:r>
      <w:r>
        <w:t>Strong facial attorney-client communication between GC and Sales Training, but unusually sensitive and likely to draw a crime-fraud challenge. Priya advised removing/renaming slides and handling off-label data, yet also wrote to keep the matter from Compliance and submit a “cleaned-up” version to PRC. Preserve the inadvertent-disclosure claim while promptly assessing whether the advice furthered ongoing or future misconduct; do not characterize the email as unassailable.</w:t>
      </w:r>
    </w:p>
    <w:p>
      <w:pPr>
        <w:pStyle w:val="ListBullet"/>
        <w:spacing w:after="80" w:line="245" w:lineRule="auto"/>
      </w:pPr>
      <w:r>
        <w:rPr>
          <w:b/>
        </w:rPr>
        <w:t xml:space="preserve">RDGL-00020512–00020515 — Priya/Metcalf counsel-to-counsel thread. </w:t>
      </w:r>
      <w:r>
        <w:t>Conditional common-interest / joint-defense claim. It concerns a DOJ CID and coordination between the Company and Janet Correa, represented by separate counsel, but the record supplied contains no common-interest agreement and the interests can diverge. Language about presenting a “consistent” account and sequencing witness interviews creates sensitivity. Confirm a shared legal (not merely commercial) interest, confidentiality, authority and separate-counsel position before asserting.</w:t>
      </w:r>
    </w:p>
    <w:p>
      <w:pPr>
        <w:pStyle w:val="ListBullet"/>
        <w:spacing w:after="80" w:line="245" w:lineRule="auto"/>
      </w:pPr>
      <w:r>
        <w:rPr>
          <w:b/>
        </w:rPr>
        <w:t xml:space="preserve">RDGL-00020560–00020574 — Viklund risk assessment. </w:t>
      </w:r>
      <w:r>
        <w:t>Strong opinion work product for counsel’s investigation, exposure analysis and defense recommendations prepared after the DOJ CID; strongest protection is slides 9–15. Claim legal analysis, strategy and counsel mental impressions. Treat underlying operational facts and routine compliance metrics as nonprivileged unless their selection/organization itself reveals counsel’s litigation strategy. Seek sequestration of the file pending resolution, then provide a redacted/segregated version if appropriate.</w:t>
      </w:r>
    </w:p>
    <w:p>
      <w:pPr>
        <w:pStyle w:val="ListBullet"/>
        <w:spacing w:after="80" w:line="245" w:lineRule="auto"/>
      </w:pPr>
      <w:r>
        <w:rPr>
          <w:b/>
        </w:rPr>
        <w:t xml:space="preserve">RDGL-00020601–00020603 — Audit Committee investigation-scope emails. </w:t>
      </w:r>
      <w:r>
        <w:t>Likely protected attorney-client/work product of the Audit Committee, whose privilege is expressly separate under Order § II.E. It is not Ridgeline management’s privilege to waive. Rachel Greenwald identifies the Committee as her client; Priya is copied for coordination. Contact Waverly Stone immediately to confirm the Committee’s assertion and the effect of management’s receipt; assert only on the Committee’s behalf/with authorization.</w:t>
      </w:r>
    </w:p>
    <w:p>
      <w:pPr>
        <w:pStyle w:val="ListBullet"/>
        <w:spacing w:after="80" w:line="245" w:lineRule="auto"/>
      </w:pPr>
      <w:r>
        <w:rPr>
          <w:b/>
        </w:rPr>
        <w:t xml:space="preserve">RDGL-00020644–00020645 — Correa/Nagarajan personal-exposure email. </w:t>
      </w:r>
      <w:r>
        <w:t>Potential privilege belongs to Janet Correa, not Ridgeline. Janet wrote from a personal account after leaving the Company asking for personal legal advice; Priya responded with individualized exposure analysis and confidentiality assurances, although her role was Company GC and no individual engagement is shown. Contact Andrew Metcalf promptly for Janet’s position/authorization; do not claim this as corporate attorney-client privilege.</w:t>
      </w:r>
    </w:p>
    <w:p>
      <w:pPr>
        <w:pStyle w:val="ListBullet"/>
        <w:spacing w:after="80" w:line="245" w:lineRule="auto"/>
      </w:pPr>
      <w:r>
        <w:rPr>
          <w:b/>
        </w:rPr>
        <w:t xml:space="preserve">RDGL-00020710–00020715 — draft Promotional Review Policy. </w:t>
      </w:r>
      <w:r>
        <w:t>Partial claim limited to Viklund’s embedded comments/tracked changes offering legal advice. The clean policy text is a business/compliance draft and the QC audit says it was not coded privileged. Several comments identify known weaknesses and recommend remediation or legal positioning; assess any crime-fraud challenge, but do not withhold the full policy absent a basis.</w:t>
      </w:r>
    </w:p>
    <w:p>
      <w:pPr>
        <w:spacing w:before="40" w:after="80"/>
      </w:pPr>
      <w:r>
        <w:rPr>
          <w:b/>
        </w:rPr>
        <w:t xml:space="preserve">Not proposed for clawback on current record. </w:t>
      </w:r>
      <w:r>
        <w:t>RDGL-00020231–00020234 contains Deputy GC Viklund’s legal memo forwarded by Kevin Lassiter to external physician/speaker Anita Deshmukh, who was asked for her views; no common-interest or confidentiality arrangement appears. The voluntary disclosure likely waived attorney-client privilege and materially weakens any work-product claim. RDGL-00020488–00020489 is an FDA-facing sNDA label-supplement submission, followed by an internal informational forward; the substantive submission was intentionally disclosed to FDA and contains no apparent legal advice. Verify its ambiguous audit history, but do not claim on the text reviewed.</w:t>
      </w:r>
    </w:p>
    <w:p>
      <w:pPr>
        <w:pStyle w:val="Heading1"/>
      </w:pPr>
      <w:r>
        <w:t>3. Material record gaps and risks</w:t>
      </w:r>
    </w:p>
    <w:p>
      <w:pPr>
        <w:pStyle w:val="ListBullet"/>
        <w:spacing w:after="60" w:line="252" w:lineRule="auto"/>
      </w:pPr>
      <w:r>
        <w:t>The QC report states there are 12 representative documents but enumerates only items 1–10; it then says the remaining 35 yield 47, leaving a two-document arithmetic/identification gap. Appendix A, said to list all 47, was not included in the materials reviewed for this memo. The full log cannot be completed without that spreadsheet and audit trail.</w:t>
      </w:r>
    </w:p>
    <w:p>
      <w:pPr>
        <w:pStyle w:val="ListBullet"/>
        <w:spacing w:after="60" w:line="252" w:lineRule="auto"/>
      </w:pPr>
      <w:r>
        <w:t>The QC report’s own examples include ambiguous or limited items: the FDA correspondence has unclear original coding; the policy’s clean text was non-privileged while comments alone were coded privileged; the mixed planning thread was coded partial; and the risk assessment presentation was partial work product. These should not be asserted as whole-document privilege claims.</w:t>
      </w:r>
    </w:p>
    <w:p>
      <w:pPr>
        <w:pStyle w:val="ListBullet"/>
        <w:spacing w:after="60" w:line="252" w:lineRule="auto"/>
      </w:pPr>
      <w:r>
        <w:t>The forwarded 2022 legal memo and the October 2023 exchange with Correa’s counsel are material privilege/waiver issues, not mere technical classifications. The first was shared with an external physician; the latter may be a common-interest communication but raises corporate/former-employee divergence and witness-coordination sensitivities.</w:t>
      </w:r>
    </w:p>
    <w:p>
      <w:pPr>
        <w:pStyle w:val="ListBullet"/>
        <w:spacing w:after="60" w:line="252" w:lineRule="auto"/>
      </w:pPr>
      <w:r>
        <w:t>The Aug. 2022 GC email, policy comments and commercial thread may be damaging on the merits and invite crime-fraud arguments. That does not automatically negate privilege, but the claim must be made precisely and without relying on labels alone. Keep privilege review, merits investigation and witness preparation appropriately separated.</w:t>
      </w:r>
    </w:p>
    <w:p>
      <w:pPr>
        <w:pStyle w:val="ListBullet"/>
        <w:spacing w:after="60" w:line="252" w:lineRule="auto"/>
      </w:pPr>
      <w:r>
        <w:t>NorthBridge reports Productions 1 and 2 used v4.1.8 and are not believed affected, with retroactive QC pending by June 24. Preserve the report and obtain final results; be ready to supplement the notice/log if a further inadvertent disclosure is identified.</w:t>
      </w:r>
    </w:p>
    <w:p>
      <w:pPr>
        <w:pStyle w:val="Heading1"/>
      </w:pPr>
      <w:r>
        <w:t>4. Recommended actions</w:t>
      </w:r>
    </w:p>
    <w:p>
      <w:pPr>
        <w:pStyle w:val="ListNumber"/>
        <w:spacing w:after="100" w:line="245" w:lineRule="auto"/>
      </w:pPr>
      <w:r>
        <w:rPr>
          <w:b/>
        </w:rPr>
        <w:t xml:space="preserve">Obtain the complete inventory now. </w:t>
      </w:r>
      <w:r>
        <w:t>Direct NorthBridge and the review team to deliver Appendix A, native files, reviewer coding and propagation audit history for all 47 Bates numbers. Reconcile the report’s 12-versus-10 discrepancy. Have counsel—not only the vendor—make a fresh privilege and waiver determination for each item, including attachment/family boundaries.</w:t>
      </w:r>
    </w:p>
    <w:p>
      <w:pPr>
        <w:pStyle w:val="ListNumber"/>
        <w:spacing w:after="100" w:line="245" w:lineRule="auto"/>
      </w:pPr>
      <w:r>
        <w:rPr>
          <w:b/>
        </w:rPr>
        <w:t xml:space="preserve">Serve a narrow, protective notice promptly. </w:t>
      </w:r>
      <w:r>
        <w:t>Prepare notice to AUSA Brian Cooperman identifying each confirmed Bates number, privilege holder, specific protection, date, author/recipients and concise subject. Ask the Government to sequester, stop reviewing/using, retrieve copies from all agents, and return or destroy as elected; request written certification under § IV.C. Transmit by email and contemporaneous overnight hard copy. Serve by June 21 if practicable, and no later than the conservative July 1 date.</w:t>
      </w:r>
    </w:p>
    <w:p>
      <w:pPr>
        <w:pStyle w:val="ListNumber"/>
        <w:spacing w:after="100" w:line="245" w:lineRule="auto"/>
      </w:pPr>
      <w:r>
        <w:rPr>
          <w:b/>
        </w:rPr>
        <w:t xml:space="preserve">Complete the log on the Order’s schedule. </w:t>
      </w:r>
      <w:r>
        <w:t>The attached log is a working draft for the ten enumerated representative sets, not a service-ready complete log. Include the full inventory in the notice; supply the Rule 26.1(b)-compliant log with the notice or within five business days. Use message-level and annotation-level descriptions for partial claims; avoid revealing advice in the log itself. Do not claim ordinary business facts.</w:t>
      </w:r>
    </w:p>
    <w:p>
      <w:pPr>
        <w:pStyle w:val="ListNumber"/>
        <w:spacing w:after="100" w:line="245" w:lineRule="auto"/>
      </w:pPr>
      <w:r>
        <w:rPr>
          <w:b/>
        </w:rPr>
        <w:t xml:space="preserve">Get privilege-holder instructions. </w:t>
      </w:r>
      <w:r>
        <w:t>Contact Waverly Stone (for the Audit Committee) and Andrew Metcalf (for Correa) immediately. Confirm whether each will assert/authorize the independent claim and whether they have any separate confidentiality or common-interest agreement. Do not purport to waive, or unilaterally speak for, either holder.</w:t>
      </w:r>
    </w:p>
    <w:p>
      <w:pPr>
        <w:pStyle w:val="ListNumber"/>
        <w:spacing w:after="100" w:line="245" w:lineRule="auto"/>
      </w:pPr>
      <w:r>
        <w:rPr>
          <w:b/>
        </w:rPr>
        <w:t xml:space="preserve">Preserve and contain. </w:t>
      </w:r>
      <w:r>
        <w:t>Maintain the original produced set, native files, metadata, privilege coding/audit history, defective script version, QC logs, NorthBridge communications, and the 47 quarantined files. Do not alter or delete. Restrict access and prevent further internal or external circulation; track every copy and any government review known to date.</w:t>
      </w:r>
    </w:p>
    <w:p>
      <w:pPr>
        <w:pStyle w:val="ListNumber"/>
        <w:spacing w:after="100" w:line="245" w:lineRule="auto"/>
      </w:pPr>
      <w:r>
        <w:rPr>
          <w:b/>
        </w:rPr>
        <w:t xml:space="preserve">Manage conflicts and witness communications. </w:t>
      </w:r>
      <w:r>
        <w:t>Given the Correa communications and the shared-narrative language, route any contact or interview concerning Janet through her counsel and separate the Company’s interests from hers. No witness coaching or coordination of recollections; preserve independent accounts. Consider whether individual counsel or a conflicts review is needed for Priya or other custodians.</w:t>
      </w:r>
    </w:p>
    <w:p>
      <w:pPr>
        <w:pStyle w:val="ListNumber"/>
        <w:spacing w:after="100" w:line="245" w:lineRule="auto"/>
      </w:pPr>
      <w:r>
        <w:rPr>
          <w:b/>
        </w:rPr>
        <w:t xml:space="preserve">Follow up on other productions. </w:t>
      </w:r>
      <w:r>
        <w:t>Obtain NorthBridge’s June 24 retroactive QC result for Productions 1–2 and assess promptly. Continue enhanced production QC and ensure v4.2.1 remains disabled until the corrected script passes mixed-privilege testing.</w:t>
      </w:r>
    </w:p>
    <w:p>
      <w:pPr>
        <w:spacing w:before="120" w:after="40"/>
      </w:pPr>
      <w:r>
        <w:rPr>
          <w:b/>
        </w:rPr>
        <w:t xml:space="preserve">Conclusion. </w:t>
      </w:r>
      <w:r>
        <w:t>The record supports prompt recovery efforts for the genuinely privileged portions because the accidental production resulted from a specific software defect after attorney review, and the Clawback Order provides a strong Rule 502(d) mechanism. The claim will be most credible if it is precise: assert the protected in-house advice and litigation work product; segregate business content; secure the independent holders’ instructions; and exclude material whose confidentiality was already compromised or whose text is not privileged.</w:t>
      </w:r>
    </w:p>
    <w:sectPr w:rsidR="00FC693F" w:rsidRPr="0006063C" w:rsidSect="00034616">
      <w:headerReference w:type="default" r:id="rId9"/>
      <w:footerReference w:type="default" r:id="rId10"/>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666666"/>
        <w:sz w:val="16"/>
      </w:rPr>
      <w:t xml:space="preserve">Ridgeline Therapeutics | DOJ Investigation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b/>
        <w:color w:val="8B1E1E"/>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