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HARWICK &amp; CALLOWAY LLP</w:t>
      </w:r>
    </w:p>
    <w:p>
      <w:pPr>
        <w:jc w:val="center"/>
      </w:pPr>
      <w:r>
        <w:rPr>
          <w:b/>
          <w:sz w:val="24"/>
        </w:rPr>
        <w:t>MEMORANDUM</w:t>
      </w:r>
    </w:p>
    <w:tbl>
      <w:tblPr>
        <w:tblW w:type="auto" w:w="0"/>
        <w:tblLook w:firstColumn="1" w:firstRow="1" w:lastColumn="0" w:lastRow="0" w:noHBand="0" w:noVBand="1" w:val="04A0"/>
      </w:tblPr>
      <w:tblGrid>
        <w:gridCol w:w="4680"/>
        <w:gridCol w:w="4680"/>
      </w:tblGrid>
      <w:tr>
        <w:tc>
          <w:tcPr>
            <w:tcW w:type="dxa" w:w="1296"/>
          </w:tcPr>
          <w:p>
            <w:r>
              <w:rPr>
                <w:b/>
              </w:rPr>
              <w:t>TO:</w:t>
            </w:r>
          </w:p>
        </w:tc>
        <w:tc>
          <w:tcPr>
            <w:tcW w:type="dxa" w:w="8064"/>
          </w:tcPr>
          <w:p>
            <w:r>
              <w:t>Catherine "Kate" Ellsworth, Partner</w:t>
            </w:r>
          </w:p>
        </w:tc>
      </w:tr>
      <w:tr>
        <w:tc>
          <w:tcPr>
            <w:tcW w:type="dxa" w:w="1296"/>
          </w:tcPr>
          <w:p>
            <w:r>
              <w:rPr>
                <w:b/>
              </w:rPr>
              <w:t>CC:</w:t>
            </w:r>
          </w:p>
        </w:tc>
        <w:tc>
          <w:tcPr>
            <w:tcW w:type="dxa" w:w="8064"/>
          </w:tcPr>
          <w:p>
            <w:r>
              <w:t>Daniel Farias, Senior Associate</w:t>
            </w:r>
          </w:p>
        </w:tc>
      </w:tr>
      <w:tr>
        <w:tc>
          <w:tcPr>
            <w:tcW w:type="dxa" w:w="1296"/>
          </w:tcPr>
          <w:p>
            <w:r>
              <w:rPr>
                <w:b/>
              </w:rPr>
              <w:t>FROM:</w:t>
            </w:r>
          </w:p>
        </w:tc>
        <w:tc>
          <w:tcPr>
            <w:tcW w:type="dxa" w:w="8064"/>
          </w:tcPr>
          <w:p>
            <w:r>
              <w:t>Privilege Review Team</w:t>
            </w:r>
          </w:p>
        </w:tc>
      </w:tr>
      <w:tr>
        <w:tc>
          <w:tcPr>
            <w:tcW w:type="dxa" w:w="1296"/>
          </w:tcPr>
          <w:p>
            <w:r>
              <w:rPr>
                <w:b/>
              </w:rPr>
              <w:t>DATE:</w:t>
            </w:r>
          </w:p>
        </w:tc>
        <w:tc>
          <w:tcPr>
            <w:tcW w:type="dxa" w:w="8064"/>
          </w:tcPr>
          <w:p>
            <w:r>
              <w:t>June 18, 2024</w:t>
            </w:r>
          </w:p>
        </w:tc>
      </w:tr>
      <w:tr>
        <w:tc>
          <w:tcPr>
            <w:tcW w:type="dxa" w:w="1296"/>
          </w:tcPr>
          <w:p>
            <w:r>
              <w:rPr>
                <w:b/>
              </w:rPr>
              <w:t>RE:</w:t>
            </w:r>
          </w:p>
        </w:tc>
        <w:tc>
          <w:tcPr>
            <w:tcW w:type="dxa" w:w="8064"/>
          </w:tcPr>
          <w:p>
            <w:r>
              <w:t>Ridgeline Therapeutics — GJ-2024-00417 (D.N.J. 2:24-gj-00417-ML): Production 3 inadvertent production of 47 privileged documents — clawback findings, deadline, and recommendations</w:t>
            </w:r>
          </w:p>
        </w:tc>
      </w:tr>
    </w:tbl>
    <w:p>
      <w:r>
        <w:t>______________________________________________________________________________________</w:t>
      </w:r>
    </w:p>
    <w:p>
      <w:pPr>
        <w:pStyle w:val="Heading1"/>
      </w:pPr>
      <w:r>
        <w:t>I. Bottom Line</w:t>
      </w:r>
    </w:p>
    <w:p>
      <w:pPr>
        <w:pStyle w:val="ListBullet"/>
      </w:pPr>
      <w:r>
        <w:rPr>
          <w:b/>
        </w:rPr>
        <w:t>Serve the clawback notice no later than Monday, June 24, 2024.</w:t>
      </w:r>
      <w:r>
        <w:rPr>
          <w:b w:val="0"/>
        </w:rPr>
        <w:t xml:space="preserve"> NorthBridge computes a July 1 deadline from June 17, but that ignores (i) the Order's constructive-knowledge rule, which can move the Discovery Date earlier than NorthBridge's June 17 escalation, and (ii) uncertainty over whether Juneteenth (Wed., June 19) counts. June 24 meets the deadline under every plausible reading. Extensions are not available by right, and late notice risks document-specific waiver (Order § IV.B.5).</w:t>
      </w:r>
    </w:p>
    <w:p>
      <w:pPr>
        <w:pStyle w:val="ListBullet"/>
      </w:pPr>
      <w:r>
        <w:rPr>
          <w:b w:val="0"/>
        </w:rPr>
        <w:t xml:space="preserve">Of the ten documents we reviewed individually, </w:t>
      </w:r>
      <w:r>
        <w:rPr>
          <w:b/>
        </w:rPr>
        <w:t>seven should be clawed back</w:t>
      </w:r>
      <w:r>
        <w:rPr>
          <w:b w:val="0"/>
        </w:rPr>
        <w:t xml:space="preserve"> (four in full, three by redaction), </w:t>
      </w:r>
      <w:r>
        <w:rPr>
          <w:b/>
        </w:rPr>
        <w:t>one belongs to the Audit Committee</w:t>
      </w:r>
      <w:r>
        <w:rPr>
          <w:b w:val="0"/>
        </w:rPr>
        <w:t xml:space="preserve"> and must be asserted jointly with Waverly Stone, and </w:t>
      </w:r>
      <w:r>
        <w:rPr>
          <w:b/>
        </w:rPr>
        <w:t>three should not be asserted</w:t>
      </w:r>
      <w:r>
        <w:rPr>
          <w:b w:val="0"/>
        </w:rPr>
        <w:t xml:space="preserve"> (the Sept. 2020 Ellsworth–Nagarajan emails, the FDA correspondence, and the Correa–Nagarajan personal-advice emails). See the privilege log (privilege-log.docx).</w:t>
      </w:r>
    </w:p>
    <w:p>
      <w:pPr>
        <w:pStyle w:val="ListBullet"/>
      </w:pPr>
      <w:r>
        <w:rPr>
          <w:b/>
        </w:rPr>
        <w:t>The remaining 35 flagged documents, plus two "representative" documents that NorthBridge's report mentions but does not list, have not been reviewed.</w:t>
      </w:r>
      <w:r>
        <w:rPr>
          <w:b w:val="0"/>
        </w:rPr>
        <w:t xml:space="preserve"> They must be reviewed and logged before June 24. Default rule: include anything a reviewer originally coded privileged unless it is affirmatively cleared.</w:t>
      </w:r>
    </w:p>
    <w:p>
      <w:pPr>
        <w:pStyle w:val="ListBullet"/>
      </w:pPr>
      <w:r>
        <w:rPr>
          <w:b/>
        </w:rPr>
        <w:t>Three documents (D, F, I) raise serious issues about the General Counsel's conduct.</w:t>
      </w:r>
      <w:r>
        <w:rPr>
          <w:b w:val="0"/>
        </w:rPr>
        <w:t xml:space="preserve"> They create crime-fraud and obstruction exposure and an institutional conflict. Ms. Nagarajan is our designated client contact, but she should not be the person who decides whether to assert privilege over her own communications. We recommend escalating to the Board/Audit Committee before the notice is served (§ IV.A).</w:t>
      </w:r>
    </w:p>
    <w:p>
      <w:pPr>
        <w:pStyle w:val="ListBullet"/>
      </w:pPr>
      <w:r>
        <w:rPr>
          <w:b w:val="0"/>
        </w:rPr>
        <w:t>The most significant contested claims are D (crime-fraud risk), B (waiver by forwarding to an outside physician), and F (common interest with Correa's counsel). We should expect the Government to challenge all three and ask for in camera review.</w:t>
      </w:r>
    </w:p>
    <w:p>
      <w:pPr>
        <w:pStyle w:val="Heading1"/>
      </w:pPr>
      <w:r>
        <w:t>II. Clawback Deadline</w:t>
      </w:r>
    </w:p>
    <w:p>
      <w:r>
        <w:rPr>
          <w:b/>
        </w:rPr>
        <w:t>Governing rule.</w:t>
      </w:r>
      <w:r>
        <w:rPr>
          <w:b w:val="0"/>
        </w:rPr>
        <w:t xml:space="preserve"> Written Clawback Notice is due within 10 business days of the "Discovery Date" (Order § IV.B.1). That is the date counsel </w:t>
      </w:r>
      <w:r>
        <w:rPr>
          <w:b/>
        </w:rPr>
        <w:t>or the e-discovery vendor</w:t>
      </w:r>
      <w:r>
        <w:rPr>
          <w:b w:val="0"/>
        </w:rPr>
        <w:t xml:space="preserve"> first becomes aware of facts indicating inadvertent production. Constructive knowledge is imputed where the producing party or its agents "possessed information sufficient to identify the inadvertent production through the exercise of reasonable diligence." If constructive knowledge came first, it controls (§ IV.B.3). The notice must go by email to AUSA Cooperman, with a hard copy by overnight delivery. It must also identify each document by Bates number, the privilege and its holder, and the factual basis (§ IV.B.2). A conforming log must accompany the notice or follow within 5 business days.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D9D9D9"/>
          </w:tcPr>
          <w:p>
            <w:r/>
            <w:r>
              <w:rPr>
                <w:b/>
                <w:sz w:val="18"/>
              </w:rPr>
              <w:t>Candidate Discovery Date</w:t>
            </w:r>
          </w:p>
        </w:tc>
        <w:tc>
          <w:tcPr>
            <w:tcW w:type="dxa" w:w="3744"/>
            <w:shd w:val="clear" w:color="auto" w:fill="D9D9D9"/>
          </w:tcPr>
          <w:p>
            <w:r/>
            <w:r>
              <w:rPr>
                <w:b/>
                <w:sz w:val="18"/>
              </w:rPr>
              <w:t>Basis</w:t>
            </w:r>
          </w:p>
        </w:tc>
        <w:tc>
          <w:tcPr>
            <w:tcW w:type="dxa" w:w="1872"/>
            <w:shd w:val="clear" w:color="auto" w:fill="D9D9D9"/>
          </w:tcPr>
          <w:p>
            <w:r/>
            <w:r>
              <w:rPr>
                <w:b/>
                <w:sz w:val="18"/>
              </w:rPr>
              <w:t>10th business day (Juneteenth excluded)</w:t>
            </w:r>
          </w:p>
        </w:tc>
        <w:tc>
          <w:tcPr>
            <w:tcW w:type="dxa" w:w="1872"/>
            <w:shd w:val="clear" w:color="auto" w:fill="D9D9D9"/>
          </w:tcPr>
          <w:p>
            <w:r/>
            <w:r>
              <w:rPr>
                <w:b/>
                <w:sz w:val="18"/>
              </w:rPr>
              <w:t>10th business day (Juneteenth counted)</w:t>
            </w:r>
          </w:p>
        </w:tc>
      </w:tr>
      <w:tr>
        <w:tc>
          <w:tcPr>
            <w:tcW w:type="dxa" w:w="1872"/>
          </w:tcPr>
          <w:p>
            <w:pPr>
              <w:spacing w:after="40"/>
            </w:pPr>
            <w:r>
              <w:rPr>
                <w:sz w:val="18"/>
              </w:rPr>
            </w:r>
            <w:r>
              <w:rPr>
                <w:b w:val="0"/>
                <w:sz w:val="18"/>
              </w:rPr>
              <w:t>Mon., June 10, 2024</w:t>
            </w:r>
          </w:p>
        </w:tc>
        <w:tc>
          <w:tcPr>
            <w:tcW w:type="dxa" w:w="3744"/>
          </w:tcPr>
          <w:p>
            <w:pPr>
              <w:spacing w:after="40"/>
            </w:pPr>
            <w:r>
              <w:rPr>
                <w:sz w:val="18"/>
              </w:rPr>
            </w:r>
            <w:r>
              <w:rPr>
                <w:b w:val="0"/>
                <w:sz w:val="18"/>
              </w:rPr>
              <w:t>Production day. H&amp;C's own reviewer coding and the Relativity audit trail already showed the overwrites (most aggressive Government argument)</w:t>
            </w:r>
          </w:p>
        </w:tc>
        <w:tc>
          <w:tcPr>
            <w:tcW w:type="dxa" w:w="1872"/>
          </w:tcPr>
          <w:p>
            <w:pPr>
              <w:spacing w:after="40"/>
            </w:pPr>
            <w:r>
              <w:rPr>
                <w:sz w:val="18"/>
              </w:rPr>
            </w:r>
            <w:r>
              <w:rPr>
                <w:b w:val="0"/>
                <w:sz w:val="18"/>
              </w:rPr>
              <w:t>Tue., June 25</w:t>
            </w:r>
          </w:p>
        </w:tc>
        <w:tc>
          <w:tcPr>
            <w:tcW w:type="dxa" w:w="1872"/>
          </w:tcPr>
          <w:p>
            <w:pPr>
              <w:spacing w:after="40"/>
            </w:pPr>
            <w:r>
              <w:rPr>
                <w:sz w:val="18"/>
              </w:rPr>
            </w:r>
            <w:r>
              <w:rPr>
                <w:b w:val="0"/>
                <w:sz w:val="18"/>
              </w:rPr>
              <w:t>Mon., June 24</w:t>
            </w:r>
          </w:p>
        </w:tc>
      </w:tr>
      <w:tr>
        <w:tc>
          <w:tcPr>
            <w:tcW w:type="dxa" w:w="1872"/>
          </w:tcPr>
          <w:p>
            <w:pPr>
              <w:spacing w:after="40"/>
            </w:pPr>
            <w:r>
              <w:rPr>
                <w:sz w:val="18"/>
              </w:rPr>
            </w:r>
            <w:r>
              <w:rPr>
                <w:b w:val="0"/>
                <w:sz w:val="18"/>
              </w:rPr>
              <w:t>Tue., June 11, 2024</w:t>
            </w:r>
          </w:p>
        </w:tc>
        <w:tc>
          <w:tcPr>
            <w:tcW w:type="dxa" w:w="3744"/>
          </w:tcPr>
          <w:p>
            <w:pPr>
              <w:spacing w:after="40"/>
            </w:pPr>
            <w:r>
              <w:rPr>
                <w:sz w:val="18"/>
              </w:rPr>
            </w:r>
            <w:r>
              <w:rPr>
                <w:b w:val="0"/>
                <w:sz w:val="18"/>
              </w:rPr>
              <w:t>NorthBridge began post-production QC cycle</w:t>
            </w:r>
          </w:p>
        </w:tc>
        <w:tc>
          <w:tcPr>
            <w:tcW w:type="dxa" w:w="1872"/>
          </w:tcPr>
          <w:p>
            <w:pPr>
              <w:spacing w:after="40"/>
            </w:pPr>
            <w:r>
              <w:rPr>
                <w:sz w:val="18"/>
              </w:rPr>
            </w:r>
            <w:r>
              <w:rPr>
                <w:b w:val="0"/>
                <w:sz w:val="18"/>
              </w:rPr>
              <w:t>Wed., June 26</w:t>
            </w:r>
          </w:p>
        </w:tc>
        <w:tc>
          <w:tcPr>
            <w:tcW w:type="dxa" w:w="1872"/>
          </w:tcPr>
          <w:p>
            <w:pPr>
              <w:spacing w:after="40"/>
            </w:pPr>
            <w:r>
              <w:rPr>
                <w:sz w:val="18"/>
              </w:rPr>
            </w:r>
            <w:r>
              <w:rPr>
                <w:b w:val="0"/>
                <w:sz w:val="18"/>
              </w:rPr>
              <w:t>Tue., June 25</w:t>
            </w:r>
          </w:p>
        </w:tc>
      </w:tr>
      <w:tr>
        <w:tc>
          <w:tcPr>
            <w:tcW w:type="dxa" w:w="1872"/>
          </w:tcPr>
          <w:p>
            <w:pPr>
              <w:spacing w:after="40"/>
            </w:pPr>
            <w:r>
              <w:rPr>
                <w:sz w:val="18"/>
              </w:rPr>
            </w:r>
            <w:r>
              <w:rPr>
                <w:b w:val="0"/>
                <w:sz w:val="18"/>
              </w:rPr>
              <w:t>Fri., June 14, 2024</w:t>
            </w:r>
          </w:p>
        </w:tc>
        <w:tc>
          <w:tcPr>
            <w:tcW w:type="dxa" w:w="3744"/>
          </w:tcPr>
          <w:p>
            <w:pPr>
              <w:spacing w:after="40"/>
            </w:pPr>
            <w:r>
              <w:rPr>
                <w:sz w:val="18"/>
              </w:rPr>
            </w:r>
            <w:r>
              <w:rPr>
                <w:b w:val="0"/>
                <w:sz w:val="18"/>
              </w:rPr>
              <w:t>Tilley began the privilege-field cross-reference audit that surfaced the discrepancies</w:t>
            </w:r>
          </w:p>
        </w:tc>
        <w:tc>
          <w:tcPr>
            <w:tcW w:type="dxa" w:w="1872"/>
          </w:tcPr>
          <w:p>
            <w:pPr>
              <w:spacing w:after="40"/>
            </w:pPr>
            <w:r>
              <w:rPr>
                <w:sz w:val="18"/>
              </w:rPr>
            </w:r>
            <w:r>
              <w:rPr>
                <w:b w:val="0"/>
                <w:sz w:val="18"/>
              </w:rPr>
              <w:t>Mon., July 1</w:t>
            </w:r>
          </w:p>
        </w:tc>
        <w:tc>
          <w:tcPr>
            <w:tcW w:type="dxa" w:w="1872"/>
          </w:tcPr>
          <w:p>
            <w:pPr>
              <w:spacing w:after="40"/>
            </w:pPr>
            <w:r>
              <w:rPr>
                <w:sz w:val="18"/>
              </w:rPr>
            </w:r>
            <w:r>
              <w:rPr>
                <w:b w:val="0"/>
                <w:sz w:val="18"/>
              </w:rPr>
              <w:t>Fri., June 28</w:t>
            </w:r>
          </w:p>
        </w:tc>
      </w:tr>
      <w:tr>
        <w:tc>
          <w:tcPr>
            <w:tcW w:type="dxa" w:w="1872"/>
          </w:tcPr>
          <w:p>
            <w:pPr>
              <w:spacing w:after="40"/>
            </w:pPr>
            <w:r>
              <w:rPr>
                <w:sz w:val="18"/>
              </w:rPr>
            </w:r>
            <w:r>
              <w:rPr>
                <w:b w:val="0"/>
                <w:sz w:val="18"/>
              </w:rPr>
              <w:t>Mon., June 17, 2024</w:t>
            </w:r>
          </w:p>
        </w:tc>
        <w:tc>
          <w:tcPr>
            <w:tcW w:type="dxa" w:w="3744"/>
          </w:tcPr>
          <w:p>
            <w:pPr>
              <w:spacing w:after="40"/>
            </w:pPr>
            <w:r>
              <w:rPr>
                <w:sz w:val="18"/>
              </w:rPr>
            </w:r>
            <w:r>
              <w:rPr>
                <w:b w:val="0"/>
                <w:sz w:val="18"/>
              </w:rPr>
              <w:t>Actual discovery (8:47 AM CDT); counsel notified by phone at 9:14 AM CDT</w:t>
            </w:r>
          </w:p>
        </w:tc>
        <w:tc>
          <w:tcPr>
            <w:tcW w:type="dxa" w:w="1872"/>
          </w:tcPr>
          <w:p>
            <w:pPr>
              <w:spacing w:after="40"/>
            </w:pPr>
            <w:r>
              <w:rPr>
                <w:sz w:val="18"/>
              </w:rPr>
            </w:r>
            <w:r>
              <w:rPr>
                <w:b w:val="0"/>
                <w:sz w:val="18"/>
              </w:rPr>
              <w:t>Tue., July 2</w:t>
            </w:r>
          </w:p>
        </w:tc>
        <w:tc>
          <w:tcPr>
            <w:tcW w:type="dxa" w:w="1872"/>
          </w:tcPr>
          <w:p>
            <w:pPr>
              <w:spacing w:after="40"/>
            </w:pPr>
            <w:r>
              <w:rPr>
                <w:sz w:val="18"/>
              </w:rPr>
            </w:r>
            <w:r>
              <w:rPr>
                <w:b w:val="0"/>
                <w:sz w:val="18"/>
              </w:rPr>
              <w:t>Mon., July 1 (NorthBridge's figure)</w:t>
            </w:r>
          </w:p>
        </w:tc>
      </w:tr>
    </w:tbl>
    <w:p>
      <w:r>
        <w:rPr>
          <w:b/>
        </w:rPr>
        <w:t>Recommendation:</w:t>
      </w:r>
      <w:r>
        <w:rPr>
          <w:b w:val="0"/>
        </w:rPr>
        <w:t xml:space="preserve"> Treat </w:t>
      </w:r>
      <w:r>
        <w:rPr>
          <w:b/>
        </w:rPr>
        <w:t>June 24</w:t>
      </w:r>
      <w:r>
        <w:rPr>
          <w:b w:val="0"/>
        </w:rPr>
        <w:t xml:space="preserve"> as the hard deadline and target </w:t>
      </w:r>
      <w:r>
        <w:rPr>
          <w:b/>
        </w:rPr>
        <w:t>service on Friday, June 21</w:t>
      </w:r>
      <w:r>
        <w:rPr>
          <w:b w:val="0"/>
        </w:rPr>
        <w:t>. The strongest good-faith position is that the Discovery Date is June 17, because the defect was silent and was caught by the QC protocol the Order itself contemplates (§ V.C(d)). We should not have to rely on that argument. NorthBridge's retroactive audit of Productions 1–2 is due June 24. Any hits there will have their own Discovery Date, and that date may be earlier than June 24 under the constructive-knowledge rule, so any findings should be escalated the same day.</w:t>
      </w:r>
    </w:p>
    <w:p>
      <w:pPr>
        <w:pStyle w:val="Heading1"/>
      </w:pPr>
      <w:r>
        <w:t>III. Document-by-Document Findings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D9D9D9"/>
          </w:tcPr>
          <w:p>
            <w:r/>
            <w:r>
              <w:rPr>
                <w:b/>
                <w:sz w:val="18"/>
              </w:rPr>
              <w:t>#</w:t>
            </w:r>
          </w:p>
        </w:tc>
        <w:tc>
          <w:tcPr>
            <w:tcW w:type="dxa" w:w="1152"/>
            <w:shd w:val="clear" w:color="auto" w:fill="D9D9D9"/>
          </w:tcPr>
          <w:p>
            <w:r/>
            <w:r>
              <w:rPr>
                <w:b/>
                <w:sz w:val="18"/>
              </w:rPr>
              <w:t>Bates</w:t>
            </w:r>
          </w:p>
        </w:tc>
        <w:tc>
          <w:tcPr>
            <w:tcW w:type="dxa" w:w="3312"/>
            <w:shd w:val="clear" w:color="auto" w:fill="D9D9D9"/>
          </w:tcPr>
          <w:p>
            <w:r/>
            <w:r>
              <w:rPr>
                <w:b/>
                <w:sz w:val="18"/>
              </w:rPr>
              <w:t>Document</w:t>
            </w:r>
          </w:p>
        </w:tc>
        <w:tc>
          <w:tcPr>
            <w:tcW w:type="dxa" w:w="3024"/>
            <w:shd w:val="clear" w:color="auto" w:fill="D9D9D9"/>
          </w:tcPr>
          <w:p>
            <w:r/>
            <w:r>
              <w:rPr>
                <w:b/>
                <w:sz w:val="18"/>
              </w:rPr>
              <w:t>Recommendation</w:t>
            </w:r>
          </w:p>
        </w:tc>
        <w:tc>
          <w:tcPr>
            <w:tcW w:type="dxa" w:w="1440"/>
            <w:shd w:val="clear" w:color="auto" w:fill="D9D9D9"/>
          </w:tcPr>
          <w:p>
            <w:r/>
            <w:r>
              <w:rPr>
                <w:b/>
                <w:sz w:val="18"/>
              </w:rPr>
              <w:t>Risk of Challenge</w:t>
            </w:r>
          </w:p>
        </w:tc>
      </w:tr>
      <w:tr>
        <w:tc>
          <w:tcPr>
            <w:tcW w:type="dxa" w:w="432"/>
          </w:tcPr>
          <w:p>
            <w:pPr>
              <w:spacing w:after="40"/>
            </w:pPr>
            <w:r>
              <w:rPr>
                <w:sz w:val="18"/>
              </w:rPr>
            </w:r>
            <w:r>
              <w:rPr>
                <w:b w:val="0"/>
                <w:sz w:val="18"/>
              </w:rPr>
              <w:t>A</w:t>
            </w:r>
          </w:p>
        </w:tc>
        <w:tc>
          <w:tcPr>
            <w:tcW w:type="dxa" w:w="1152"/>
          </w:tcPr>
          <w:p>
            <w:pPr>
              <w:spacing w:after="40"/>
            </w:pPr>
            <w:r>
              <w:rPr>
                <w:sz w:val="18"/>
              </w:rPr>
            </w:r>
            <w:r>
              <w:rPr>
                <w:b w:val="0"/>
                <w:sz w:val="18"/>
              </w:rPr>
              <w:t>20114–16</w:t>
            </w:r>
          </w:p>
        </w:tc>
        <w:tc>
          <w:tcPr>
            <w:tcW w:type="dxa" w:w="3312"/>
          </w:tcPr>
          <w:p>
            <w:pPr>
              <w:spacing w:after="40"/>
            </w:pPr>
            <w:r>
              <w:rPr>
                <w:sz w:val="18"/>
              </w:rPr>
            </w:r>
            <w:r>
              <w:rPr>
                <w:b w:val="0"/>
                <w:sz w:val="18"/>
              </w:rPr>
              <w:t>Ellsworth–Nagarajan, Sept. 2020 (pre-engagement)</w:t>
            </w:r>
          </w:p>
        </w:tc>
        <w:tc>
          <w:tcPr>
            <w:tcW w:type="dxa" w:w="3024"/>
          </w:tcPr>
          <w:p>
            <w:pPr>
              <w:spacing w:after="40"/>
            </w:pPr>
            <w:r>
              <w:rPr>
                <w:sz w:val="18"/>
              </w:rPr>
            </w:r>
            <w:r>
              <w:rPr>
                <w:b w:val="0"/>
                <w:sz w:val="18"/>
              </w:rPr>
              <w:t>Do not claw back (partner decision)</w:t>
            </w:r>
          </w:p>
        </w:tc>
        <w:tc>
          <w:tcPr>
            <w:tcW w:type="dxa" w:w="1440"/>
          </w:tcPr>
          <w:p>
            <w:pPr>
              <w:spacing w:after="40"/>
            </w:pPr>
            <w:r>
              <w:rPr>
                <w:sz w:val="18"/>
              </w:rPr>
            </w:r>
            <w:r>
              <w:rPr>
                <w:b w:val="0"/>
                <w:sz w:val="18"/>
              </w:rPr>
              <w:t>n/a</w:t>
            </w:r>
          </w:p>
        </w:tc>
      </w:tr>
      <w:tr>
        <w:tc>
          <w:tcPr>
            <w:tcW w:type="dxa" w:w="432"/>
          </w:tcPr>
          <w:p>
            <w:pPr>
              <w:spacing w:after="40"/>
            </w:pPr>
            <w:r>
              <w:rPr>
                <w:sz w:val="18"/>
              </w:rPr>
            </w:r>
            <w:r>
              <w:rPr>
                <w:b w:val="0"/>
                <w:sz w:val="18"/>
              </w:rPr>
              <w:t>B</w:t>
            </w:r>
          </w:p>
        </w:tc>
        <w:tc>
          <w:tcPr>
            <w:tcW w:type="dxa" w:w="1152"/>
          </w:tcPr>
          <w:p>
            <w:pPr>
              <w:spacing w:after="40"/>
            </w:pPr>
            <w:r>
              <w:rPr>
                <w:sz w:val="18"/>
              </w:rPr>
            </w:r>
            <w:r>
              <w:rPr>
                <w:b w:val="0"/>
                <w:sz w:val="18"/>
              </w:rPr>
              <w:t>20231–34</w:t>
            </w:r>
          </w:p>
        </w:tc>
        <w:tc>
          <w:tcPr>
            <w:tcW w:type="dxa" w:w="3312"/>
          </w:tcPr>
          <w:p>
            <w:pPr>
              <w:spacing w:after="40"/>
            </w:pPr>
            <w:r>
              <w:rPr>
                <w:sz w:val="18"/>
              </w:rPr>
            </w:r>
            <w:r>
              <w:rPr>
                <w:b w:val="0"/>
                <w:sz w:val="18"/>
              </w:rPr>
              <w:t>Viklund speaker-program memo, forwarded by Lassiter to outside KOL</w:t>
            </w:r>
          </w:p>
        </w:tc>
        <w:tc>
          <w:tcPr>
            <w:tcW w:type="dxa" w:w="3024"/>
          </w:tcPr>
          <w:p>
            <w:pPr>
              <w:spacing w:after="40"/>
            </w:pPr>
            <w:r>
              <w:rPr>
                <w:sz w:val="18"/>
              </w:rPr>
            </w:r>
            <w:r>
              <w:rPr>
                <w:b w:val="0"/>
                <w:sz w:val="18"/>
              </w:rPr>
              <w:t>Claw back embedded memo; produce cover note</w:t>
            </w:r>
          </w:p>
        </w:tc>
        <w:tc>
          <w:tcPr>
            <w:tcW w:type="dxa" w:w="1440"/>
          </w:tcPr>
          <w:p>
            <w:pPr>
              <w:spacing w:after="40"/>
            </w:pPr>
            <w:r>
              <w:rPr>
                <w:sz w:val="18"/>
              </w:rPr>
            </w:r>
            <w:r>
              <w:rPr>
                <w:b w:val="0"/>
                <w:sz w:val="18"/>
              </w:rPr>
              <w:t>High (waiver)</w:t>
            </w:r>
          </w:p>
        </w:tc>
      </w:tr>
      <w:tr>
        <w:tc>
          <w:tcPr>
            <w:tcW w:type="dxa" w:w="432"/>
          </w:tcPr>
          <w:p>
            <w:pPr>
              <w:spacing w:after="40"/>
            </w:pPr>
            <w:r>
              <w:rPr>
                <w:sz w:val="18"/>
              </w:rPr>
            </w:r>
            <w:r>
              <w:rPr>
                <w:b w:val="0"/>
                <w:sz w:val="18"/>
              </w:rPr>
              <w:t>C</w:t>
            </w:r>
          </w:p>
        </w:tc>
        <w:tc>
          <w:tcPr>
            <w:tcW w:type="dxa" w:w="1152"/>
          </w:tcPr>
          <w:p>
            <w:pPr>
              <w:spacing w:after="40"/>
            </w:pPr>
            <w:r>
              <w:rPr>
                <w:sz w:val="18"/>
              </w:rPr>
            </w:r>
            <w:r>
              <w:rPr>
                <w:b w:val="0"/>
                <w:sz w:val="18"/>
              </w:rPr>
              <w:t>20340–53</w:t>
            </w:r>
          </w:p>
        </w:tc>
        <w:tc>
          <w:tcPr>
            <w:tcW w:type="dxa" w:w="3312"/>
          </w:tcPr>
          <w:p>
            <w:pPr>
              <w:spacing w:after="40"/>
            </w:pPr>
            <w:r>
              <w:rPr>
                <w:sz w:val="18"/>
              </w:rPr>
            </w:r>
            <w:r>
              <w:rPr>
                <w:b w:val="0"/>
                <w:sz w:val="18"/>
              </w:rPr>
              <w:t>14-message Q3 2022 business thread with legal content</w:t>
            </w:r>
          </w:p>
        </w:tc>
        <w:tc>
          <w:tcPr>
            <w:tcW w:type="dxa" w:w="3024"/>
          </w:tcPr>
          <w:p>
            <w:pPr>
              <w:spacing w:after="40"/>
            </w:pPr>
            <w:r>
              <w:rPr>
                <w:sz w:val="18"/>
              </w:rPr>
            </w:r>
            <w:r>
              <w:rPr>
                <w:b w:val="0"/>
                <w:sz w:val="18"/>
              </w:rPr>
              <w:t>Claw back; re-produce with four targeted redactions</w:t>
            </w:r>
          </w:p>
        </w:tc>
        <w:tc>
          <w:tcPr>
            <w:tcW w:type="dxa" w:w="1440"/>
          </w:tcPr>
          <w:p>
            <w:pPr>
              <w:spacing w:after="40"/>
            </w:pPr>
            <w:r>
              <w:rPr>
                <w:sz w:val="18"/>
              </w:rPr>
            </w:r>
            <w:r>
              <w:rPr>
                <w:b w:val="0"/>
                <w:sz w:val="18"/>
              </w:rPr>
              <w:t>Low</w:t>
            </w:r>
          </w:p>
        </w:tc>
      </w:tr>
      <w:tr>
        <w:tc>
          <w:tcPr>
            <w:tcW w:type="dxa" w:w="432"/>
          </w:tcPr>
          <w:p>
            <w:pPr>
              <w:spacing w:after="40"/>
            </w:pPr>
            <w:r>
              <w:rPr>
                <w:sz w:val="18"/>
              </w:rPr>
            </w:r>
            <w:r>
              <w:rPr>
                <w:b w:val="0"/>
                <w:sz w:val="18"/>
              </w:rPr>
              <w:t>D</w:t>
            </w:r>
          </w:p>
        </w:tc>
        <w:tc>
          <w:tcPr>
            <w:tcW w:type="dxa" w:w="1152"/>
          </w:tcPr>
          <w:p>
            <w:pPr>
              <w:spacing w:after="40"/>
            </w:pPr>
            <w:r>
              <w:rPr>
                <w:sz w:val="18"/>
              </w:rPr>
            </w:r>
            <w:r>
              <w:rPr>
                <w:b w:val="0"/>
                <w:sz w:val="18"/>
              </w:rPr>
              <w:t>20401–02</w:t>
            </w:r>
          </w:p>
        </w:tc>
        <w:tc>
          <w:tcPr>
            <w:tcW w:type="dxa" w:w="3312"/>
          </w:tcPr>
          <w:p>
            <w:pPr>
              <w:spacing w:after="40"/>
            </w:pPr>
            <w:r>
              <w:rPr>
                <w:sz w:val="18"/>
              </w:rPr>
            </w:r>
            <w:r>
              <w:rPr>
                <w:b w:val="0"/>
                <w:sz w:val="18"/>
              </w:rPr>
              <w:t>Mullins request / Nagarajan advice on Q4 speaker deck</w:t>
            </w:r>
          </w:p>
        </w:tc>
        <w:tc>
          <w:tcPr>
            <w:tcW w:type="dxa" w:w="3024"/>
          </w:tcPr>
          <w:p>
            <w:pPr>
              <w:spacing w:after="40"/>
            </w:pPr>
            <w:r>
              <w:rPr>
                <w:sz w:val="18"/>
              </w:rPr>
            </w:r>
            <w:r>
              <w:rPr>
                <w:b w:val="0"/>
                <w:sz w:val="18"/>
              </w:rPr>
              <w:t>Claw back in full, subject to unconflicted client approval</w:t>
            </w:r>
          </w:p>
        </w:tc>
        <w:tc>
          <w:tcPr>
            <w:tcW w:type="dxa" w:w="1440"/>
          </w:tcPr>
          <w:p>
            <w:pPr>
              <w:spacing w:after="40"/>
            </w:pPr>
            <w:r>
              <w:rPr>
                <w:sz w:val="18"/>
              </w:rPr>
            </w:r>
            <w:r>
              <w:rPr>
                <w:b w:val="0"/>
                <w:sz w:val="18"/>
              </w:rPr>
              <w:t>High (crime-fraud)</w:t>
            </w:r>
          </w:p>
        </w:tc>
      </w:tr>
      <w:tr>
        <w:tc>
          <w:tcPr>
            <w:tcW w:type="dxa" w:w="432"/>
          </w:tcPr>
          <w:p>
            <w:pPr>
              <w:spacing w:after="40"/>
            </w:pPr>
            <w:r>
              <w:rPr>
                <w:sz w:val="18"/>
              </w:rPr>
            </w:r>
            <w:r>
              <w:rPr>
                <w:b w:val="0"/>
                <w:sz w:val="18"/>
              </w:rPr>
              <w:t>E</w:t>
            </w:r>
          </w:p>
        </w:tc>
        <w:tc>
          <w:tcPr>
            <w:tcW w:type="dxa" w:w="1152"/>
          </w:tcPr>
          <w:p>
            <w:pPr>
              <w:spacing w:after="40"/>
            </w:pPr>
            <w:r>
              <w:rPr>
                <w:sz w:val="18"/>
              </w:rPr>
            </w:r>
            <w:r>
              <w:rPr>
                <w:b w:val="0"/>
                <w:sz w:val="18"/>
              </w:rPr>
              <w:t>20488–89</w:t>
            </w:r>
          </w:p>
        </w:tc>
        <w:tc>
          <w:tcPr>
            <w:tcW w:type="dxa" w:w="3312"/>
          </w:tcPr>
          <w:p>
            <w:pPr>
              <w:spacing w:after="40"/>
            </w:pPr>
            <w:r>
              <w:rPr>
                <w:sz w:val="18"/>
              </w:rPr>
            </w:r>
            <w:r>
              <w:rPr>
                <w:b w:val="0"/>
                <w:sz w:val="18"/>
              </w:rPr>
              <w:t>Ochoa–FDA sNDA correspondence</w:t>
            </w:r>
          </w:p>
        </w:tc>
        <w:tc>
          <w:tcPr>
            <w:tcW w:type="dxa" w:w="3024"/>
          </w:tcPr>
          <w:p>
            <w:pPr>
              <w:spacing w:after="40"/>
            </w:pPr>
            <w:r>
              <w:rPr>
                <w:sz w:val="18"/>
              </w:rPr>
            </w:r>
            <w:r>
              <w:rPr>
                <w:b w:val="0"/>
                <w:sz w:val="18"/>
              </w:rPr>
              <w:t>Not privileged; correctly produced</w:t>
            </w:r>
          </w:p>
        </w:tc>
        <w:tc>
          <w:tcPr>
            <w:tcW w:type="dxa" w:w="1440"/>
          </w:tcPr>
          <w:p>
            <w:pPr>
              <w:spacing w:after="40"/>
            </w:pPr>
            <w:r>
              <w:rPr>
                <w:sz w:val="18"/>
              </w:rPr>
            </w:r>
            <w:r>
              <w:rPr>
                <w:b w:val="0"/>
                <w:sz w:val="18"/>
              </w:rPr>
              <w:t>n/a</w:t>
            </w:r>
          </w:p>
        </w:tc>
      </w:tr>
      <w:tr>
        <w:tc>
          <w:tcPr>
            <w:tcW w:type="dxa" w:w="432"/>
          </w:tcPr>
          <w:p>
            <w:pPr>
              <w:spacing w:after="40"/>
            </w:pPr>
            <w:r>
              <w:rPr>
                <w:sz w:val="18"/>
              </w:rPr>
            </w:r>
            <w:r>
              <w:rPr>
                <w:b w:val="0"/>
                <w:sz w:val="18"/>
              </w:rPr>
              <w:t>F</w:t>
            </w:r>
          </w:p>
        </w:tc>
        <w:tc>
          <w:tcPr>
            <w:tcW w:type="dxa" w:w="1152"/>
          </w:tcPr>
          <w:p>
            <w:pPr>
              <w:spacing w:after="40"/>
            </w:pPr>
            <w:r>
              <w:rPr>
                <w:sz w:val="18"/>
              </w:rPr>
            </w:r>
            <w:r>
              <w:rPr>
                <w:b w:val="0"/>
                <w:sz w:val="18"/>
              </w:rPr>
              <w:t>20512–15</w:t>
            </w:r>
          </w:p>
        </w:tc>
        <w:tc>
          <w:tcPr>
            <w:tcW w:type="dxa" w:w="3312"/>
          </w:tcPr>
          <w:p>
            <w:pPr>
              <w:spacing w:after="40"/>
            </w:pPr>
            <w:r>
              <w:rPr>
                <w:sz w:val="18"/>
              </w:rPr>
            </w:r>
            <w:r>
              <w:rPr>
                <w:b w:val="0"/>
                <w:sz w:val="18"/>
              </w:rPr>
              <w:t>Nagarajan–Metcalf "coordination" chain</w:t>
            </w:r>
          </w:p>
        </w:tc>
        <w:tc>
          <w:tcPr>
            <w:tcW w:type="dxa" w:w="3024"/>
          </w:tcPr>
          <w:p>
            <w:pPr>
              <w:spacing w:after="40"/>
            </w:pPr>
            <w:r>
              <w:rPr>
                <w:sz w:val="18"/>
              </w:rPr>
            </w:r>
            <w:r>
              <w:rPr>
                <w:b w:val="0"/>
                <w:sz w:val="18"/>
              </w:rPr>
              <w:t>Claw back (CI), after confirming Kendrick Sable position</w:t>
            </w:r>
          </w:p>
        </w:tc>
        <w:tc>
          <w:tcPr>
            <w:tcW w:type="dxa" w:w="1440"/>
          </w:tcPr>
          <w:p>
            <w:pPr>
              <w:spacing w:after="40"/>
            </w:pPr>
            <w:r>
              <w:rPr>
                <w:sz w:val="18"/>
              </w:rPr>
            </w:r>
            <w:r>
              <w:rPr>
                <w:b w:val="0"/>
                <w:sz w:val="18"/>
              </w:rPr>
              <w:t>High (CI scope; crime-fraud)</w:t>
            </w:r>
          </w:p>
        </w:tc>
      </w:tr>
      <w:tr>
        <w:tc>
          <w:tcPr>
            <w:tcW w:type="dxa" w:w="432"/>
          </w:tcPr>
          <w:p>
            <w:pPr>
              <w:spacing w:after="40"/>
            </w:pPr>
            <w:r>
              <w:rPr>
                <w:sz w:val="18"/>
              </w:rPr>
            </w:r>
            <w:r>
              <w:rPr>
                <w:b w:val="0"/>
                <w:sz w:val="18"/>
              </w:rPr>
              <w:t>G</w:t>
            </w:r>
          </w:p>
        </w:tc>
        <w:tc>
          <w:tcPr>
            <w:tcW w:type="dxa" w:w="1152"/>
          </w:tcPr>
          <w:p>
            <w:pPr>
              <w:spacing w:after="40"/>
            </w:pPr>
            <w:r>
              <w:rPr>
                <w:sz w:val="18"/>
              </w:rPr>
            </w:r>
            <w:r>
              <w:rPr>
                <w:b w:val="0"/>
                <w:sz w:val="18"/>
              </w:rPr>
              <w:t>20560–74</w:t>
            </w:r>
          </w:p>
        </w:tc>
        <w:tc>
          <w:tcPr>
            <w:tcW w:type="dxa" w:w="3312"/>
          </w:tcPr>
          <w:p>
            <w:pPr>
              <w:spacing w:after="40"/>
            </w:pPr>
            <w:r>
              <w:rPr>
                <w:sz w:val="18"/>
              </w:rPr>
            </w:r>
            <w:r>
              <w:rPr>
                <w:b w:val="0"/>
                <w:sz w:val="18"/>
              </w:rPr>
              <w:t>Viklund Dec. 2023 risk-assessment deck</w:t>
            </w:r>
          </w:p>
        </w:tc>
        <w:tc>
          <w:tcPr>
            <w:tcW w:type="dxa" w:w="3024"/>
          </w:tcPr>
          <w:p>
            <w:pPr>
              <w:spacing w:after="40"/>
            </w:pPr>
            <w:r>
              <w:rPr>
                <w:sz w:val="18"/>
              </w:rPr>
            </w:r>
            <w:r>
              <w:rPr>
                <w:b w:val="0"/>
                <w:sz w:val="18"/>
              </w:rPr>
              <w:t>Claw back; re-produce with Part II (slides 9–15) redacted</w:t>
            </w:r>
          </w:p>
        </w:tc>
        <w:tc>
          <w:tcPr>
            <w:tcW w:type="dxa" w:w="1440"/>
          </w:tcPr>
          <w:p>
            <w:pPr>
              <w:spacing w:after="40"/>
            </w:pPr>
            <w:r>
              <w:rPr>
                <w:sz w:val="18"/>
              </w:rPr>
            </w:r>
            <w:r>
              <w:rPr>
                <w:b w:val="0"/>
                <w:sz w:val="18"/>
              </w:rPr>
              <w:t>Low–Moderate</w:t>
            </w:r>
          </w:p>
        </w:tc>
      </w:tr>
      <w:tr>
        <w:tc>
          <w:tcPr>
            <w:tcW w:type="dxa" w:w="432"/>
          </w:tcPr>
          <w:p>
            <w:pPr>
              <w:spacing w:after="40"/>
            </w:pPr>
            <w:r>
              <w:rPr>
                <w:sz w:val="18"/>
              </w:rPr>
            </w:r>
            <w:r>
              <w:rPr>
                <w:b w:val="0"/>
                <w:sz w:val="18"/>
              </w:rPr>
              <w:t>H</w:t>
            </w:r>
          </w:p>
        </w:tc>
        <w:tc>
          <w:tcPr>
            <w:tcW w:type="dxa" w:w="1152"/>
          </w:tcPr>
          <w:p>
            <w:pPr>
              <w:spacing w:after="40"/>
            </w:pPr>
            <w:r>
              <w:rPr>
                <w:sz w:val="18"/>
              </w:rPr>
            </w:r>
            <w:r>
              <w:rPr>
                <w:b w:val="0"/>
                <w:sz w:val="18"/>
              </w:rPr>
              <w:t>20601–03</w:t>
            </w:r>
          </w:p>
        </w:tc>
        <w:tc>
          <w:tcPr>
            <w:tcW w:type="dxa" w:w="3312"/>
          </w:tcPr>
          <w:p>
            <w:pPr>
              <w:spacing w:after="40"/>
            </w:pPr>
            <w:r>
              <w:rPr>
                <w:sz w:val="18"/>
              </w:rPr>
            </w:r>
            <w:r>
              <w:rPr>
                <w:b w:val="0"/>
                <w:sz w:val="18"/>
              </w:rPr>
              <w:t>Greenwald / Pak-Morrison investigation-scope emails</w:t>
            </w:r>
          </w:p>
        </w:tc>
        <w:tc>
          <w:tcPr>
            <w:tcW w:type="dxa" w:w="3024"/>
          </w:tcPr>
          <w:p>
            <w:pPr>
              <w:spacing w:after="40"/>
            </w:pPr>
            <w:r>
              <w:rPr>
                <w:sz w:val="18"/>
              </w:rPr>
            </w:r>
            <w:r>
              <w:rPr>
                <w:b w:val="0"/>
                <w:sz w:val="18"/>
              </w:rPr>
              <w:t>Claw back jointly with Audit Committee (its privilege)</w:t>
            </w:r>
          </w:p>
        </w:tc>
        <w:tc>
          <w:tcPr>
            <w:tcW w:type="dxa" w:w="1440"/>
          </w:tcPr>
          <w:p>
            <w:pPr>
              <w:spacing w:after="40"/>
            </w:pPr>
            <w:r>
              <w:rPr>
                <w:sz w:val="18"/>
              </w:rPr>
            </w:r>
            <w:r>
              <w:rPr>
                <w:b w:val="0"/>
                <w:sz w:val="18"/>
              </w:rPr>
              <w:t>Low</w:t>
            </w:r>
          </w:p>
        </w:tc>
      </w:tr>
      <w:tr>
        <w:tc>
          <w:tcPr>
            <w:tcW w:type="dxa" w:w="432"/>
          </w:tcPr>
          <w:p>
            <w:pPr>
              <w:spacing w:after="40"/>
            </w:pPr>
            <w:r>
              <w:rPr>
                <w:sz w:val="18"/>
              </w:rPr>
            </w:r>
            <w:r>
              <w:rPr>
                <w:b w:val="0"/>
                <w:sz w:val="18"/>
              </w:rPr>
              <w:t>I</w:t>
            </w:r>
          </w:p>
        </w:tc>
        <w:tc>
          <w:tcPr>
            <w:tcW w:type="dxa" w:w="1152"/>
          </w:tcPr>
          <w:p>
            <w:pPr>
              <w:spacing w:after="40"/>
            </w:pPr>
            <w:r>
              <w:rPr>
                <w:sz w:val="18"/>
              </w:rPr>
            </w:r>
            <w:r>
              <w:rPr>
                <w:b w:val="0"/>
                <w:sz w:val="18"/>
              </w:rPr>
              <w:t>20644–45</w:t>
            </w:r>
          </w:p>
        </w:tc>
        <w:tc>
          <w:tcPr>
            <w:tcW w:type="dxa" w:w="3312"/>
          </w:tcPr>
          <w:p>
            <w:pPr>
              <w:spacing w:after="40"/>
            </w:pPr>
            <w:r>
              <w:rPr>
                <w:sz w:val="18"/>
              </w:rPr>
            </w:r>
            <w:r>
              <w:rPr>
                <w:b w:val="0"/>
                <w:sz w:val="18"/>
              </w:rPr>
              <w:t>Correa (post-departure) / Nagarajan personal-advice emails</w:t>
            </w:r>
          </w:p>
        </w:tc>
        <w:tc>
          <w:tcPr>
            <w:tcW w:type="dxa" w:w="3024"/>
          </w:tcPr>
          <w:p>
            <w:pPr>
              <w:spacing w:after="40"/>
            </w:pPr>
            <w:r>
              <w:rPr>
                <w:sz w:val="18"/>
              </w:rPr>
            </w:r>
            <w:r>
              <w:rPr>
                <w:b w:val="0"/>
                <w:sz w:val="18"/>
              </w:rPr>
              <w:t>Do not assert — no Ridgeline privilege</w:t>
            </w:r>
          </w:p>
        </w:tc>
        <w:tc>
          <w:tcPr>
            <w:tcW w:type="dxa" w:w="1440"/>
          </w:tcPr>
          <w:p>
            <w:pPr>
              <w:spacing w:after="40"/>
            </w:pPr>
            <w:r>
              <w:rPr>
                <w:sz w:val="18"/>
              </w:rPr>
            </w:r>
            <w:r>
              <w:rPr>
                <w:b w:val="0"/>
                <w:sz w:val="18"/>
              </w:rPr>
              <w:t>n/a</w:t>
            </w:r>
          </w:p>
        </w:tc>
      </w:tr>
      <w:tr>
        <w:tc>
          <w:tcPr>
            <w:tcW w:type="dxa" w:w="432"/>
          </w:tcPr>
          <w:p>
            <w:pPr>
              <w:spacing w:after="40"/>
            </w:pPr>
            <w:r>
              <w:rPr>
                <w:sz w:val="18"/>
              </w:rPr>
            </w:r>
            <w:r>
              <w:rPr>
                <w:b w:val="0"/>
                <w:sz w:val="18"/>
              </w:rPr>
              <w:t>J</w:t>
            </w:r>
          </w:p>
        </w:tc>
        <w:tc>
          <w:tcPr>
            <w:tcW w:type="dxa" w:w="1152"/>
          </w:tcPr>
          <w:p>
            <w:pPr>
              <w:spacing w:after="40"/>
            </w:pPr>
            <w:r>
              <w:rPr>
                <w:sz w:val="18"/>
              </w:rPr>
            </w:r>
            <w:r>
              <w:rPr>
                <w:b w:val="0"/>
                <w:sz w:val="18"/>
              </w:rPr>
              <w:t>20710–15</w:t>
            </w:r>
          </w:p>
        </w:tc>
        <w:tc>
          <w:tcPr>
            <w:tcW w:type="dxa" w:w="3312"/>
          </w:tcPr>
          <w:p>
            <w:pPr>
              <w:spacing w:after="40"/>
            </w:pPr>
            <w:r>
              <w:rPr>
                <w:sz w:val="18"/>
              </w:rPr>
            </w:r>
            <w:r>
              <w:rPr>
                <w:b w:val="0"/>
                <w:sz w:val="18"/>
              </w:rPr>
              <w:t>Draft Promotional Review Policy w/ Viklund comments</w:t>
            </w:r>
          </w:p>
        </w:tc>
        <w:tc>
          <w:tcPr>
            <w:tcW w:type="dxa" w:w="3024"/>
          </w:tcPr>
          <w:p>
            <w:pPr>
              <w:spacing w:after="40"/>
            </w:pPr>
            <w:r>
              <w:rPr>
                <w:sz w:val="18"/>
              </w:rPr>
            </w:r>
            <w:r>
              <w:rPr>
                <w:b w:val="0"/>
                <w:sz w:val="18"/>
              </w:rPr>
              <w:t>Claw back; re-produce with nine comments redacted</w:t>
            </w:r>
          </w:p>
        </w:tc>
        <w:tc>
          <w:tcPr>
            <w:tcW w:type="dxa" w:w="1440"/>
          </w:tcPr>
          <w:p>
            <w:pPr>
              <w:spacing w:after="40"/>
            </w:pPr>
            <w:r>
              <w:rPr>
                <w:sz w:val="18"/>
              </w:rPr>
            </w:r>
            <w:r>
              <w:rPr>
                <w:b w:val="0"/>
                <w:sz w:val="18"/>
              </w:rPr>
              <w:t>Low–Moderate</w:t>
            </w:r>
          </w:p>
        </w:tc>
      </w:tr>
    </w:tbl>
    <w:p>
      <w:pPr>
        <w:pStyle w:val="Heading2"/>
      </w:pPr>
      <w:r>
        <w:t>A. RDGL-00020114–16 — Pre-engagement Ellsworth/Nagarajan emails (Sept. 2020)</w:t>
      </w:r>
    </w:p>
    <w:p>
      <w:r>
        <w:rPr>
          <w:b w:val="0"/>
        </w:rPr>
        <w:t>The chain opens with your Sept. 14, 2020 business-development follow-up after the DIA meeting. That email is not privileged. Ms. Nagarajan's Sept. 18 reply describes gaps in Ridgeline's PRC process and asks for your views. Your Sept. 22 response gives substantive regulatory observations: legal sign-off for off-label clinical content, FDCA § 502(a), and speaker-program risk. It closes with "happy to discuss further if you'd like to engage us."</w:t>
      </w:r>
    </w:p>
    <w:p>
      <w:r>
        <w:rPr>
          <w:b/>
        </w:rPr>
        <w:t>Analysis.</w:t>
      </w:r>
      <w:r>
        <w:rPr>
          <w:b w:val="0"/>
        </w:rPr>
        <w:t xml:space="preserve"> No attorney-client relationship existed. The October 15, 2023 engagement letter expressly states that it formalizes the relationship "effective as of the date hereof" and is not a "retroactive adoption or ratification" of prior informal discussions. A prospective-client theory (RPC 1.18) is available for the Sept. 18 and 22 messages, but it is weak: the exchange was framed as networking and general best practices, and the Government will point to our own engagement letter. Asserting privilege would also focus attention on the lead partner's personal 2020 knowledge of Ridgeline's compliance gaps. That could raise advocate-witness questions (RPC 3.7) and invite a subject-matter fight over what Ridgeline was told and when.</w:t>
      </w:r>
    </w:p>
    <w:p>
      <w:r>
        <w:rPr>
          <w:b/>
        </w:rPr>
        <w:t>Recommendation:</w:t>
      </w:r>
      <w:r>
        <w:rPr>
          <w:b w:val="0"/>
        </w:rPr>
        <w:t xml:space="preserve"> Do not claw back. The content is also somewhat helpful: it shows Ridgeline sought compliance advice in 2020. If you prefer to preserve the claim, the fallback entry is: "RDGL-00020114–15; 09/18–22/2020; email; P. Nagarajan, Esq. / C. Ellsworth, Esq.; confidential preliminary consultation by prospective client seeking legal advice regarding promotional review compliance; AC (prospective client); Ridgeline." Note that Ellsworth is personally involved, so this decision should be documented and ideally made by another partner.</w:t>
      </w:r>
    </w:p>
    <w:p>
      <w:pPr>
        <w:pStyle w:val="Heading2"/>
      </w:pPr>
      <w:r>
        <w:t>B. RDGL-00020231–34 — Viklund speaker-program memo forwarded to Dr. Deshmukh</w:t>
      </w:r>
    </w:p>
    <w:p>
      <w:r>
        <w:rPr>
          <w:b w:val="0"/>
        </w:rPr>
        <w:t>The March 15, 2022 memo is classic in-house legal advice. It was requested by Medical Affairs, marked privileged, and instructed recipients not to forward it. On March 17, Dr. Lassiter forwarded it to Dr. Anita Deshmukh, an external rheumatologist and paid Ridgeline speaker (see 20348), asking for her "perspective."</w:t>
      </w:r>
    </w:p>
    <w:p>
      <w:r>
        <w:rPr>
          <w:b/>
        </w:rPr>
        <w:t>Analysis.</w:t>
      </w:r>
      <w:r>
        <w:rPr>
          <w:b w:val="0"/>
        </w:rPr>
        <w:t xml:space="preserve"> The Order does not cure this problem. It expressly preserves the Government's right to argue waiver "by voluntary disclosure to third parties" (§ IV.D). Dr. Deshmukh is not within the privilege. She is not an agent assisting counsel and not a functional equivalent of an employee. Our best argument is that only corporate management can waive the corporation's privilege. A non-lawyer VP acting against counsel's express instruction lacked authority to waive, and the forward was not made to further any Ridgeline legal objective. Courts are divided, and a VP-level officer is a harder case than a rank-and-file employee.</w:t>
      </w:r>
    </w:p>
    <w:p>
      <w:r>
        <w:rPr>
          <w:b/>
        </w:rPr>
        <w:t>Substantive note.</w:t>
      </w:r>
      <w:r>
        <w:rPr>
          <w:b w:val="0"/>
        </w:rPr>
        <w:t xml:space="preserve"> The memo cuts both ways. It is strong evidence of knowledge: off-label topics, the Hargreaves IIS fibromyalgia data, targeting of pain specialists, and unimplemented Aldersgate recommendations. But it also shows Legal gave correct, protective advice. Lassiter's cover note ("our legal folks seem pretty spun up") is not privileged under any theory, and the Government already has it.</w:t>
      </w:r>
    </w:p>
    <w:p>
      <w:r>
        <w:rPr>
          <w:b/>
        </w:rPr>
        <w:t>Recommendation:</w:t>
      </w:r>
      <w:r>
        <w:rPr>
          <w:b w:val="0"/>
        </w:rPr>
        <w:t xml:space="preserve"> Claw back the embedded memo and produce the cover note, which preserves the claim at modest cost. Brief the Government's likely challenge in advance. Also check whether Dr. Deshmukh (or other speakers) forwarded the memo further, and whether any third-party subpoena to her would reach it.</w:t>
      </w:r>
    </w:p>
    <w:p>
      <w:pPr>
        <w:pStyle w:val="Heading2"/>
      </w:pPr>
      <w:r>
        <w:t>C. RDGL-00020340–53 — Q3 2022 sales/marketing thread (partial)</w:t>
      </w:r>
    </w:p>
    <w:p>
      <w:r>
        <w:rPr>
          <w:b w:val="0"/>
        </w:rPr>
        <w:t>Most of the 14 messages are ordinary business content: targets, budgets, speaker calendars, and the sNDA timeline. Boilerplate privilege footers and Viklund's presence on the cc line do not make business content privileged. The privileged content is narrow: (i) Correa's 7/22 request to Viklund (20346, closing paragraph); (ii) Ochoa's 7/25 request to Viklund (20345, final two paragraphs); (iii) Viklund's 7/25 advice against using the Nakamura fibromyalgia data in a detail aid (20344); and (iv) Mullins's 7/26 message relaying that advice (20343, opening sentences). This matches the reviewer's "Partial" coding.</w:t>
      </w:r>
    </w:p>
    <w:p>
      <w:r>
        <w:rPr>
          <w:b/>
        </w:rPr>
        <w:t>Recommendation:</w:t>
      </w:r>
      <w:r>
        <w:rPr>
          <w:b w:val="0"/>
        </w:rPr>
        <w:t xml:space="preserve"> Claw back the thread and re-produce it redacted (log entries PL-002 to PL-005). The claim is strong. Note, however, that the unredacted business content left in the production is itself sensitive. It includes Lassiter's 7/18 statement that three programs would feature "new data in inflammatory pain management," Correa's reference to reps wanting help in "the pain management conversation," and the incentive-compensation accelerators.</w:t>
      </w:r>
    </w:p>
    <w:p>
      <w:pPr>
        <w:pStyle w:val="Heading2"/>
      </w:pPr>
      <w:r>
        <w:t>D. RDGL-00020401–02 — Mullins/Nagarajan Q4 2022 speaker deck (HIGHEST SENSITIVITY)</w:t>
      </w:r>
    </w:p>
    <w:p>
      <w:r>
        <w:rPr>
          <w:b w:val="0"/>
        </w:rPr>
        <w:t>Mullins asked the General Counsel for legal review of a draft deck themed "emerging data on pain management applications," aimed at rheumatologists and pain specialists. The deck included slides on Nakamura fibromyalgia data and a Ridgeline-sponsored chronic low back pain study. Facially, the exchange is a request for and rendering of legal advice, and it is privileged.</w:t>
      </w:r>
    </w:p>
    <w:p>
      <w:r>
        <w:rPr>
          <w:b/>
        </w:rPr>
        <w:t>Crime-fraud risk.</w:t>
      </w:r>
      <w:r>
        <w:rPr>
          <w:b w:val="0"/>
        </w:rPr>
        <w:t xml:space="preserve"> Ms. Nagarajan's reply goes beyond compliance advice. She recommends keeping the off-label fibromyalgia data in the deck behind a disclaimer, removing Ridgeline branding from the off-label slides, and framing KOLs as presenting "independent" research. She then writes: "We should keep this between us — the compliance team would flag this if they saw the original version. Let's make sure the cleaned-up version is what goes to the PRC." The Government will argue that this was advice sought and given to further, or disguise, off-label promotion and to evade internal controls. That is a textbook crime-fraud argument, and the Order preserves it (§ IV.D). The threshold for in camera review is low (United States v. Zolin, 491 U.S. 554 (1989)). A contested ruling could produce a judicial finding that extends to related GC communications.</w:t>
      </w:r>
    </w:p>
    <w:p>
      <w:r>
        <w:rPr>
          <w:b/>
        </w:rPr>
        <w:t>Recommendation:</w:t>
      </w:r>
      <w:r>
        <w:rPr>
          <w:b w:val="0"/>
        </w:rPr>
        <w:t xml:space="preserve"> Include the document in the clawback notice. Failing to do so is a waiver decision that belongs to the client, and silence would be treated as waiver under § IV.B.5. However, (i) the decision to assert or withdraw must be made by an unconflicted client representative, not Ms. Nagarajan (§ IV.A); (ii) we should assess, before any meet-and-confer, whether defending this document is worth the risk of a crime-fraud finding; and (iii) the Audit Committee's counsel will almost certainly treat this document as central to its investigation.</w:t>
      </w:r>
    </w:p>
    <w:p>
      <w:pPr>
        <w:pStyle w:val="Heading2"/>
      </w:pPr>
      <w:r>
        <w:t>E. RDGL-00020488–89 — Ochoa/FDA sNDA correspondence</w:t>
      </w:r>
    </w:p>
    <w:p>
      <w:r>
        <w:rPr>
          <w:b w:val="0"/>
        </w:rPr>
        <w:t xml:space="preserve">This is a transmittal to FDA plus an internal status forward between two non-lawyers. Communications with a regulator are not confidential, and the line "our legal and regulatory teams have reviewed this submission" discloses no advice. NorthBridge itself flags that the original coding was probably "Not Privileged." </w:t>
      </w:r>
      <w:r>
        <w:rPr>
          <w:b/>
        </w:rPr>
        <w:t>Recommendation:</w:t>
      </w:r>
      <w:r>
        <w:rPr>
          <w:b w:val="0"/>
        </w:rPr>
        <w:t xml:space="preserve"> Do not claw back. Ask NorthBridge to confirm from the audit trail, and remove the document from the 47-document count in the notice and any declaration.</w:t>
      </w:r>
    </w:p>
    <w:p>
      <w:pPr>
        <w:pStyle w:val="Heading2"/>
      </w:pPr>
      <w:r>
        <w:t>F. RDGL-00020512–15 — Nagarajan/Metcalf "coordination" emails (Nov. 2, 2023)</w:t>
      </w:r>
    </w:p>
    <w:p>
      <w:r>
        <w:rPr>
          <w:b w:val="0"/>
        </w:rPr>
        <w:t>Correa's counsel (Metcalf) and Ridgeline's GC exchanged four emails the day after the CID. Metcalf proposed that the two sides "present a consistent narrative to the government." Nagarajan shared the CID, Ridgeline's preliminary defense theory, and Viklund's preliminary review findings, and proposed advance notice of DOJ interview requests "so we can ensure consistency in how both sides are presenting the facts."</w:t>
      </w:r>
    </w:p>
    <w:p>
      <w:r>
        <w:rPr>
          <w:b/>
        </w:rPr>
        <w:t>Analysis.</w:t>
      </w:r>
      <w:r>
        <w:rPr>
          <w:b w:val="0"/>
        </w:rPr>
        <w:t xml:space="preserve"> In the Third Circuit, common interest can apply without a written agreement where counsel share communications in furtherance of a substantially similar legal interest (In re Teleglobe, 493 F.3d 345). The claim is colorable because both sides face the same investigation and the emails are between counsel. The weaknesses are serious, though: (i) no common-interest agreement existed, and H&amp;C was not yet involved; (ii) the interests were already diverging, since Correa's position is that she relied on Legal/MLR, and Viklund's own Dec. 2023 deck calls her a cooperation risk whose interests "may diverge"; (iii) the Government will characterize "consistent narrative" and interview coordination as witness-influence evidence and invoke crime-fraud; and (iv) Metcalf's opening email (20515) came before any shared understanding. Ms. Correa is a co-holder, and her counsel may take a different position, possibly one adverse to Ridgeline.</w:t>
      </w:r>
    </w:p>
    <w:p>
      <w:r>
        <w:rPr>
          <w:b/>
        </w:rPr>
        <w:t>Recommendation:</w:t>
      </w:r>
      <w:r>
        <w:rPr>
          <w:b w:val="0"/>
        </w:rPr>
        <w:t xml:space="preserve"> Claw back the full chain on a common-interest basis to preserve it, after a call with Metcalf to confirm Kendrick Sable's position (Correa may not have consented to the Order under § VI.B). Separately, advise the client that any future coordination with individual counsel should go through H&amp;C under a written common-interest agreement, and that "consistent narrative" communications must stop.</w:t>
      </w:r>
    </w:p>
    <w:p>
      <w:pPr>
        <w:pStyle w:val="Heading2"/>
      </w:pPr>
      <w:r>
        <w:t>G. RDGL-00020560–74 — Viklund risk-assessment deck (Dec. 5, 2023)</w:t>
      </w:r>
    </w:p>
    <w:p>
      <w:r>
        <w:rPr>
          <w:b w:val="0"/>
        </w:rPr>
        <w:t>Part II (slides 9–15) is core opinion work product and attorney-client material. It was prepared after the CID, in consultation with you, and covers the Government's theories, the $200–650M FCA exposure estimate, the $45M reserve, witness risk (Correa, Mullins, Lassiter), defense strategy, and the investigation workplan. Part I (slides 3–8) is mostly a compliance-program overview containing facts that are discoverable from other sources, such as the off-label prescribing rates of 18.3% and 11.7% and the scorecard. That supports the reviewer's "Work Product (Partial)" coding. The deck was produced because it was an attachment to an email whose coding was overwritten.</w:t>
      </w:r>
    </w:p>
    <w:p>
      <w:r>
        <w:rPr>
          <w:b/>
        </w:rPr>
        <w:t>Recommendation:</w:t>
      </w:r>
      <w:r>
        <w:rPr>
          <w:b w:val="0"/>
        </w:rPr>
        <w:t xml:space="preserve"> Claw back and re-produce with slides 9–15 and the Part II summary bullets on slide 2 redacted. Re-review Part I for embedded legal assessments. The parent transmittal email is among the 35 unreviewed documents and must be logged consistently. The claim over Part II is strong. The Government may argue the Part I facts are "business" material, but those facts are not privileged in any event.</w:t>
      </w:r>
    </w:p>
    <w:p>
      <w:pPr>
        <w:pStyle w:val="Heading2"/>
      </w:pPr>
      <w:r>
        <w:t>H. RDGL-00020601–03 — Audit Committee / Waverly Stone investigation-scope emails</w:t>
      </w:r>
    </w:p>
    <w:p>
      <w:r>
        <w:rPr>
          <w:b w:val="0"/>
        </w:rPr>
        <w:t xml:space="preserve">These emails set out the Audit Committee's investigation scope, including examination of Correa's separation and </w:t>
      </w:r>
      <w:r>
        <w:rPr>
          <w:b/>
        </w:rPr>
        <w:t>CEO Dr. Ashworth's knowledge</w:t>
      </w:r>
      <w:r>
        <w:rPr>
          <w:b w:val="0"/>
        </w:rPr>
        <w:t>. The privilege belongs to the Audit Committee, not Ridgeline management. The Order says so expressly (§§ II.E, VI.C), and Greenwald's email states that waiver decisions rest solely with the Committee. Ms. Nagarajan's cc for coordination does not waive. The documents are also dated February 15, 2024, outside the subpoena's Relevant Period (through Dec. 31, 2023), so they were non-responsive and should never have been in the review set.</w:t>
      </w:r>
    </w:p>
    <w:p>
      <w:r>
        <w:rPr>
          <w:b/>
        </w:rPr>
        <w:t>Recommendation:</w:t>
      </w:r>
      <w:r>
        <w:rPr>
          <w:b w:val="0"/>
        </w:rPr>
        <w:t xml:space="preserve"> Notify Rachel Greenwald today. Serve the clawback jointly, or with the Committee's written authorization, within Ridgeline's deadline, because Ridgeline made the production. Ask Greenwald to confirm the correct notice address: the Order lists Philadelphia (1601 Market St.), while her signature block lists New York (1201 Avenue of the Americas). Separately, investigate how Committee communications entered H&amp;C's review population, presumably through Nagarajan's mailbox, and whether other Committee material is in the collection. </w:t>
      </w:r>
      <w:r>
        <w:rPr>
          <w:b/>
        </w:rPr>
        <w:t>Anomalies to resolve:</w:t>
      </w:r>
      <w:r>
        <w:rPr>
          <w:b w:val="0"/>
        </w:rPr>
        <w:t xml:space="preserve"> Pak-Morrison's reply carries a timestamp (Feb. 15, 03:42 UTC, i.e., Feb. 14 at 10:42 PM EST) earlier than the email it replies to (Feb. 15, 10:17 AM EST), and the Bates sequence runs out of order (20602–03 precede 20601). Confirm both before the log is served, because date errors on a log invite challenge.</w:t>
      </w:r>
    </w:p>
    <w:p>
      <w:pPr>
        <w:pStyle w:val="Heading2"/>
      </w:pPr>
      <w:r>
        <w:t>I. RDGL-00020644–45 — Correa (post-departure) / Nagarajan personal-advice emails</w:t>
      </w:r>
    </w:p>
    <w:p>
      <w:r>
        <w:rPr>
          <w:b w:val="0"/>
        </w:rPr>
        <w:t xml:space="preserve">Three weeks after leaving Ridgeline, and writing from a personal Gmail account, Ms. Correa asked Ms. Nagarajan about her </w:t>
      </w:r>
      <w:r>
        <w:rPr>
          <w:b/>
        </w:rPr>
        <w:t>personal</w:t>
      </w:r>
      <w:r>
        <w:rPr>
          <w:b w:val="0"/>
        </w:rPr>
        <w:t xml:space="preserve"> criminal and civil exposure. Ms. Nagarajan gave substantive advice on the Park doctrine, the FCA, and her assessment of Correa's exposure, and promised: "Of course this stays between us." Correa's email also admits she approved the "pain management applications" framing and pain-focused training decks.</w:t>
      </w:r>
    </w:p>
    <w:p>
      <w:r>
        <w:rPr>
          <w:b/>
        </w:rPr>
        <w:t>Analysis.</w:t>
      </w:r>
      <w:r>
        <w:rPr>
          <w:b w:val="0"/>
        </w:rPr>
        <w:t xml:space="preserve"> Ridgeline has no privilege here. Correa was a former employee seeking advice for herself, not for the company, and Upjohn does not reach it. Any privilege belongs to Correa, and it is doubtful because Ms. Nagarajan was not her lawyer. Asserting privilege for Ridgeline would be baseless and would undermine our credibility on the legitimate claims.</w:t>
      </w:r>
    </w:p>
    <w:p>
      <w:r>
        <w:rPr>
          <w:b/>
        </w:rPr>
        <w:t>Recommendation:</w:t>
      </w:r>
      <w:r>
        <w:rPr>
          <w:b w:val="0"/>
        </w:rPr>
        <w:t xml:space="preserve"> Do not assert. Consider whether Kendrick Sable should be told that the document was produced, since the claim, if any, is Correa's to make. This is a judgment call because notice could prompt a claim adverse to Ridgeline, and it should be decided with the governance issues below. The exchange also raises RPC 1.13 and 4.3 concerns: company counsel gave personal legal advice to an unrepresented former employee whose interests were potentially adverse, without an Upjohn warning, and promised confidentiality she could not give.</w:t>
      </w:r>
    </w:p>
    <w:p>
      <w:pPr>
        <w:pStyle w:val="Heading2"/>
      </w:pPr>
      <w:r>
        <w:t>J. RDGL-00020710–15 — Draft Promotional Review Policy with Viklund comments</w:t>
      </w:r>
    </w:p>
    <w:p>
      <w:r>
        <w:rPr>
          <w:b w:val="0"/>
        </w:rPr>
        <w:t xml:space="preserve">The draft's clean text is not privileged and was correctly coded that way. The nine embedded comments and the tracked-deletion annotation from Deputy GC Viklund (July 11–18, 2022) are legal advice and were separately coded privileged. The document-level overwrite caused them to be produced unredacted. </w:t>
      </w:r>
      <w:r>
        <w:rPr>
          <w:b/>
        </w:rPr>
        <w:t>Recommendation:</w:t>
      </w:r>
      <w:r>
        <w:rPr>
          <w:b w:val="0"/>
        </w:rPr>
        <w:t xml:space="preserve"> Claw back and re-produce with the comments redacted (PL-010). The claim is strong. The content is very damaging and would draw scrutiny if challenged. Examples include "this firewall is more aspirational than real," "retrofitting a firewall after an investigation begins looks like consciousness of guilt," and the concern about creating "a paper trail showing we knew the carve-out was being exploited." The Government may argue that the 7/14 and 7/15 comments (structuring Legal's PRC role as "advisory only" to preserve a defense) reflect strategy rather than advice. They remain legal advice on risk structuring, and we should defend them.</w:t>
      </w:r>
    </w:p>
    <w:p>
      <w:pPr>
        <w:pStyle w:val="Heading1"/>
      </w:pPr>
      <w:r>
        <w:t>IV. Cross-Cutting Issues</w:t>
      </w:r>
    </w:p>
    <w:p>
      <w:pPr>
        <w:pStyle w:val="Heading2"/>
      </w:pPr>
      <w:r>
        <w:t>A. General Counsel conflict and client governance</w:t>
      </w:r>
    </w:p>
    <w:p>
      <w:r>
        <w:rPr>
          <w:b w:val="0"/>
        </w:rPr>
        <w:t xml:space="preserve">Documents D, F, and I each involve conduct by Ms. Nagarajan that the Government, and likely the Audit Committee, will scrutinize: advice to route a "cleaned-up" deck around compliance; "consistent narrative" coordination with a potential cooperator's counsel; and secret personal legal advice to that same witness. The engagement letter names her as primary client contact, and Viklund as the alternate. The privilege belongs to Ridgeline, and only authorized, unconflicted management can decide whether to assert or waive it. </w:t>
      </w:r>
      <w:r>
        <w:rPr>
          <w:b/>
        </w:rPr>
        <w:t>Recommendation:</w:t>
      </w:r>
      <w:r>
        <w:rPr>
          <w:b w:val="0"/>
        </w:rPr>
        <w:t xml:space="preserve"> Before serving the notice, brief an unconflicted decision-maker on D, F, and I. Candidates are the Board or Audit Committee (through Pak-Morrison and Greenwald) or the CEO; note that the Committee is investigating Dr. Ashworth's knowledge, so the Board or Committee is preferable. Consider advising Ms. Nagarajan that she may need separate counsel, and document Upjohn protocols for our interactions with her. Consider whether we must escalate under RPC 1.13(b).</w:t>
      </w:r>
    </w:p>
    <w:p>
      <w:pPr>
        <w:pStyle w:val="Heading2"/>
      </w:pPr>
      <w:r>
        <w:t>B. The Audit Committee's separate privilege</w:t>
      </w:r>
    </w:p>
    <w:p>
      <w:r>
        <w:rPr>
          <w:b w:val="0"/>
        </w:rPr>
        <w:t>The Order requires that Committee privileges not be merged with management's. Every clawback communication that touches PL-009 should state that the Committee is the holder, and Waverly Stone should sign or authorize. We also need a protocol with Waverly Stone to screen Committee material out of future Ridgeline productions.</w:t>
      </w:r>
    </w:p>
    <w:p>
      <w:pPr>
        <w:pStyle w:val="Heading2"/>
      </w:pPr>
      <w:r>
        <w:t>C. Kendrick Sable / Correa</w:t>
      </w:r>
    </w:p>
    <w:p>
      <w:r>
        <w:rPr>
          <w:b w:val="0"/>
        </w:rPr>
        <w:t xml:space="preserve">Metcalf is copied on the Production 3 cover letter. </w:t>
      </w:r>
      <w:r>
        <w:rPr>
          <w:b/>
        </w:rPr>
        <w:t>Confirm immediately whether Kendrick Sable (or any other party) received any Production 3 images or data.</w:t>
      </w:r>
      <w:r>
        <w:rPr>
          <w:b w:val="0"/>
        </w:rPr>
        <w:t xml:space="preserve"> If so, the clawback must also reach them (Order § IV.C.1(d)). If Correa has not filed a notice of consent under § VI.B, her side may not be bound by the Order at all. Also stop copying individual counsel on production correspondence without evaluating it.</w:t>
      </w:r>
    </w:p>
    <w:p>
      <w:pPr>
        <w:pStyle w:val="Heading2"/>
      </w:pPr>
      <w:r>
        <w:t>D. Defensibility of the clawback (FRE 502(b) / reasonable diligence)</w:t>
      </w:r>
    </w:p>
    <w:p>
      <w:r>
        <w:rPr>
          <w:b w:val="0"/>
        </w:rPr>
        <w:t>The facts are favorable. Our reviewers coded all 47 documents correctly. The error was a silent vendor script defect (an OR/AND logic error in v4.2.1). The Order-contemplated QC process caught it within five business days, and the vendor notified us within 27 minutes. The Order treats vendor retention as a reasonable step (§ V.D) but says technology does not excuse our own diligence. Two weaknesses: v4.2.1 was deployed without mixed-privilege testing, and there was no pre-production check comparing final coding against reviewer coding. We should get a sworn declaration from Lisa Choi (offered in § 7.2 of the report) and keep the NorthBridge report itself privileged. It is labeled work product and should not be attached to the notice. We should also remind the Government in the notice of § IV.C.2, which bars use of any substance already reviewed, and ask it to identify anyone who has already reviewed the documents.</w:t>
      </w:r>
    </w:p>
    <w:p>
      <w:pPr>
        <w:pStyle w:val="Heading2"/>
      </w:pPr>
      <w:r>
        <w:t>E. Factual inconsistencies to resolve (Aldersgate)</w:t>
      </w:r>
    </w:p>
    <w:p>
      <w:r>
        <w:rPr>
          <w:b w:val="0"/>
        </w:rPr>
        <w:t xml:space="preserve">The documents give inconsistent accounts of Aldersgate Consulting Group: retained 2020 with an Oct. 2021 final report whose recommendations were "not yet fully implemented" as of March 2022 (B); a speaker-program review in 2021 (G, slide 5); advisory support in 2022, "substantially implemented" (G, slide 4); an assessment in Q1 2022 (J § 3.7); and "coordinating" on PRC streamlining in Aug. 2022 (C). Aldersgate was apparently retained by the business, not by counsel, so its work is likely </w:t>
      </w:r>
      <w:r>
        <w:rPr>
          <w:b/>
        </w:rPr>
        <w:t>not privileged</w:t>
      </w:r>
      <w:r>
        <w:rPr>
          <w:b w:val="0"/>
        </w:rPr>
        <w:t xml:space="preserve"> and falls within Subpoena Request 13. We should establish the Aldersgate timeline and implementation status now. The Government will use these inconsistencies, and Ridgeline's narrative on compliance remediation depends on getting it right.</w:t>
      </w:r>
    </w:p>
    <w:p>
      <w:pPr>
        <w:pStyle w:val="Heading2"/>
      </w:pPr>
      <w:r>
        <w:t>F. Production cover letter error</w:t>
      </w:r>
    </w:p>
    <w:p>
      <w:r>
        <w:rPr>
          <w:b w:val="0"/>
        </w:rPr>
        <w:t>The June 10 cover letter refers to a "Highly Confidential — Attorneys' Eyes Only" tier "as permitted by Paragraph 7 of the Clawback Order." The Order has no numbered paragraph 7 and no AEO tier; it provides only a "CONFIDENTIAL" designation (§ III). We recommend correcting this in the clawback notice or the next production letter, so the Government cannot argue that any AEO designations are unenforceable, and so our credibility is intact going into a privilege dispute.</w:t>
      </w:r>
    </w:p>
    <w:p>
      <w:pPr>
        <w:pStyle w:val="Heading2"/>
      </w:pPr>
      <w:r>
        <w:t>G. Data-integrity items for the log</w:t>
      </w:r>
    </w:p>
    <w:p>
      <w:pPr>
        <w:pStyle w:val="ListBullet"/>
      </w:pPr>
      <w:r>
        <w:rPr>
          <w:b w:val="0"/>
        </w:rPr>
        <w:t>The NorthBridge report refers to a "12 representative documents" subset but lists only 10. Obtain the other two and the full Appendix A spreadsheet.</w:t>
      </w:r>
    </w:p>
    <w:p>
      <w:pPr>
        <w:pStyle w:val="ListBullet"/>
      </w:pPr>
      <w:r>
        <w:rPr>
          <w:b w:val="0"/>
        </w:rPr>
        <w:t>Ridgeline email domains vary across documents (ridgelinetx.com vs. ridgelinetherapeutics.com), and Ms. Nagarajan's phone number differs across signatures. Confirm with IT that both domains are genuine Ridgeline systems and that collection metadata is reliable.</w:t>
      </w:r>
    </w:p>
    <w:p>
      <w:pPr>
        <w:pStyle w:val="ListBullet"/>
      </w:pPr>
      <w:r>
        <w:rPr>
          <w:b w:val="0"/>
        </w:rPr>
        <w:t>The date of Nagarajan's reply in D is not shown on the face of the image. Pull it from the metadata before serving.</w:t>
      </w:r>
    </w:p>
    <w:p>
      <w:pPr>
        <w:pStyle w:val="ListBullet"/>
      </w:pPr>
      <w:r>
        <w:rPr>
          <w:b w:val="0"/>
        </w:rPr>
        <w:t>The Order cites "Local Civil Rule 26.1(b)" for log requirements. Confirm that citation. The log as drafted tracks Subpoena Instruction C and Fed. R. Civ. P. 26(b)(5)(A) fields.</w:t>
      </w:r>
    </w:p>
    <w:p>
      <w:pPr>
        <w:pStyle w:val="Heading2"/>
      </w:pPr>
      <w:r>
        <w:t>H. Other substantive observations for defense strategy</w:t>
      </w:r>
    </w:p>
    <w:p>
      <w:r>
        <w:rPr>
          <w:b w:val="0"/>
        </w:rPr>
        <w:t>Several documents in the Government's hands will remain unprotected even after the clawback: the Lassiter cover note, the business portions of the Q3 thread, the Correa–Nagarajan emails, and the clean policy text. Slide 9 of the Viklund deck also states that on Oct. 2, 2023, "outside regulatory counsel" received an informal indication of DOJ interest before H&amp;C's engagement. We should identify that counsel and determine whether related communications are in the collection.</w:t>
      </w:r>
    </w:p>
    <w:p>
      <w:pPr>
        <w:pStyle w:val="Heading1"/>
      </w:pPr>
      <w:r>
        <w:t>V. Recommended Action Plan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432"/>
            <w:shd w:val="clear" w:color="auto" w:fill="D9D9D9"/>
          </w:tcPr>
          <w:p>
            <w:r/>
            <w:r>
              <w:rPr>
                <w:b/>
                <w:sz w:val="18"/>
              </w:rPr>
              <w:t>#</w:t>
            </w:r>
          </w:p>
        </w:tc>
        <w:tc>
          <w:tcPr>
            <w:tcW w:type="dxa" w:w="5616"/>
            <w:shd w:val="clear" w:color="auto" w:fill="D9D9D9"/>
          </w:tcPr>
          <w:p>
            <w:r/>
            <w:r>
              <w:rPr>
                <w:b/>
                <w:sz w:val="18"/>
              </w:rPr>
              <w:t>Action</w:t>
            </w:r>
          </w:p>
        </w:tc>
        <w:tc>
          <w:tcPr>
            <w:tcW w:type="dxa" w:w="1872"/>
            <w:shd w:val="clear" w:color="auto" w:fill="D9D9D9"/>
          </w:tcPr>
          <w:p>
            <w:r/>
            <w:r>
              <w:rPr>
                <w:b/>
                <w:sz w:val="18"/>
              </w:rPr>
              <w:t>Owner</w:t>
            </w:r>
          </w:p>
        </w:tc>
        <w:tc>
          <w:tcPr>
            <w:tcW w:type="dxa" w:w="1440"/>
            <w:shd w:val="clear" w:color="auto" w:fill="D9D9D9"/>
          </w:tcPr>
          <w:p>
            <w:r/>
            <w:r>
              <w:rPr>
                <w:b/>
                <w:sz w:val="18"/>
              </w:rPr>
              <w:t>Target</w:t>
            </w:r>
          </w:p>
        </w:tc>
      </w:tr>
      <w:tr>
        <w:tc>
          <w:tcPr>
            <w:tcW w:type="dxa" w:w="432"/>
          </w:tcPr>
          <w:p>
            <w:pPr>
              <w:spacing w:after="40"/>
            </w:pPr>
            <w:r>
              <w:rPr>
                <w:sz w:val="18"/>
              </w:rPr>
            </w:r>
            <w:r>
              <w:rPr>
                <w:b w:val="0"/>
                <w:sz w:val="18"/>
              </w:rPr>
              <w:t>1</w:t>
            </w:r>
          </w:p>
        </w:tc>
        <w:tc>
          <w:tcPr>
            <w:tcW w:type="dxa" w:w="5616"/>
          </w:tcPr>
          <w:p>
            <w:pPr>
              <w:spacing w:after="40"/>
            </w:pPr>
            <w:r>
              <w:rPr>
                <w:sz w:val="18"/>
              </w:rPr>
            </w:r>
            <w:r>
              <w:rPr>
                <w:b w:val="0"/>
                <w:sz w:val="18"/>
              </w:rPr>
              <w:t>Brief unconflicted client decision-maker (Board / Audit Committee) on D, F, I; obtain authorization for assertions</w:t>
            </w:r>
          </w:p>
        </w:tc>
        <w:tc>
          <w:tcPr>
            <w:tcW w:type="dxa" w:w="1872"/>
          </w:tcPr>
          <w:p>
            <w:pPr>
              <w:spacing w:after="40"/>
            </w:pPr>
            <w:r>
              <w:rPr>
                <w:sz w:val="18"/>
              </w:rPr>
            </w:r>
            <w:r>
              <w:rPr>
                <w:b w:val="0"/>
                <w:sz w:val="18"/>
              </w:rPr>
              <w:t>K. Ellsworth</w:t>
            </w:r>
          </w:p>
        </w:tc>
        <w:tc>
          <w:tcPr>
            <w:tcW w:type="dxa" w:w="1440"/>
          </w:tcPr>
          <w:p>
            <w:pPr>
              <w:spacing w:after="40"/>
            </w:pPr>
            <w:r>
              <w:rPr>
                <w:sz w:val="18"/>
              </w:rPr>
            </w:r>
            <w:r>
              <w:rPr>
                <w:b w:val="0"/>
                <w:sz w:val="18"/>
              </w:rPr>
              <w:t>June 19–20</w:t>
            </w:r>
          </w:p>
        </w:tc>
      </w:tr>
      <w:tr>
        <w:tc>
          <w:tcPr>
            <w:tcW w:type="dxa" w:w="432"/>
          </w:tcPr>
          <w:p>
            <w:pPr>
              <w:spacing w:after="40"/>
            </w:pPr>
            <w:r>
              <w:rPr>
                <w:sz w:val="18"/>
              </w:rPr>
            </w:r>
            <w:r>
              <w:rPr>
                <w:b w:val="0"/>
                <w:sz w:val="18"/>
              </w:rPr>
              <w:t>2</w:t>
            </w:r>
          </w:p>
        </w:tc>
        <w:tc>
          <w:tcPr>
            <w:tcW w:type="dxa" w:w="5616"/>
          </w:tcPr>
          <w:p>
            <w:pPr>
              <w:spacing w:after="40"/>
            </w:pPr>
            <w:r>
              <w:rPr>
                <w:sz w:val="18"/>
              </w:rPr>
            </w:r>
            <w:r>
              <w:rPr>
                <w:b w:val="0"/>
                <w:sz w:val="18"/>
              </w:rPr>
              <w:t>Notify R. Greenwald of PL-009; obtain written joinder/authorization; confirm notice address</w:t>
            </w:r>
          </w:p>
        </w:tc>
        <w:tc>
          <w:tcPr>
            <w:tcW w:type="dxa" w:w="1872"/>
          </w:tcPr>
          <w:p>
            <w:pPr>
              <w:spacing w:after="40"/>
            </w:pPr>
            <w:r>
              <w:rPr>
                <w:sz w:val="18"/>
              </w:rPr>
            </w:r>
            <w:r>
              <w:rPr>
                <w:b w:val="0"/>
                <w:sz w:val="18"/>
              </w:rPr>
              <w:t>K. Ellsworth / D. Farias</w:t>
            </w:r>
          </w:p>
        </w:tc>
        <w:tc>
          <w:tcPr>
            <w:tcW w:type="dxa" w:w="1440"/>
          </w:tcPr>
          <w:p>
            <w:pPr>
              <w:spacing w:after="40"/>
            </w:pPr>
            <w:r>
              <w:rPr>
                <w:sz w:val="18"/>
              </w:rPr>
            </w:r>
            <w:r>
              <w:rPr>
                <w:b w:val="0"/>
                <w:sz w:val="18"/>
              </w:rPr>
              <w:t>June 18</w:t>
            </w:r>
          </w:p>
        </w:tc>
      </w:tr>
      <w:tr>
        <w:tc>
          <w:tcPr>
            <w:tcW w:type="dxa" w:w="432"/>
          </w:tcPr>
          <w:p>
            <w:pPr>
              <w:spacing w:after="40"/>
            </w:pPr>
            <w:r>
              <w:rPr>
                <w:sz w:val="18"/>
              </w:rPr>
            </w:r>
            <w:r>
              <w:rPr>
                <w:b w:val="0"/>
                <w:sz w:val="18"/>
              </w:rPr>
              <w:t>3</w:t>
            </w:r>
          </w:p>
        </w:tc>
        <w:tc>
          <w:tcPr>
            <w:tcW w:type="dxa" w:w="5616"/>
          </w:tcPr>
          <w:p>
            <w:pPr>
              <w:spacing w:after="40"/>
            </w:pPr>
            <w:r>
              <w:rPr>
                <w:sz w:val="18"/>
              </w:rPr>
            </w:r>
            <w:r>
              <w:rPr>
                <w:b w:val="0"/>
                <w:sz w:val="18"/>
              </w:rPr>
              <w:t>Call A. Metcalf re PL-007 common-interest position; confirm whether Kendrick Sable received Production 3 data; confirm § VI.B consent status</w:t>
            </w:r>
          </w:p>
        </w:tc>
        <w:tc>
          <w:tcPr>
            <w:tcW w:type="dxa" w:w="1872"/>
          </w:tcPr>
          <w:p>
            <w:pPr>
              <w:spacing w:after="40"/>
            </w:pPr>
            <w:r>
              <w:rPr>
                <w:sz w:val="18"/>
              </w:rPr>
            </w:r>
            <w:r>
              <w:rPr>
                <w:b w:val="0"/>
                <w:sz w:val="18"/>
              </w:rPr>
              <w:t>K. Ellsworth</w:t>
            </w:r>
          </w:p>
        </w:tc>
        <w:tc>
          <w:tcPr>
            <w:tcW w:type="dxa" w:w="1440"/>
          </w:tcPr>
          <w:p>
            <w:pPr>
              <w:spacing w:after="40"/>
            </w:pPr>
            <w:r>
              <w:rPr>
                <w:sz w:val="18"/>
              </w:rPr>
            </w:r>
            <w:r>
              <w:rPr>
                <w:b w:val="0"/>
                <w:sz w:val="18"/>
              </w:rPr>
              <w:t>June 19</w:t>
            </w:r>
          </w:p>
        </w:tc>
      </w:tr>
      <w:tr>
        <w:tc>
          <w:tcPr>
            <w:tcW w:type="dxa" w:w="432"/>
          </w:tcPr>
          <w:p>
            <w:pPr>
              <w:spacing w:after="40"/>
            </w:pPr>
            <w:r>
              <w:rPr>
                <w:sz w:val="18"/>
              </w:rPr>
            </w:r>
            <w:r>
              <w:rPr>
                <w:b w:val="0"/>
                <w:sz w:val="18"/>
              </w:rPr>
              <w:t>4</w:t>
            </w:r>
          </w:p>
        </w:tc>
        <w:tc>
          <w:tcPr>
            <w:tcW w:type="dxa" w:w="5616"/>
          </w:tcPr>
          <w:p>
            <w:pPr>
              <w:spacing w:after="40"/>
            </w:pPr>
            <w:r>
              <w:rPr>
                <w:sz w:val="18"/>
              </w:rPr>
            </w:r>
            <w:r>
              <w:rPr>
                <w:b w:val="0"/>
                <w:sz w:val="18"/>
              </w:rPr>
              <w:t>Review remaining 35 documents + 2 missing subset items; add log entries PL-011 et seq.</w:t>
            </w:r>
          </w:p>
        </w:tc>
        <w:tc>
          <w:tcPr>
            <w:tcW w:type="dxa" w:w="1872"/>
          </w:tcPr>
          <w:p>
            <w:pPr>
              <w:spacing w:after="40"/>
            </w:pPr>
            <w:r>
              <w:rPr>
                <w:sz w:val="18"/>
              </w:rPr>
            </w:r>
            <w:r>
              <w:rPr>
                <w:b w:val="0"/>
                <w:sz w:val="18"/>
              </w:rPr>
              <w:t>D. Farias review team</w:t>
            </w:r>
          </w:p>
        </w:tc>
        <w:tc>
          <w:tcPr>
            <w:tcW w:type="dxa" w:w="1440"/>
          </w:tcPr>
          <w:p>
            <w:pPr>
              <w:spacing w:after="40"/>
            </w:pPr>
            <w:r>
              <w:rPr>
                <w:sz w:val="18"/>
              </w:rPr>
            </w:r>
            <w:r>
              <w:rPr>
                <w:b w:val="0"/>
                <w:sz w:val="18"/>
              </w:rPr>
              <w:t>June 20</w:t>
            </w:r>
          </w:p>
        </w:tc>
      </w:tr>
      <w:tr>
        <w:tc>
          <w:tcPr>
            <w:tcW w:type="dxa" w:w="432"/>
          </w:tcPr>
          <w:p>
            <w:pPr>
              <w:spacing w:after="40"/>
            </w:pPr>
            <w:r>
              <w:rPr>
                <w:sz w:val="18"/>
              </w:rPr>
            </w:r>
            <w:r>
              <w:rPr>
                <w:b w:val="0"/>
                <w:sz w:val="18"/>
              </w:rPr>
              <w:t>5</w:t>
            </w:r>
          </w:p>
        </w:tc>
        <w:tc>
          <w:tcPr>
            <w:tcW w:type="dxa" w:w="5616"/>
          </w:tcPr>
          <w:p>
            <w:pPr>
              <w:spacing w:after="40"/>
            </w:pPr>
            <w:r>
              <w:rPr>
                <w:sz w:val="18"/>
              </w:rPr>
            </w:r>
            <w:r>
              <w:rPr>
                <w:b w:val="0"/>
                <w:sz w:val="18"/>
              </w:rPr>
              <w:t>Resolve metadata items (H timestamp/Bates order, D reply date, domains); confirm E audit trail</w:t>
            </w:r>
          </w:p>
        </w:tc>
        <w:tc>
          <w:tcPr>
            <w:tcW w:type="dxa" w:w="1872"/>
          </w:tcPr>
          <w:p>
            <w:pPr>
              <w:spacing w:after="40"/>
            </w:pPr>
            <w:r>
              <w:rPr>
                <w:sz w:val="18"/>
              </w:rPr>
            </w:r>
            <w:r>
              <w:rPr>
                <w:b w:val="0"/>
                <w:sz w:val="18"/>
              </w:rPr>
              <w:t>NorthBridge (L. Choi) / D. Farias</w:t>
            </w:r>
          </w:p>
        </w:tc>
        <w:tc>
          <w:tcPr>
            <w:tcW w:type="dxa" w:w="1440"/>
          </w:tcPr>
          <w:p>
            <w:pPr>
              <w:spacing w:after="40"/>
            </w:pPr>
            <w:r>
              <w:rPr>
                <w:sz w:val="18"/>
              </w:rPr>
            </w:r>
            <w:r>
              <w:rPr>
                <w:b w:val="0"/>
                <w:sz w:val="18"/>
              </w:rPr>
              <w:t>June 20</w:t>
            </w:r>
          </w:p>
        </w:tc>
      </w:tr>
      <w:tr>
        <w:tc>
          <w:tcPr>
            <w:tcW w:type="dxa" w:w="432"/>
          </w:tcPr>
          <w:p>
            <w:pPr>
              <w:spacing w:after="40"/>
            </w:pPr>
            <w:r>
              <w:rPr>
                <w:sz w:val="18"/>
              </w:rPr>
            </w:r>
            <w:r>
              <w:rPr>
                <w:b w:val="0"/>
                <w:sz w:val="18"/>
              </w:rPr>
              <w:t>6</w:t>
            </w:r>
          </w:p>
        </w:tc>
        <w:tc>
          <w:tcPr>
            <w:tcW w:type="dxa" w:w="5616"/>
          </w:tcPr>
          <w:p>
            <w:pPr>
              <w:spacing w:after="40"/>
            </w:pPr>
            <w:r>
              <w:rPr>
                <w:sz w:val="18"/>
              </w:rPr>
            </w:r>
            <w:r>
              <w:rPr>
                <w:b w:val="0"/>
                <w:sz w:val="18"/>
              </w:rPr>
              <w:t>Prepare redacted replacement images (PL-001 to PL-005, PL-008, PL-010) with same Bates numbers</w:t>
            </w:r>
          </w:p>
        </w:tc>
        <w:tc>
          <w:tcPr>
            <w:tcW w:type="dxa" w:w="1872"/>
          </w:tcPr>
          <w:p>
            <w:pPr>
              <w:spacing w:after="40"/>
            </w:pPr>
            <w:r>
              <w:rPr>
                <w:sz w:val="18"/>
              </w:rPr>
            </w:r>
            <w:r>
              <w:rPr>
                <w:b w:val="0"/>
                <w:sz w:val="18"/>
              </w:rPr>
              <w:t>NorthBridge</w:t>
            </w:r>
          </w:p>
        </w:tc>
        <w:tc>
          <w:tcPr>
            <w:tcW w:type="dxa" w:w="1440"/>
          </w:tcPr>
          <w:p>
            <w:pPr>
              <w:spacing w:after="40"/>
            </w:pPr>
            <w:r>
              <w:rPr>
                <w:sz w:val="18"/>
              </w:rPr>
            </w:r>
            <w:r>
              <w:rPr>
                <w:b w:val="0"/>
                <w:sz w:val="18"/>
              </w:rPr>
              <w:t>June 21</w:t>
            </w:r>
          </w:p>
        </w:tc>
      </w:tr>
      <w:tr>
        <w:tc>
          <w:tcPr>
            <w:tcW w:type="dxa" w:w="432"/>
          </w:tcPr>
          <w:p>
            <w:pPr>
              <w:spacing w:after="40"/>
            </w:pPr>
            <w:r>
              <w:rPr>
                <w:sz w:val="18"/>
              </w:rPr>
            </w:r>
            <w:r>
              <w:rPr>
                <w:b w:val="0"/>
                <w:sz w:val="18"/>
              </w:rPr>
              <w:t>7</w:t>
            </w:r>
          </w:p>
        </w:tc>
        <w:tc>
          <w:tcPr>
            <w:tcW w:type="dxa" w:w="5616"/>
          </w:tcPr>
          <w:p>
            <w:pPr>
              <w:spacing w:after="40"/>
            </w:pPr>
            <w:r>
              <w:rPr>
                <w:sz w:val="18"/>
              </w:rPr>
            </w:r>
            <w:r>
              <w:rPr>
                <w:b w:val="0"/>
                <w:sz w:val="18"/>
              </w:rPr>
              <w:t>Obtain Lisa Choi declaration (timeline, defect, QC process)</w:t>
            </w:r>
          </w:p>
        </w:tc>
        <w:tc>
          <w:tcPr>
            <w:tcW w:type="dxa" w:w="1872"/>
          </w:tcPr>
          <w:p>
            <w:pPr>
              <w:spacing w:after="40"/>
            </w:pPr>
            <w:r>
              <w:rPr>
                <w:sz w:val="18"/>
              </w:rPr>
            </w:r>
            <w:r>
              <w:rPr>
                <w:b w:val="0"/>
                <w:sz w:val="18"/>
              </w:rPr>
              <w:t>D. Farias</w:t>
            </w:r>
          </w:p>
        </w:tc>
        <w:tc>
          <w:tcPr>
            <w:tcW w:type="dxa" w:w="1440"/>
          </w:tcPr>
          <w:p>
            <w:pPr>
              <w:spacing w:after="40"/>
            </w:pPr>
            <w:r>
              <w:rPr>
                <w:sz w:val="18"/>
              </w:rPr>
            </w:r>
            <w:r>
              <w:rPr>
                <w:b w:val="0"/>
                <w:sz w:val="18"/>
              </w:rPr>
              <w:t>June 21</w:t>
            </w:r>
          </w:p>
        </w:tc>
      </w:tr>
      <w:tr>
        <w:tc>
          <w:tcPr>
            <w:tcW w:type="dxa" w:w="432"/>
          </w:tcPr>
          <w:p>
            <w:pPr>
              <w:spacing w:after="40"/>
            </w:pPr>
            <w:r>
              <w:rPr>
                <w:sz w:val="18"/>
              </w:rPr>
            </w:r>
            <w:r>
              <w:rPr>
                <w:b w:val="0"/>
                <w:sz w:val="18"/>
              </w:rPr>
              <w:t>8</w:t>
            </w:r>
          </w:p>
        </w:tc>
        <w:tc>
          <w:tcPr>
            <w:tcW w:type="dxa" w:w="5616"/>
          </w:tcPr>
          <w:p>
            <w:pPr>
              <w:spacing w:after="40"/>
            </w:pPr>
            <w:r>
              <w:rPr>
                <w:sz w:val="18"/>
              </w:rPr>
            </w:r>
            <w:r>
              <w:rPr>
                <w:b w:val="0"/>
                <w:sz w:val="18"/>
              </w:rPr>
              <w:t>Serve Clawback Notice + log by email to AUSA Cooperman, overnight hard copy; elect return/destroy with certification; invoke § IV.C.2; correct "Paragraph 7" reference</w:t>
            </w:r>
          </w:p>
        </w:tc>
        <w:tc>
          <w:tcPr>
            <w:tcW w:type="dxa" w:w="1872"/>
          </w:tcPr>
          <w:p>
            <w:pPr>
              <w:spacing w:after="40"/>
            </w:pPr>
            <w:r>
              <w:rPr>
                <w:sz w:val="18"/>
              </w:rPr>
            </w:r>
            <w:r>
              <w:rPr>
                <w:b w:val="0"/>
                <w:sz w:val="18"/>
              </w:rPr>
              <w:t>K. Ellsworth</w:t>
            </w:r>
          </w:p>
        </w:tc>
        <w:tc>
          <w:tcPr>
            <w:tcW w:type="dxa" w:w="1440"/>
          </w:tcPr>
          <w:p>
            <w:pPr>
              <w:spacing w:after="40"/>
            </w:pPr>
            <w:r>
              <w:rPr>
                <w:sz w:val="18"/>
              </w:rPr>
            </w:r>
            <w:r>
              <w:rPr>
                <w:b w:val="0"/>
                <w:sz w:val="18"/>
              </w:rPr>
              <w:t>Fri., June 21 (hard stop Mon., June 24)</w:t>
            </w:r>
          </w:p>
        </w:tc>
      </w:tr>
      <w:tr>
        <w:tc>
          <w:tcPr>
            <w:tcW w:type="dxa" w:w="432"/>
          </w:tcPr>
          <w:p>
            <w:pPr>
              <w:spacing w:after="40"/>
            </w:pPr>
            <w:r>
              <w:rPr>
                <w:sz w:val="18"/>
              </w:rPr>
            </w:r>
            <w:r>
              <w:rPr>
                <w:b w:val="0"/>
                <w:sz w:val="18"/>
              </w:rPr>
              <w:t>9</w:t>
            </w:r>
          </w:p>
        </w:tc>
        <w:tc>
          <w:tcPr>
            <w:tcW w:type="dxa" w:w="5616"/>
          </w:tcPr>
          <w:p>
            <w:pPr>
              <w:spacing w:after="40"/>
            </w:pPr>
            <w:r>
              <w:rPr>
                <w:sz w:val="18"/>
              </w:rPr>
            </w:r>
            <w:r>
              <w:rPr>
                <w:b w:val="0"/>
                <w:sz w:val="18"/>
              </w:rPr>
              <w:t>Review NorthBridge retroactive audit of Productions 1–2; if hits, calculate new Discovery Date immediately</w:t>
            </w:r>
          </w:p>
        </w:tc>
        <w:tc>
          <w:tcPr>
            <w:tcW w:type="dxa" w:w="1872"/>
          </w:tcPr>
          <w:p>
            <w:pPr>
              <w:spacing w:after="40"/>
            </w:pPr>
            <w:r>
              <w:rPr>
                <w:sz w:val="18"/>
              </w:rPr>
            </w:r>
            <w:r>
              <w:rPr>
                <w:b w:val="0"/>
                <w:sz w:val="18"/>
              </w:rPr>
              <w:t>D. Farias</w:t>
            </w:r>
          </w:p>
        </w:tc>
        <w:tc>
          <w:tcPr>
            <w:tcW w:type="dxa" w:w="1440"/>
          </w:tcPr>
          <w:p>
            <w:pPr>
              <w:spacing w:after="40"/>
            </w:pPr>
            <w:r>
              <w:rPr>
                <w:sz w:val="18"/>
              </w:rPr>
            </w:r>
            <w:r>
              <w:rPr>
                <w:b w:val="0"/>
                <w:sz w:val="18"/>
              </w:rPr>
              <w:t>June 24</w:t>
            </w:r>
          </w:p>
        </w:tc>
      </w:tr>
      <w:tr>
        <w:tc>
          <w:tcPr>
            <w:tcW w:type="dxa" w:w="432"/>
          </w:tcPr>
          <w:p>
            <w:pPr>
              <w:spacing w:after="40"/>
            </w:pPr>
            <w:r>
              <w:rPr>
                <w:sz w:val="18"/>
              </w:rPr>
            </w:r>
            <w:r>
              <w:rPr>
                <w:b w:val="0"/>
                <w:sz w:val="18"/>
              </w:rPr>
              <w:t>10</w:t>
            </w:r>
          </w:p>
        </w:tc>
        <w:tc>
          <w:tcPr>
            <w:tcW w:type="dxa" w:w="5616"/>
          </w:tcPr>
          <w:p>
            <w:pPr>
              <w:spacing w:after="40"/>
            </w:pPr>
            <w:r>
              <w:rPr>
                <w:sz w:val="18"/>
              </w:rPr>
            </w:r>
            <w:r>
              <w:rPr>
                <w:b w:val="0"/>
                <w:sz w:val="18"/>
              </w:rPr>
              <w:t>Require pre-production reviewer-coding vs. final-coding reconciliation for all future productions; keep v4.2.1 disabled; reserve rights against NorthBridge for costs</w:t>
            </w:r>
          </w:p>
        </w:tc>
        <w:tc>
          <w:tcPr>
            <w:tcW w:type="dxa" w:w="1872"/>
          </w:tcPr>
          <w:p>
            <w:pPr>
              <w:spacing w:after="40"/>
            </w:pPr>
            <w:r>
              <w:rPr>
                <w:sz w:val="18"/>
              </w:rPr>
            </w:r>
            <w:r>
              <w:rPr>
                <w:b w:val="0"/>
                <w:sz w:val="18"/>
              </w:rPr>
              <w:t>D. Farias / NorthBridge</w:t>
            </w:r>
          </w:p>
        </w:tc>
        <w:tc>
          <w:tcPr>
            <w:tcW w:type="dxa" w:w="1440"/>
          </w:tcPr>
          <w:p>
            <w:pPr>
              <w:spacing w:after="40"/>
            </w:pPr>
            <w:r>
              <w:rPr>
                <w:sz w:val="18"/>
              </w:rPr>
            </w:r>
            <w:r>
              <w:rPr>
                <w:b w:val="0"/>
                <w:sz w:val="18"/>
              </w:rPr>
              <w:t>Before Production 4</w:t>
            </w:r>
          </w:p>
        </w:tc>
      </w:tr>
      <w:tr>
        <w:tc>
          <w:tcPr>
            <w:tcW w:type="dxa" w:w="432"/>
          </w:tcPr>
          <w:p>
            <w:pPr>
              <w:spacing w:after="40"/>
            </w:pPr>
            <w:r>
              <w:rPr>
                <w:sz w:val="18"/>
              </w:rPr>
            </w:r>
            <w:r>
              <w:rPr>
                <w:b w:val="0"/>
                <w:sz w:val="18"/>
              </w:rPr>
              <w:t>11</w:t>
            </w:r>
          </w:p>
        </w:tc>
        <w:tc>
          <w:tcPr>
            <w:tcW w:type="dxa" w:w="5616"/>
          </w:tcPr>
          <w:p>
            <w:pPr>
              <w:spacing w:after="40"/>
            </w:pPr>
            <w:r>
              <w:rPr>
                <w:sz w:val="18"/>
              </w:rPr>
            </w:r>
            <w:r>
              <w:rPr>
                <w:b w:val="0"/>
                <w:sz w:val="18"/>
              </w:rPr>
              <w:t>Calendar Government challenge window (14 calendar days from receipt of notice) and meet-and-confer; begin preparing positions on B, D, F (waiver, crime-fraud, common interest)</w:t>
            </w:r>
          </w:p>
        </w:tc>
        <w:tc>
          <w:tcPr>
            <w:tcW w:type="dxa" w:w="1872"/>
          </w:tcPr>
          <w:p>
            <w:pPr>
              <w:spacing w:after="40"/>
            </w:pPr>
            <w:r>
              <w:rPr>
                <w:sz w:val="18"/>
              </w:rPr>
            </w:r>
            <w:r>
              <w:rPr>
                <w:b w:val="0"/>
                <w:sz w:val="18"/>
              </w:rPr>
              <w:t>D. Farias</w:t>
            </w:r>
          </w:p>
        </w:tc>
        <w:tc>
          <w:tcPr>
            <w:tcW w:type="dxa" w:w="1440"/>
          </w:tcPr>
          <w:p>
            <w:pPr>
              <w:spacing w:after="40"/>
            </w:pPr>
            <w:r>
              <w:rPr>
                <w:sz w:val="18"/>
              </w:rPr>
            </w:r>
            <w:r>
              <w:rPr>
                <w:b w:val="0"/>
                <w:sz w:val="18"/>
              </w:rPr>
              <w:t>On service</w:t>
            </w:r>
          </w:p>
        </w:tc>
      </w:tr>
      <w:tr>
        <w:tc>
          <w:tcPr>
            <w:tcW w:type="dxa" w:w="432"/>
          </w:tcPr>
          <w:p>
            <w:pPr>
              <w:spacing w:after="40"/>
            </w:pPr>
            <w:r>
              <w:rPr>
                <w:sz w:val="18"/>
              </w:rPr>
            </w:r>
            <w:r>
              <w:rPr>
                <w:b w:val="0"/>
                <w:sz w:val="18"/>
              </w:rPr>
              <w:t>12</w:t>
            </w:r>
          </w:p>
        </w:tc>
        <w:tc>
          <w:tcPr>
            <w:tcW w:type="dxa" w:w="5616"/>
          </w:tcPr>
          <w:p>
            <w:pPr>
              <w:spacing w:after="40"/>
            </w:pPr>
            <w:r>
              <w:rPr>
                <w:sz w:val="18"/>
              </w:rPr>
            </w:r>
            <w:r>
              <w:rPr>
                <w:b w:val="0"/>
                <w:sz w:val="18"/>
              </w:rPr>
              <w:t>Establish Aldersgate timeline; screen collection for Audit Committee material and pre-Oct. 2023 outside-counsel communications</w:t>
            </w:r>
          </w:p>
        </w:tc>
        <w:tc>
          <w:tcPr>
            <w:tcW w:type="dxa" w:w="1872"/>
          </w:tcPr>
          <w:p>
            <w:pPr>
              <w:spacing w:after="40"/>
            </w:pPr>
            <w:r>
              <w:rPr>
                <w:sz w:val="18"/>
              </w:rPr>
            </w:r>
            <w:r>
              <w:rPr>
                <w:b w:val="0"/>
                <w:sz w:val="18"/>
              </w:rPr>
              <w:t>D. Farias</w:t>
            </w:r>
          </w:p>
        </w:tc>
        <w:tc>
          <w:tcPr>
            <w:tcW w:type="dxa" w:w="1440"/>
          </w:tcPr>
          <w:p>
            <w:pPr>
              <w:spacing w:after="40"/>
            </w:pPr>
            <w:r>
              <w:rPr>
                <w:sz w:val="18"/>
              </w:rPr>
            </w:r>
            <w:r>
              <w:rPr>
                <w:b w:val="0"/>
                <w:sz w:val="18"/>
              </w:rPr>
              <w:t>July 1</w:t>
            </w:r>
          </w:p>
        </w:tc>
      </w:tr>
    </w:tbl>
    <w:p>
      <w:r>
        <w:rPr>
          <w:b w:val="0"/>
        </w:rPr>
        <w:t>Attachment: Privilege Log (privilege-log.docx), draft for your review. Entries PL-006, PL-007 and PL-009 carry internal notes that must be removed before service. Part C (documents not logged) is internal only and must not be served.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