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after="100"/>
      </w:pPr>
      <w:r>
        <w:rPr>
          <w:rFonts w:ascii="Aptos Display" w:hAnsi="Aptos Display"/>
          <w:b/>
          <w:color w:val="17365D"/>
          <w:sz w:val="50"/>
        </w:rPr>
        <w:t>SCOPE EXTRACTION</w:t>
        <w:br/>
        <w:t>&amp; CROSS-CHECK REPORT</w:t>
      </w:r>
    </w:p>
    <w:p>
      <w:pPr>
        <w:widowControl/>
        <w:spacing w:after="240"/>
      </w:pPr>
      <w:r>
        <w:rPr>
          <w:b/>
          <w:color w:val="0F6B78"/>
          <w:sz w:val="24"/>
        </w:rPr>
        <w:t>Pinnacle Industrial Holdings, Inc. / Pinnacle Hydraulics Solutions, LLC</w:t>
      </w:r>
    </w:p>
    <w:tbl>
      <w:tblPr>
        <w:tblW w:type="auto" w:w="0"/>
        <w:jc w:val="center"/>
        <w:tblLayout w:type="fixed"/>
        <w:tblLook w:firstColumn="1" w:firstRow="1" w:lastColumn="0" w:lastRow="0" w:noHBand="0" w:noVBand="1" w:val="04A0"/>
      </w:tblPr>
      <w:tblGrid>
        <w:gridCol w:w="2088"/>
        <w:gridCol w:w="8496"/>
      </w:tblGrid>
      <w:tr>
        <w:trPr>
          <w:tblHeader w:val="true"/>
        </w:trPr>
        <w:tc>
          <w:tcPr>
            <w:tcW w:type="dxa" w:w="2088"/>
            <w:vAlign w:val="center"/>
            <w:tcMar>
              <w:top w:w="70" w:type="dxa"/>
              <w:start w:w="85" w:type="dxa"/>
              <w:bottom w:w="70" w:type="dxa"/>
              <w:end w:w="85" w:type="dxa"/>
            </w:tcMar>
            <w:shd w:fill="17365D"/>
          </w:tcPr>
          <w:p>
            <w:pPr>
              <w:spacing w:after="0" w:line="240" w:lineRule="auto"/>
            </w:pPr>
            <w:r/>
            <w:r>
              <w:rPr>
                <w:rFonts w:ascii="Aptos" w:hAnsi="Aptos"/>
                <w:b/>
                <w:color w:val="FFFFFF"/>
                <w:sz w:val="16"/>
              </w:rPr>
              <w:t>Report field</w:t>
            </w:r>
          </w:p>
        </w:tc>
        <w:tc>
          <w:tcPr>
            <w:tcW w:type="dxa" w:w="8496"/>
            <w:vAlign w:val="center"/>
            <w:tcMar>
              <w:top w:w="70" w:type="dxa"/>
              <w:start w:w="85" w:type="dxa"/>
              <w:bottom w:w="70" w:type="dxa"/>
              <w:end w:w="85" w:type="dxa"/>
            </w:tcMar>
            <w:shd w:fill="17365D"/>
          </w:tcPr>
          <w:p>
            <w:pPr>
              <w:spacing w:after="0" w:line="240" w:lineRule="auto"/>
            </w:pPr>
            <w:r/>
            <w:r>
              <w:rPr>
                <w:rFonts w:ascii="Aptos" w:hAnsi="Aptos"/>
                <w:b/>
                <w:color w:val="FFFFFF"/>
                <w:sz w:val="16"/>
              </w:rPr>
              <w:t>Details</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7"/>
              </w:rPr>
              <w:t>Matter</w:t>
            </w:r>
          </w:p>
        </w:tc>
        <w:tc>
          <w:tcPr>
            <w:tcW w:type="dxa" w:w="8496"/>
            <w:vAlign w:val="center"/>
            <w:tcMar>
              <w:top w:w="70" w:type="dxa"/>
              <w:start w:w="85" w:type="dxa"/>
              <w:bottom w:w="70" w:type="dxa"/>
              <w:end w:w="85" w:type="dxa"/>
            </w:tcMar>
          </w:tcPr>
          <w:p>
            <w:pPr>
              <w:spacing w:after="0" w:line="240" w:lineRule="auto"/>
            </w:pPr>
            <w:r/>
            <w:r>
              <w:rPr>
                <w:rFonts w:ascii="Aptos" w:hAnsi="Aptos"/>
                <w:b w:val="0"/>
                <w:color w:val="202A35"/>
                <w:sz w:val="17"/>
              </w:rPr>
              <w:t>W&amp;C Matter WC-2025-04381</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7"/>
              </w:rPr>
              <w:t>Proceedings</w:t>
            </w:r>
          </w:p>
        </w:tc>
        <w:tc>
          <w:tcPr>
            <w:tcW w:type="dxa" w:w="8496"/>
            <w:vAlign w:val="center"/>
            <w:tcMar>
              <w:top w:w="70" w:type="dxa"/>
              <w:start w:w="85" w:type="dxa"/>
              <w:bottom w:w="70" w:type="dxa"/>
              <w:end w:w="85" w:type="dxa"/>
            </w:tcMar>
            <w:shd w:fill="F3F6F9"/>
          </w:tcPr>
          <w:p>
            <w:pPr>
              <w:spacing w:after="0" w:line="240" w:lineRule="auto"/>
            </w:pPr>
            <w:r/>
            <w:r>
              <w:rPr>
                <w:rFonts w:ascii="Aptos" w:hAnsi="Aptos"/>
                <w:b w:val="0"/>
                <w:color w:val="202A35"/>
                <w:sz w:val="17"/>
              </w:rPr>
              <w:t>MDL No. 3:24-md-02987 (N.D. Ohio) and Cuyahoga County Case No. CV-24-938471</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7"/>
              </w:rPr>
              <w:t>Documents reviewed</w:t>
            </w:r>
          </w:p>
        </w:tc>
        <w:tc>
          <w:tcPr>
            <w:tcW w:type="dxa" w:w="8496"/>
            <w:vAlign w:val="center"/>
            <w:tcMar>
              <w:top w:w="70" w:type="dxa"/>
              <w:start w:w="85" w:type="dxa"/>
              <w:bottom w:w="70" w:type="dxa"/>
              <w:end w:w="85" w:type="dxa"/>
            </w:tcMar>
          </w:tcPr>
          <w:p>
            <w:pPr>
              <w:spacing w:after="0" w:line="240" w:lineRule="auto"/>
            </w:pPr>
            <w:r/>
            <w:r>
              <w:rPr>
                <w:rFonts w:ascii="Aptos" w:hAnsi="Aptos"/>
                <w:b w:val="0"/>
                <w:color w:val="202A35"/>
                <w:sz w:val="17"/>
              </w:rPr>
              <w:t>Engagement letter (Feb. 3, 2025); Matter Plan (Feb. 10, 2025, containing Revision 1 references); CPSC Addendum (Mar. 28, 2025); Pinnacle OCG v6.2; budget-summary workbook; Jan. 15–31, 2025 scope-negotiation emails</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7"/>
              </w:rPr>
              <w:t>Purpose</w:t>
            </w:r>
          </w:p>
        </w:tc>
        <w:tc>
          <w:tcPr>
            <w:tcW w:type="dxa" w:w="8496"/>
            <w:vAlign w:val="center"/>
            <w:tcMar>
              <w:top w:w="70" w:type="dxa"/>
              <w:start w:w="85" w:type="dxa"/>
              <w:bottom w:w="70" w:type="dxa"/>
              <w:end w:w="85" w:type="dxa"/>
            </w:tcMar>
            <w:shd w:fill="F3F6F9"/>
          </w:tcPr>
          <w:p>
            <w:pPr>
              <w:spacing w:after="0" w:line="240" w:lineRule="auto"/>
            </w:pPr>
            <w:r/>
            <w:r>
              <w:rPr>
                <w:rFonts w:ascii="Aptos" w:hAnsi="Aptos"/>
                <w:b w:val="0"/>
                <w:color w:val="202A35"/>
                <w:sz w:val="17"/>
              </w:rPr>
              <w:t>Extract operative scope boundaries and identify cross-document conflicts, omissions, and approval dependencies.</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7"/>
              </w:rPr>
              <w:t>Review limitation</w:t>
            </w:r>
          </w:p>
        </w:tc>
        <w:tc>
          <w:tcPr>
            <w:tcW w:type="dxa" w:w="8496"/>
            <w:vAlign w:val="center"/>
            <w:tcMar>
              <w:top w:w="70" w:type="dxa"/>
              <w:start w:w="85" w:type="dxa"/>
              <w:bottom w:w="70" w:type="dxa"/>
              <w:end w:w="85" w:type="dxa"/>
            </w:tcMar>
          </w:tcPr>
          <w:p>
            <w:pPr>
              <w:spacing w:after="0" w:line="240" w:lineRule="auto"/>
            </w:pPr>
            <w:r/>
            <w:r>
              <w:rPr>
                <w:rFonts w:ascii="Aptos" w:hAnsi="Aptos"/>
                <w:b w:val="0"/>
                <w:color w:val="202A35"/>
                <w:sz w:val="17"/>
              </w:rPr>
              <w:t>Document-based extraction only. The supplied text render does not establish whether signature lines were executed or whether later approvals/addenda exist.</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EAF1F8"/>
            <w:tcMar>
              <w:top w:w="100" w:type="dxa"/>
              <w:start w:w="130" w:type="dxa"/>
              <w:bottom w:w="100" w:type="dxa"/>
              <w:end w:w="130" w:type="dxa"/>
            </w:tcMar>
          </w:tcPr>
          <w:p>
            <w:pPr>
              <w:spacing w:after="0" w:line="252" w:lineRule="auto"/>
            </w:pPr>
            <w:r/>
            <w:r>
              <w:rPr>
                <w:b/>
                <w:color w:val="0F6B78"/>
                <w:sz w:val="18"/>
              </w:rPr>
              <w:t xml:space="preserve">KEY READOUT  </w:t>
            </w:r>
            <w:r>
              <w:rPr>
                <w:color w:val="202A35"/>
                <w:sz w:val="18"/>
              </w:rPr>
              <w:t>The engagement letter establishes a broad two-forum HX-9000 defense through trial, but important scope and budget terms are not reconciled across the Matter Plan, Revision 1 addendum, OCGs, workbook, and negotiation record. Highest-priority items: (1) the non-HX-9000/tag-along authorization gap; (2) authority and role boundaries for CPSC WS-4, including the &gt;5% approval threshold; (3) inconsistent work-stream/disbursement budgets; and (4) the undefined “Actual Aggregate Payments” basis for the success fee.</w:t>
            </w:r>
          </w:p>
        </w:tc>
      </w:tr>
    </w:tbl>
    <w:p>
      <w:pPr>
        <w:widowControl/>
        <w:spacing w:after="20"/>
      </w:pPr>
    </w:p>
    <w:p>
      <w:pPr>
        <w:pStyle w:val="SmallNote"/>
        <w:widowControl/>
      </w:pPr>
      <w:r>
        <w:t>Prepared from the provided materials; pinpoint citations below use document section numbers, workbook tab names, or email dates. No assumption is made that a draft or unsigned document was validly adopted.</w:t>
      </w:r>
    </w:p>
    <w:p>
      <w:pPr>
        <w:widowControl/>
      </w:pPr>
      <w:r>
        <w:br w:type="page"/>
      </w:r>
    </w:p>
    <w:p>
      <w:pPr>
        <w:pStyle w:val="Heading1"/>
        <w:widowControl/>
      </w:pPr>
      <w:r>
        <w:t>1. Executive findings</w:t>
      </w:r>
    </w:p>
    <w:p>
      <w:pPr>
        <w:widowControl/>
      </w:pPr>
      <w:r>
        <w:t>The best-supported baseline is the February 3, 2025 Engagement Letter (EL), supplemented by the detailed Matter Plan (MP), the March 28, 2025 Revision 1 CPSC Addendum (MP-R1), and Pinnacle’s Outside Counsel Guidelines (OCGs). The documents describe one defense engagement for two clients and two proceedings, with seven work streams after WS-4 was added. Several important details remain unresolved or internally inconsistent; they should not be treated as settled solely because they appear in a later summary or budget workbook.</w:t>
      </w:r>
    </w:p>
    <w:p>
      <w:pPr>
        <w:pStyle w:val="ListBullet"/>
        <w:widowControl/>
        <w:spacing w:after="40"/>
        <w:ind w:left="317" w:hanging="173"/>
      </w:pPr>
      <w:r>
        <w:t>Core litigation scope: lead defense of Pinnacle Industrial Holdings, Inc. and PHS in the HX-9000 products-liability MDL and the parallel Cuyahoga County case, through trial; Phase 0 is closed and excluded from the $4.25 million aggregate fee budget.</w:t>
      </w:r>
    </w:p>
    <w:p>
      <w:pPr>
        <w:pStyle w:val="ListBullet"/>
        <w:widowControl/>
        <w:spacing w:after="40"/>
        <w:ind w:left="317" w:hanging="173"/>
      </w:pPr>
      <w:r>
        <w:t>Later product claims: EX-6’s MDL-consolidation exception does not line up with WS-1’s “as currently constituted” limit. The MP expressly says later consolidated non-HX-9000 claims are not authorized until review and a scope amendment. January emails record this as open, not resolved.</w:t>
      </w:r>
    </w:p>
    <w:p>
      <w:pPr>
        <w:pStyle w:val="ListBullet"/>
        <w:widowControl/>
        <w:spacing w:after="40"/>
        <w:ind w:left="317" w:hanging="173"/>
      </w:pPr>
      <w:r>
        <w:t>Regulatory work: WS-4 is a post-engagement $320,000 work stream and is described as coordinating counsel only, but its task list includes CPSC submissions, VCAP materials, and meetings. Meridian is primary counsel; the distinction between coordination/support and direct representation/submission needs to be made operationally precise.</w:t>
      </w:r>
    </w:p>
    <w:p>
      <w:pPr>
        <w:pStyle w:val="ListBullet"/>
        <w:widowControl/>
        <w:spacing w:after="40"/>
        <w:ind w:left="317" w:hanging="173"/>
      </w:pPr>
      <w:r>
        <w:t>Budget: the $4.25 million aggregate professional-fee control total is consistent, but detailed stream allocations differ between MP and workbook. Disbursements differ by $20,000: EL says $1.35 million / $780,000 experts; MP and workbook say $1.33 million / $760,000 experts. Contract reviewer cost classification is also inconsistent.</w:t>
      </w:r>
    </w:p>
    <w:p>
      <w:pPr>
        <w:pStyle w:val="ListBullet"/>
        <w:widowControl/>
        <w:spacing w:after="40"/>
        <w:ind w:left="317" w:hanging="173"/>
      </w:pPr>
      <w:r>
        <w:t>Success fee: 7.5% of savings below $8.5 million is stated, but “Actual Aggregate Payments” has no definition. Emails document different proposed positions (indemnity-only versus broader enterprise payments), and the final documents do not resolve them.</w:t>
      </w:r>
    </w:p>
    <w:p>
      <w:pPr>
        <w:pStyle w:val="ListBullet"/>
        <w:widowControl/>
        <w:spacing w:after="40"/>
        <w:ind w:left="317" w:hanging="173"/>
      </w:pPr>
      <w:r>
        <w:t>Effectiveness / priority: the extracted EL and MP show blank signature lines; MP-R1 prints signatory names and dates but also shows blank signature lines. Verify executed counterparts, especially because WS-4 exceeds the EL’s 5% threshold for a newly added stream.</w:t>
      </w:r>
    </w:p>
    <w:p>
      <w:pPr>
        <w:pStyle w:val="Heading1"/>
        <w:widowControl/>
      </w:pPr>
      <w:r>
        <w:t>2. Source set and interpretation</w:t>
      </w:r>
    </w:p>
    <w:tbl>
      <w:tblPr>
        <w:tblW w:type="auto" w:w="0"/>
        <w:jc w:val="center"/>
        <w:tblLayout w:type="fixed"/>
        <w:tblLook w:firstColumn="1" w:firstRow="1" w:lastColumn="0" w:lastRow="0" w:noHBand="0" w:noVBand="1" w:val="04A0"/>
      </w:tblPr>
      <w:tblGrid>
        <w:gridCol w:w="2088"/>
        <w:gridCol w:w="4752"/>
        <w:gridCol w:w="3744"/>
      </w:tblGrid>
      <w:tr>
        <w:trPr>
          <w:tblHeader w:val="true"/>
        </w:trPr>
        <w:tc>
          <w:tcPr>
            <w:tcW w:type="dxa" w:w="2088"/>
            <w:vAlign w:val="center"/>
            <w:tcMar>
              <w:top w:w="70" w:type="dxa"/>
              <w:start w:w="85" w:type="dxa"/>
              <w:bottom w:w="70" w:type="dxa"/>
              <w:end w:w="85" w:type="dxa"/>
            </w:tcMar>
            <w:shd w:fill="17365D"/>
          </w:tcPr>
          <w:p>
            <w:pPr>
              <w:spacing w:after="0" w:line="240" w:lineRule="auto"/>
            </w:pPr>
            <w:r/>
            <w:r>
              <w:rPr>
                <w:rFonts w:ascii="Aptos" w:hAnsi="Aptos"/>
                <w:b/>
                <w:color w:val="FFFFFF"/>
                <w:sz w:val="16"/>
              </w:rPr>
              <w:t>Source</w:t>
            </w:r>
          </w:p>
        </w:tc>
        <w:tc>
          <w:tcPr>
            <w:tcW w:type="dxa" w:w="4752"/>
            <w:vAlign w:val="center"/>
            <w:tcMar>
              <w:top w:w="70" w:type="dxa"/>
              <w:start w:w="85" w:type="dxa"/>
              <w:bottom w:w="70" w:type="dxa"/>
              <w:end w:w="85" w:type="dxa"/>
            </w:tcMar>
            <w:shd w:fill="17365D"/>
          </w:tcPr>
          <w:p>
            <w:pPr>
              <w:spacing w:after="0" w:line="240" w:lineRule="auto"/>
            </w:pPr>
            <w:r/>
            <w:r>
              <w:rPr>
                <w:rFonts w:ascii="Aptos" w:hAnsi="Aptos"/>
                <w:b/>
                <w:color w:val="FFFFFF"/>
                <w:sz w:val="16"/>
              </w:rPr>
              <w:t>What it contributes</w:t>
            </w:r>
          </w:p>
        </w:tc>
        <w:tc>
          <w:tcPr>
            <w:tcW w:type="dxa" w:w="3744"/>
            <w:vAlign w:val="center"/>
            <w:tcMar>
              <w:top w:w="70" w:type="dxa"/>
              <w:start w:w="85" w:type="dxa"/>
              <w:bottom w:w="70" w:type="dxa"/>
              <w:end w:w="85" w:type="dxa"/>
            </w:tcMar>
            <w:shd w:fill="17365D"/>
          </w:tcPr>
          <w:p>
            <w:pPr>
              <w:spacing w:after="0" w:line="240" w:lineRule="auto"/>
            </w:pPr>
            <w:r/>
            <w:r>
              <w:rPr>
                <w:rFonts w:ascii="Aptos" w:hAnsi="Aptos"/>
                <w:b/>
                <w:color w:val="FFFFFF"/>
                <w:sz w:val="16"/>
              </w:rPr>
              <w:t>Reliability / caveat</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Engagement Letter, Feb. 3, 2025 (EL)</w:t>
            </w:r>
          </w:p>
        </w:tc>
        <w:tc>
          <w:tcPr>
            <w:tcW w:type="dxa" w:w="4752"/>
            <w:vAlign w:val="center"/>
            <w:tcMar>
              <w:top w:w="70" w:type="dxa"/>
              <w:start w:w="85" w:type="dxa"/>
              <w:bottom w:w="70" w:type="dxa"/>
              <w:end w:w="85" w:type="dxa"/>
            </w:tcMar>
          </w:tcPr>
          <w:p>
            <w:pPr>
              <w:spacing w:after="0" w:line="240" w:lineRule="auto"/>
            </w:pPr>
            <w:r/>
            <w:r>
              <w:rPr>
                <w:rFonts w:ascii="Aptos" w:hAnsi="Aptos"/>
                <w:b w:val="0"/>
                <w:color w:val="202A35"/>
                <w:sz w:val="16"/>
              </w:rPr>
              <w:t>Clients, covered matters, broad scope, exclusions, rates, aggregate/monthly budgets, success fee, staffing, reporting, settlement authority, insurance and amendment rules.</w:t>
            </w:r>
          </w:p>
        </w:tc>
        <w:tc>
          <w:tcPr>
            <w:tcW w:type="dxa" w:w="3744"/>
            <w:vAlign w:val="center"/>
            <w:tcMar>
              <w:top w:w="70" w:type="dxa"/>
              <w:start w:w="85" w:type="dxa"/>
              <w:bottom w:w="70" w:type="dxa"/>
              <w:end w:w="85" w:type="dxa"/>
            </w:tcMar>
          </w:tcPr>
          <w:p>
            <w:pPr>
              <w:spacing w:after="0" w:line="240" w:lineRule="auto"/>
            </w:pPr>
            <w:r/>
            <w:r>
              <w:rPr>
                <w:rFonts w:ascii="Aptos" w:hAnsi="Aptos"/>
                <w:b w:val="0"/>
                <w:color w:val="202A35"/>
                <w:sz w:val="16"/>
              </w:rPr>
              <w:t>Primary agreement if duly executed; extracted signature blocks are blank. EL says Matter Plan is incorporated upon execution.</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Matter Plan, dated Feb. 10, 2025 (MP)</w:t>
            </w:r>
          </w:p>
        </w:tc>
        <w:tc>
          <w:tcPr>
            <w:tcW w:type="dxa" w:w="4752"/>
            <w:vAlign w:val="center"/>
            <w:tcMar>
              <w:top w:w="70" w:type="dxa"/>
              <w:start w:w="85" w:type="dxa"/>
              <w:bottom w:w="70" w:type="dxa"/>
              <w:end w:w="85" w:type="dxa"/>
            </w:tcMar>
            <w:shd w:fill="F3F6F9"/>
          </w:tcPr>
          <w:p>
            <w:pPr>
              <w:spacing w:after="0" w:line="240" w:lineRule="auto"/>
            </w:pPr>
            <w:r/>
            <w:r>
              <w:rPr>
                <w:rFonts w:ascii="Aptos" w:hAnsi="Aptos"/>
                <w:b w:val="0"/>
                <w:color w:val="202A35"/>
                <w:sz w:val="16"/>
              </w:rPr>
              <w:t>Work-stream descriptions, sub-budgets, staffing, milestones, detailed exclusions, operating requirements.</w:t>
            </w:r>
          </w:p>
        </w:tc>
        <w:tc>
          <w:tcPr>
            <w:tcW w:type="dxa" w:w="3744"/>
            <w:vAlign w:val="center"/>
            <w:tcMar>
              <w:top w:w="70" w:type="dxa"/>
              <w:start w:w="85" w:type="dxa"/>
              <w:bottom w:w="70" w:type="dxa"/>
              <w:end w:w="85" w:type="dxa"/>
            </w:tcMar>
            <w:shd w:fill="F3F6F9"/>
          </w:tcPr>
          <w:p>
            <w:pPr>
              <w:spacing w:after="0" w:line="240" w:lineRule="auto"/>
            </w:pPr>
            <w:r/>
            <w:r>
              <w:rPr>
                <w:rFonts w:ascii="Aptos" w:hAnsi="Aptos"/>
                <w:b w:val="0"/>
                <w:color w:val="202A35"/>
                <w:sz w:val="16"/>
              </w:rPr>
              <w:t>Contains a revision history showing WS-4 added Mar. 28, 2025 and incorporates post-date information; the provided approval blocks are blank. Treat version/date status as needing confirmation.</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Matter Plan Revision 1, Mar. 28, 2025 (MP-R1)</w:t>
            </w:r>
          </w:p>
        </w:tc>
        <w:tc>
          <w:tcPr>
            <w:tcW w:type="dxa" w:w="4752"/>
            <w:vAlign w:val="center"/>
            <w:tcMar>
              <w:top w:w="70" w:type="dxa"/>
              <w:start w:w="85" w:type="dxa"/>
              <w:bottom w:w="70" w:type="dxa"/>
              <w:end w:w="85" w:type="dxa"/>
            </w:tcMar>
          </w:tcPr>
          <w:p>
            <w:pPr>
              <w:spacing w:after="0" w:line="240" w:lineRule="auto"/>
            </w:pPr>
            <w:r/>
            <w:r>
              <w:rPr>
                <w:rFonts w:ascii="Aptos" w:hAnsi="Aptos"/>
                <w:b w:val="0"/>
                <w:color w:val="202A35"/>
                <w:sz w:val="16"/>
              </w:rPr>
              <w:t>Adds CPSC WS-4, $320,000 fee sub-budget, role division, coordination and approval protocol.</w:t>
            </w:r>
          </w:p>
        </w:tc>
        <w:tc>
          <w:tcPr>
            <w:tcW w:type="dxa" w:w="3744"/>
            <w:vAlign w:val="center"/>
            <w:tcMar>
              <w:top w:w="70" w:type="dxa"/>
              <w:start w:w="85" w:type="dxa"/>
              <w:bottom w:w="70" w:type="dxa"/>
              <w:end w:w="85" w:type="dxa"/>
            </w:tcMar>
          </w:tcPr>
          <w:p>
            <w:pPr>
              <w:spacing w:after="0" w:line="240" w:lineRule="auto"/>
            </w:pPr>
            <w:r/>
            <w:r>
              <w:rPr>
                <w:rFonts w:ascii="Aptos" w:hAnsi="Aptos"/>
                <w:b w:val="0"/>
                <w:color w:val="202A35"/>
                <w:sz w:val="16"/>
              </w:rPr>
              <w:t>States the addendum is executed and prints names/dates, but visible signature lines are blank. No separate CPSC coordination protocol is included.</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Outside Counsel Guidelines v6.2, effective Jan. 1, 2024 (OCGs)</w:t>
            </w:r>
          </w:p>
        </w:tc>
        <w:tc>
          <w:tcPr>
            <w:tcW w:type="dxa" w:w="4752"/>
            <w:vAlign w:val="center"/>
            <w:tcMar>
              <w:top w:w="70" w:type="dxa"/>
              <w:start w:w="85" w:type="dxa"/>
              <w:bottom w:w="70" w:type="dxa"/>
              <w:end w:w="85" w:type="dxa"/>
            </w:tcMar>
            <w:shd w:fill="F3F6F9"/>
          </w:tcPr>
          <w:p>
            <w:pPr>
              <w:spacing w:after="0" w:line="240" w:lineRule="auto"/>
            </w:pPr>
            <w:r/>
            <w:r>
              <w:rPr>
                <w:rFonts w:ascii="Aptos" w:hAnsi="Aptos"/>
                <w:b w:val="0"/>
                <w:color w:val="202A35"/>
                <w:sz w:val="16"/>
              </w:rPr>
              <w:t>Mandatory named timekeeper/rate approval, expense notices, overage approval, staffing, reporting, billing, data-security and document-retention controls.</w:t>
            </w:r>
          </w:p>
        </w:tc>
        <w:tc>
          <w:tcPr>
            <w:tcW w:type="dxa" w:w="3744"/>
            <w:vAlign w:val="center"/>
            <w:tcMar>
              <w:top w:w="70" w:type="dxa"/>
              <w:start w:w="85" w:type="dxa"/>
              <w:bottom w:w="70" w:type="dxa"/>
              <w:end w:w="85" w:type="dxa"/>
            </w:tcMar>
            <w:shd w:fill="F3F6F9"/>
          </w:tcPr>
          <w:p>
            <w:pPr>
              <w:spacing w:after="0" w:line="240" w:lineRule="auto"/>
            </w:pPr>
            <w:r/>
            <w:r>
              <w:rPr>
                <w:rFonts w:ascii="Aptos" w:hAnsi="Aptos"/>
                <w:b w:val="0"/>
                <w:color w:val="202A35"/>
                <w:sz w:val="16"/>
              </w:rPr>
              <w:t>OCGs require specific identification of any engagement-letter exception; general “letter controls” wording may not be enough for a conflict.</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Budget-summary.xlsx</w:t>
            </w:r>
          </w:p>
        </w:tc>
        <w:tc>
          <w:tcPr>
            <w:tcW w:type="dxa" w:w="4752"/>
            <w:vAlign w:val="center"/>
            <w:tcMar>
              <w:top w:w="70" w:type="dxa"/>
              <w:start w:w="85" w:type="dxa"/>
              <w:bottom w:w="70" w:type="dxa"/>
              <w:end w:w="85" w:type="dxa"/>
            </w:tcMar>
          </w:tcPr>
          <w:p>
            <w:pPr>
              <w:spacing w:after="0" w:line="240" w:lineRule="auto"/>
            </w:pPr>
            <w:r/>
            <w:r>
              <w:rPr>
                <w:rFonts w:ascii="Aptos" w:hAnsi="Aptos"/>
                <w:b w:val="0"/>
                <w:color w:val="202A35"/>
                <w:sz w:val="16"/>
              </w:rPr>
              <w:t>Work-stream fee allocations, disbursement allocations and monthly forecast.</w:t>
            </w:r>
          </w:p>
        </w:tc>
        <w:tc>
          <w:tcPr>
            <w:tcW w:type="dxa" w:w="3744"/>
            <w:vAlign w:val="center"/>
            <w:tcMar>
              <w:top w:w="70" w:type="dxa"/>
              <w:start w:w="85" w:type="dxa"/>
              <w:bottom w:w="70" w:type="dxa"/>
              <w:end w:w="85" w:type="dxa"/>
            </w:tcMar>
          </w:tcPr>
          <w:p>
            <w:pPr>
              <w:spacing w:after="0" w:line="240" w:lineRule="auto"/>
            </w:pPr>
            <w:r/>
            <w:r>
              <w:rPr>
                <w:rFonts w:ascii="Aptos" w:hAnsi="Aptos"/>
                <w:b w:val="0"/>
                <w:color w:val="202A35"/>
                <w:sz w:val="16"/>
              </w:rPr>
              <w:t>Contains material budget differences from the MP and EL; workbook labels some allocations as drawn from those documents despite divergent numbers.</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Scope-negotiation emails, Jan. 15–31, 2025 (Emails)</w:t>
            </w:r>
          </w:p>
        </w:tc>
        <w:tc>
          <w:tcPr>
            <w:tcW w:type="dxa" w:w="4752"/>
            <w:vAlign w:val="center"/>
            <w:tcMar>
              <w:top w:w="70" w:type="dxa"/>
              <w:start w:w="85" w:type="dxa"/>
              <w:bottom w:w="70" w:type="dxa"/>
              <w:end w:w="85" w:type="dxa"/>
            </w:tcMar>
            <w:shd w:fill="F3F6F9"/>
          </w:tcPr>
          <w:p>
            <w:pPr>
              <w:spacing w:after="0" w:line="240" w:lineRule="auto"/>
            </w:pPr>
            <w:r/>
            <w:r>
              <w:rPr>
                <w:rFonts w:ascii="Aptos" w:hAnsi="Aptos"/>
                <w:b w:val="0"/>
                <w:color w:val="202A35"/>
                <w:sz w:val="16"/>
              </w:rPr>
              <w:t>Shows non-HX-9000 and success-fee definition were open negotiating issues.</w:t>
            </w:r>
          </w:p>
        </w:tc>
        <w:tc>
          <w:tcPr>
            <w:tcW w:type="dxa" w:w="3744"/>
            <w:vAlign w:val="center"/>
            <w:tcMar>
              <w:top w:w="70" w:type="dxa"/>
              <w:start w:w="85" w:type="dxa"/>
              <w:bottom w:w="70" w:type="dxa"/>
              <w:end w:w="85" w:type="dxa"/>
            </w:tcMar>
            <w:shd w:fill="F3F6F9"/>
          </w:tcPr>
          <w:p>
            <w:pPr>
              <w:spacing w:after="0" w:line="240" w:lineRule="auto"/>
            </w:pPr>
            <w:r/>
            <w:r>
              <w:rPr>
                <w:rFonts w:ascii="Aptos" w:hAnsi="Aptos"/>
                <w:b w:val="0"/>
                <w:color w:val="202A35"/>
                <w:sz w:val="16"/>
              </w:rPr>
              <w:t>Contemporaneous negotiation context; it is not an executed amendment and cannot supply missing final definitions.</w:t>
            </w:r>
          </w:p>
        </w:tc>
      </w:tr>
    </w:tbl>
    <w:p>
      <w:pPr>
        <w:widowControl/>
        <w:spacing w:after="20"/>
      </w:pPr>
    </w:p>
    <w:p>
      <w:pPr>
        <w:pStyle w:val="Heading1"/>
        <w:widowControl/>
      </w:pPr>
      <w:r>
        <w:t>3. Consolidated scope extraction</w:t>
      </w:r>
    </w:p>
    <w:p>
      <w:pPr>
        <w:pStyle w:val="Heading2"/>
        <w:widowControl/>
      </w:pPr>
      <w:r>
        <w:t>3.1 Parties, proceedings, product and claim universe</w:t>
      </w:r>
    </w:p>
    <w:tbl>
      <w:tblPr>
        <w:tblW w:type="auto" w:w="0"/>
        <w:jc w:val="center"/>
        <w:tblLayout w:type="fixed"/>
        <w:tblLook w:firstColumn="1" w:firstRow="1" w:lastColumn="0" w:lastRow="0" w:noHBand="0" w:noVBand="1" w:val="04A0"/>
      </w:tblPr>
      <w:tblGrid>
        <w:gridCol w:w="1800"/>
        <w:gridCol w:w="6696"/>
        <w:gridCol w:w="2088"/>
      </w:tblGrid>
      <w:tr>
        <w:trPr>
          <w:tblHeader w:val="true"/>
        </w:trPr>
        <w:tc>
          <w:tcPr>
            <w:tcW w:type="dxa" w:w="1800"/>
            <w:vAlign w:val="center"/>
            <w:tcMar>
              <w:top w:w="70" w:type="dxa"/>
              <w:start w:w="85" w:type="dxa"/>
              <w:bottom w:w="70" w:type="dxa"/>
              <w:end w:w="85" w:type="dxa"/>
            </w:tcMar>
            <w:shd w:fill="17365D"/>
          </w:tcPr>
          <w:p>
            <w:pPr>
              <w:spacing w:after="0" w:line="240" w:lineRule="auto"/>
            </w:pPr>
            <w:r/>
            <w:r>
              <w:rPr>
                <w:rFonts w:ascii="Aptos" w:hAnsi="Aptos"/>
                <w:b/>
                <w:color w:val="FFFFFF"/>
                <w:sz w:val="16"/>
              </w:rPr>
              <w:t>Element</w:t>
            </w:r>
          </w:p>
        </w:tc>
        <w:tc>
          <w:tcPr>
            <w:tcW w:type="dxa" w:w="6696"/>
            <w:vAlign w:val="center"/>
            <w:tcMar>
              <w:top w:w="70" w:type="dxa"/>
              <w:start w:w="85" w:type="dxa"/>
              <w:bottom w:w="70" w:type="dxa"/>
              <w:end w:w="85" w:type="dxa"/>
            </w:tcMar>
            <w:shd w:fill="17365D"/>
          </w:tcPr>
          <w:p>
            <w:pPr>
              <w:spacing w:after="0" w:line="240" w:lineRule="auto"/>
            </w:pPr>
            <w:r/>
            <w:r>
              <w:rPr>
                <w:rFonts w:ascii="Aptos" w:hAnsi="Aptos"/>
                <w:b/>
                <w:color w:val="FFFFFF"/>
                <w:sz w:val="16"/>
              </w:rPr>
              <w:t>Extracted term</w:t>
            </w:r>
          </w:p>
        </w:tc>
        <w:tc>
          <w:tcPr>
            <w:tcW w:type="dxa" w:w="2088"/>
            <w:vAlign w:val="center"/>
            <w:tcMar>
              <w:top w:w="70" w:type="dxa"/>
              <w:start w:w="85" w:type="dxa"/>
              <w:bottom w:w="70" w:type="dxa"/>
              <w:end w:w="85" w:type="dxa"/>
            </w:tcMar>
            <w:shd w:fill="17365D"/>
          </w:tcPr>
          <w:p>
            <w:pPr>
              <w:spacing w:after="0" w:line="240" w:lineRule="auto"/>
            </w:pPr>
            <w:r/>
            <w:r>
              <w:rPr>
                <w:rFonts w:ascii="Aptos" w:hAnsi="Aptos"/>
                <w:b/>
                <w:color w:val="FFFFFF"/>
                <w:sz w:val="16"/>
              </w:rPr>
              <w:t>Source</w:t>
            </w:r>
          </w:p>
        </w:tc>
      </w:tr>
      <w:tr>
        <w:trPr>
          <w:cantSplit/>
        </w:trPr>
        <w:tc>
          <w:tcPr>
            <w:tcW w:type="dxa" w:w="1800"/>
            <w:vAlign w:val="center"/>
            <w:tcMar>
              <w:top w:w="70" w:type="dxa"/>
              <w:start w:w="85" w:type="dxa"/>
              <w:bottom w:w="70" w:type="dxa"/>
              <w:end w:w="85" w:type="dxa"/>
            </w:tcMar>
          </w:tcPr>
          <w:p>
            <w:pPr>
              <w:spacing w:after="0" w:line="240" w:lineRule="auto"/>
            </w:pPr>
            <w:r/>
            <w:r>
              <w:rPr>
                <w:rFonts w:ascii="Aptos" w:hAnsi="Aptos"/>
                <w:b w:val="0"/>
                <w:color w:val="202A35"/>
                <w:sz w:val="16"/>
              </w:rPr>
              <w:t>Clients</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6"/>
              </w:rPr>
              <w:t>Pinnacle Industrial Holdings, Inc. and its wholly owned subsidiary Pinnacle Hydraulics Solutions, LLC (PHS). EL calls them collectively “the Clients.”</w:t>
            </w:r>
          </w:p>
        </w:tc>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EL §1; signature blocks</w:t>
            </w:r>
          </w:p>
        </w:tc>
      </w:tr>
      <w:tr>
        <w:trPr>
          <w:cantSplit/>
        </w:trPr>
        <w:tc>
          <w:tcPr>
            <w:tcW w:type="dxa" w:w="1800"/>
            <w:vAlign w:val="center"/>
            <w:tcMar>
              <w:top w:w="70" w:type="dxa"/>
              <w:start w:w="85" w:type="dxa"/>
              <w:bottom w:w="70" w:type="dxa"/>
              <w:end w:w="85" w:type="dxa"/>
            </w:tcMar>
            <w:shd w:fill="F3F6F9"/>
          </w:tcPr>
          <w:p>
            <w:pPr>
              <w:spacing w:after="0" w:line="240" w:lineRule="auto"/>
            </w:pPr>
            <w:r/>
            <w:r>
              <w:rPr>
                <w:rFonts w:ascii="Aptos" w:hAnsi="Aptos"/>
                <w:b w:val="0"/>
                <w:color w:val="202A35"/>
                <w:sz w:val="16"/>
              </w:rPr>
              <w:t>Federal matter</w:t>
            </w:r>
          </w:p>
        </w:tc>
        <w:tc>
          <w:tcPr>
            <w:tcW w:type="dxa" w:w="66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In re HX-9000 Series Hydraulic Press Products Liability Litigation, MDL No. 3:24-md-02987, U.S. District Court for the Northern District of Ohio, Eastern Division, Judge Helen R. Cartwright. MP describes 43 individual and 7 corporate plaintiffs; Lead Plaintiffs’ Steering Committee counsel is Barrow, Henkel &amp; Muñoz LLP. JPML transfer order: Sept. 10, 2024.</w:t>
            </w:r>
          </w:p>
        </w:tc>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EL §1(a); MP §§1–2</w:t>
            </w:r>
          </w:p>
        </w:tc>
      </w:tr>
      <w:tr>
        <w:trPr>
          <w:cantSplit/>
        </w:trPr>
        <w:tc>
          <w:tcPr>
            <w:tcW w:type="dxa" w:w="1800"/>
            <w:vAlign w:val="center"/>
            <w:tcMar>
              <w:top w:w="70" w:type="dxa"/>
              <w:start w:w="85" w:type="dxa"/>
              <w:bottom w:w="70" w:type="dxa"/>
              <w:end w:w="85" w:type="dxa"/>
            </w:tcMar>
          </w:tcPr>
          <w:p>
            <w:pPr>
              <w:spacing w:after="0" w:line="240" w:lineRule="auto"/>
            </w:pPr>
            <w:r/>
            <w:r>
              <w:rPr>
                <w:rFonts w:ascii="Aptos" w:hAnsi="Aptos"/>
                <w:b w:val="0"/>
                <w:color w:val="202A35"/>
                <w:sz w:val="16"/>
              </w:rPr>
              <w:t>State matter</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6"/>
              </w:rPr>
              <w:t>Kovacs, et al. v. Pinnacle Hydraulics Solutions, LLC, et al., Cuyahoga County Court of Common Pleas Case No. CV-24-938471. MP says five individual plaintiffs did not join the MDL; proceeding remains pending and is informally coordinated, not stayed or removed.</w:t>
            </w:r>
          </w:p>
        </w:tc>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EL §1(b); MP §§1, 2.2</w:t>
            </w:r>
          </w:p>
        </w:tc>
      </w:tr>
      <w:tr>
        <w:trPr>
          <w:cantSplit/>
        </w:trPr>
        <w:tc>
          <w:tcPr>
            <w:tcW w:type="dxa" w:w="1800"/>
            <w:vAlign w:val="center"/>
            <w:tcMar>
              <w:top w:w="70" w:type="dxa"/>
              <w:start w:w="85" w:type="dxa"/>
              <w:bottom w:w="70" w:type="dxa"/>
              <w:end w:w="85" w:type="dxa"/>
            </w:tcMar>
            <w:shd w:fill="F3F6F9"/>
          </w:tcPr>
          <w:p>
            <w:pPr>
              <w:spacing w:after="0" w:line="240" w:lineRule="auto"/>
            </w:pPr>
            <w:r/>
            <w:r>
              <w:rPr>
                <w:rFonts w:ascii="Aptos" w:hAnsi="Aptos"/>
                <w:b w:val="0"/>
                <w:color w:val="202A35"/>
                <w:sz w:val="16"/>
              </w:rPr>
              <w:t>Products / incidents</w:t>
            </w:r>
          </w:p>
        </w:tc>
        <w:tc>
          <w:tcPr>
            <w:tcW w:type="dxa" w:w="66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HX-9000 Series hydraulic press systems manufactured by PHS; incidents on Mar. 15, 2024 (Lorain, Ohio) and Jun. 2, 2024 (Gary, Indiana). MP supplies unit serial numbers, sites and incident detail.</w:t>
            </w:r>
          </w:p>
        </w:tc>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EL §1; MP §§1, 2.1; MP-R1 §1</w:t>
            </w:r>
          </w:p>
        </w:tc>
      </w:tr>
      <w:tr>
        <w:trPr>
          <w:cantSplit/>
        </w:trPr>
        <w:tc>
          <w:tcPr>
            <w:tcW w:type="dxa" w:w="1800"/>
            <w:vAlign w:val="center"/>
            <w:tcMar>
              <w:top w:w="70" w:type="dxa"/>
              <w:start w:w="85" w:type="dxa"/>
              <w:bottom w:w="70" w:type="dxa"/>
              <w:end w:w="85" w:type="dxa"/>
            </w:tcMar>
          </w:tcPr>
          <w:p>
            <w:pPr>
              <w:spacing w:after="0" w:line="240" w:lineRule="auto"/>
            </w:pPr>
            <w:r/>
            <w:r>
              <w:rPr>
                <w:rFonts w:ascii="Aptos" w:hAnsi="Aptos"/>
                <w:b w:val="0"/>
                <w:color w:val="202A35"/>
                <w:sz w:val="16"/>
              </w:rPr>
              <w:t>Regulatory matter</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6"/>
              </w:rPr>
              <w:t>CPSC Case No. 25-C-0412, formal investigation opened Mar. 14, 2025, concerning the same incidents. Internal Pinnacle regulatory contact named in MP-R1: Sandra Ellerby, VP of Regulatory Affairs.</w:t>
            </w:r>
          </w:p>
        </w:tc>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MP §2.2; MP-R1 §§1–2</w:t>
            </w:r>
          </w:p>
        </w:tc>
      </w:tr>
      <w:tr>
        <w:trPr>
          <w:cantSplit/>
        </w:trPr>
        <w:tc>
          <w:tcPr>
            <w:tcW w:type="dxa" w:w="1800"/>
            <w:vAlign w:val="center"/>
            <w:tcMar>
              <w:top w:w="70" w:type="dxa"/>
              <w:start w:w="85" w:type="dxa"/>
              <w:bottom w:w="70" w:type="dxa"/>
              <w:end w:w="85" w:type="dxa"/>
            </w:tcMar>
            <w:shd w:fill="F3F6F9"/>
          </w:tcPr>
          <w:p>
            <w:pPr>
              <w:spacing w:after="0" w:line="240" w:lineRule="auto"/>
            </w:pPr>
            <w:r/>
            <w:r>
              <w:rPr>
                <w:rFonts w:ascii="Aptos" w:hAnsi="Aptos"/>
                <w:b w:val="0"/>
                <w:color w:val="202A35"/>
                <w:sz w:val="16"/>
              </w:rPr>
              <w:t>Claims / plaintiff count</w:t>
            </w:r>
          </w:p>
        </w:tc>
        <w:tc>
          <w:tcPr>
            <w:tcW w:type="dxa" w:w="66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Alleged design defect, manufacturing defect, failure to warn and strict products liability. EL states 43 individual and 7 corporate plaintiffs; MP attributes those counts to the federal MDL and separately states five state-court individuals.</w:t>
            </w:r>
          </w:p>
        </w:tc>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EL §1; MP §§1, 2.1–2.2</w:t>
            </w:r>
          </w:p>
        </w:tc>
      </w:tr>
      <w:tr>
        <w:trPr>
          <w:cantSplit/>
        </w:trPr>
        <w:tc>
          <w:tcPr>
            <w:tcW w:type="dxa" w:w="1800"/>
            <w:vAlign w:val="center"/>
            <w:tcMar>
              <w:top w:w="70" w:type="dxa"/>
              <w:start w:w="85" w:type="dxa"/>
              <w:bottom w:w="70" w:type="dxa"/>
              <w:end w:w="85" w:type="dxa"/>
            </w:tcMar>
          </w:tcPr>
          <w:p>
            <w:pPr>
              <w:spacing w:after="0" w:line="240" w:lineRule="auto"/>
            </w:pPr>
            <w:r/>
            <w:r>
              <w:rPr>
                <w:rFonts w:ascii="Aptos" w:hAnsi="Aptos"/>
                <w:b w:val="0"/>
                <w:color w:val="202A35"/>
                <w:sz w:val="16"/>
              </w:rPr>
              <w:t>Term / endpoint</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6"/>
              </w:rPr>
              <w:t>Full defense from Feb. 3, 2025 through and including trial in both proceedings; estimated MDL trial June 1, 2026. WS-1 also expressly includes trial-level post-trial motions; appellate work is excluded.</w:t>
            </w:r>
          </w:p>
        </w:tc>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EL §1; MP §§3.1–3.2, 6; EL §2(EX-2)</w:t>
            </w:r>
          </w:p>
        </w:tc>
      </w:tr>
      <w:tr>
        <w:trPr>
          <w:cantSplit/>
        </w:trPr>
        <w:tc>
          <w:tcPr>
            <w:tcW w:type="dxa" w:w="1800"/>
            <w:vAlign w:val="center"/>
            <w:tcMar>
              <w:top w:w="70" w:type="dxa"/>
              <w:start w:w="85" w:type="dxa"/>
              <w:bottom w:w="70" w:type="dxa"/>
              <w:end w:w="85" w:type="dxa"/>
            </w:tcMar>
            <w:shd w:fill="F3F6F9"/>
          </w:tcPr>
          <w:p>
            <w:pPr>
              <w:spacing w:after="0" w:line="240" w:lineRule="auto"/>
            </w:pPr>
            <w:r/>
            <w:r>
              <w:rPr>
                <w:rFonts w:ascii="Aptos" w:hAnsi="Aptos"/>
                <w:b w:val="0"/>
                <w:color w:val="202A35"/>
                <w:sz w:val="16"/>
              </w:rPr>
              <w:t>Phase 0</w:t>
            </w:r>
          </w:p>
        </w:tc>
        <w:tc>
          <w:tcPr>
            <w:tcW w:type="dxa" w:w="66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Early case assessment under Oct. 1, 2024 preliminary letter; $175,000 cap, delivered Dec. 20, 2024, completed and closed. Fees excluded from the $4.25m aggregate budget.</w:t>
            </w:r>
          </w:p>
        </w:tc>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EL §1, §§3.4, 14; MP §§1, 7</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3F6F9"/>
            <w:tcMar>
              <w:top w:w="100" w:type="dxa"/>
              <w:start w:w="130" w:type="dxa"/>
              <w:bottom w:w="100" w:type="dxa"/>
              <w:end w:w="130" w:type="dxa"/>
            </w:tcMar>
          </w:tcPr>
          <w:p>
            <w:pPr>
              <w:spacing w:after="0" w:line="252" w:lineRule="auto"/>
            </w:pPr>
            <w:r/>
            <w:r>
              <w:rPr>
                <w:b/>
                <w:color w:val="1F4E79"/>
                <w:sz w:val="18"/>
              </w:rPr>
              <w:t xml:space="preserve">POPULATION COUNT TO CONFIRM  </w:t>
            </w:r>
            <w:r>
              <w:rPr>
                <w:color w:val="202A35"/>
                <w:sz w:val="18"/>
              </w:rPr>
              <w:t>MP describes 43 individuals + 7 corporate entities in the MDL and separately identifies five state-court individuals who did not join it. EL’s “litigation involves” 43 + 7 does not specify whether the five state plaintiffs are included. Reconcile the complete plaintiff/claim universe, particularly for settlement authority, success-fee aggregation and forecast assumptions.</w:t>
            </w:r>
          </w:p>
        </w:tc>
      </w:tr>
    </w:tbl>
    <w:p>
      <w:pPr>
        <w:widowControl/>
        <w:spacing w:after="20"/>
      </w:pPr>
    </w:p>
    <w:p>
      <w:pPr>
        <w:pStyle w:val="Heading2"/>
        <w:widowControl/>
      </w:pPr>
      <w:r>
        <w:t>3.2 Authorized work streams (post-Revision 1 structure)</w:t>
      </w:r>
    </w:p>
    <w:p>
      <w:pPr>
        <w:widowControl/>
      </w:pPr>
      <w:r>
        <w:t>MP says the original February 10 plan had WS-1, WS-2, WS-3, WS-5, WS-6 and WS-7; WS-4 was added after the CPSC opened an investigation on March 14, 2025. The following captures the stated work, primary boundary and reported MP allocation. Workbook differences are detailed in Section 4 and Appendix A.</w:t>
      </w:r>
    </w:p>
    <w:tbl>
      <w:tblPr>
        <w:tblW w:type="auto" w:w="0"/>
        <w:jc w:val="center"/>
        <w:tblLayout w:type="fixed"/>
        <w:tblLook w:firstColumn="1" w:firstRow="1" w:lastColumn="0" w:lastRow="0" w:noHBand="0" w:noVBand="1" w:val="04A0"/>
      </w:tblPr>
      <w:tblGrid>
        <w:gridCol w:w="2016"/>
        <w:gridCol w:w="6696"/>
        <w:gridCol w:w="1872"/>
      </w:tblGrid>
      <w:tr>
        <w:trPr>
          <w:tblHeader w:val="true"/>
        </w:trPr>
        <w:tc>
          <w:tcPr>
            <w:tcW w:type="dxa" w:w="2016"/>
            <w:vAlign w:val="center"/>
            <w:tcMar>
              <w:top w:w="70" w:type="dxa"/>
              <w:start w:w="85" w:type="dxa"/>
              <w:bottom w:w="70" w:type="dxa"/>
              <w:end w:w="85" w:type="dxa"/>
            </w:tcMar>
            <w:shd w:fill="17365D"/>
          </w:tcPr>
          <w:p>
            <w:pPr>
              <w:spacing w:after="0" w:line="240" w:lineRule="auto"/>
            </w:pPr>
            <w:r/>
            <w:r>
              <w:rPr>
                <w:rFonts w:ascii="Aptos" w:hAnsi="Aptos"/>
                <w:b/>
                <w:color w:val="FFFFFF"/>
                <w:sz w:val="16"/>
              </w:rPr>
              <w:t>Stream</w:t>
            </w:r>
          </w:p>
        </w:tc>
        <w:tc>
          <w:tcPr>
            <w:tcW w:type="dxa" w:w="6696"/>
            <w:vAlign w:val="center"/>
            <w:tcMar>
              <w:top w:w="70" w:type="dxa"/>
              <w:start w:w="85" w:type="dxa"/>
              <w:bottom w:w="70" w:type="dxa"/>
              <w:end w:w="85" w:type="dxa"/>
            </w:tcMar>
            <w:shd w:fill="17365D"/>
          </w:tcPr>
          <w:p>
            <w:pPr>
              <w:spacing w:after="0" w:line="240" w:lineRule="auto"/>
            </w:pPr>
            <w:r/>
            <w:r>
              <w:rPr>
                <w:rFonts w:ascii="Aptos" w:hAnsi="Aptos"/>
                <w:b/>
                <w:color w:val="FFFFFF"/>
                <w:sz w:val="16"/>
              </w:rPr>
              <w:t>Authorized work / boundary</w:t>
            </w:r>
          </w:p>
        </w:tc>
        <w:tc>
          <w:tcPr>
            <w:tcW w:type="dxa" w:w="1872"/>
            <w:vAlign w:val="center"/>
            <w:tcMar>
              <w:top w:w="70" w:type="dxa"/>
              <w:start w:w="85" w:type="dxa"/>
              <w:bottom w:w="70" w:type="dxa"/>
              <w:end w:w="85" w:type="dxa"/>
            </w:tcMar>
            <w:shd w:fill="17365D"/>
          </w:tcPr>
          <w:p>
            <w:pPr>
              <w:spacing w:after="0" w:line="240" w:lineRule="auto"/>
            </w:pPr>
            <w:r/>
            <w:r>
              <w:rPr>
                <w:rFonts w:ascii="Aptos" w:hAnsi="Aptos"/>
                <w:b/>
                <w:color w:val="FFFFFF"/>
                <w:sz w:val="16"/>
              </w:rPr>
              <w:t>MP fee allocation</w:t>
            </w:r>
          </w:p>
        </w:tc>
      </w:tr>
      <w:tr>
        <w:trPr>
          <w:cantSplit/>
        </w:trPr>
        <w:tc>
          <w:tcPr>
            <w:tcW w:type="dxa" w:w="2016"/>
            <w:vAlign w:val="center"/>
            <w:tcMar>
              <w:top w:w="70" w:type="dxa"/>
              <w:start w:w="85" w:type="dxa"/>
              <w:bottom w:w="70" w:type="dxa"/>
              <w:end w:w="85" w:type="dxa"/>
            </w:tcMar>
          </w:tcPr>
          <w:p>
            <w:pPr>
              <w:spacing w:after="0" w:line="240" w:lineRule="auto"/>
            </w:pPr>
            <w:r/>
            <w:r>
              <w:rPr>
                <w:rFonts w:ascii="Aptos" w:hAnsi="Aptos"/>
                <w:b w:val="0"/>
                <w:color w:val="202A35"/>
                <w:sz w:val="15"/>
              </w:rPr>
              <w:t>WS-1 Federal MDL Defense</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5"/>
              </w:rPr>
              <w:t>Motion practice, written discovery, fact depositions, Daubert challenges, conferences, trial preparation and trial (including trial-level post-trial motions). Limited to the MDL “as currently constituted”; coordinate with other streams.</w:t>
            </w:r>
          </w:p>
        </w:tc>
        <w:tc>
          <w:tcPr>
            <w:tcW w:type="dxa" w:w="1872"/>
            <w:vAlign w:val="center"/>
            <w:tcMar>
              <w:top w:w="70" w:type="dxa"/>
              <w:start w:w="85" w:type="dxa"/>
              <w:bottom w:w="70" w:type="dxa"/>
              <w:end w:w="85" w:type="dxa"/>
            </w:tcMar>
          </w:tcPr>
          <w:p>
            <w:pPr>
              <w:spacing w:after="0" w:line="240" w:lineRule="auto"/>
            </w:pPr>
            <w:r/>
            <w:r>
              <w:rPr>
                <w:rFonts w:ascii="Aptos" w:hAnsi="Aptos"/>
                <w:b w:val="0"/>
                <w:color w:val="202A35"/>
                <w:sz w:val="15"/>
              </w:rPr>
              <w:t xml:space="preserve"> $1,850,000</w:t>
            </w:r>
          </w:p>
        </w:tc>
      </w:tr>
      <w:tr>
        <w:trPr>
          <w:cantSplit/>
        </w:trPr>
        <w:tc>
          <w:tcPr>
            <w:tcW w:type="dxa" w:w="2016"/>
            <w:vAlign w:val="center"/>
            <w:tcMar>
              <w:top w:w="70" w:type="dxa"/>
              <w:start w:w="85" w:type="dxa"/>
              <w:bottom w:w="70" w:type="dxa"/>
              <w:end w:w="85" w:type="dxa"/>
            </w:tcMar>
            <w:shd w:fill="F3F6F9"/>
          </w:tcPr>
          <w:p>
            <w:pPr>
              <w:spacing w:after="0" w:line="240" w:lineRule="auto"/>
            </w:pPr>
            <w:r/>
            <w:r>
              <w:rPr>
                <w:rFonts w:ascii="Aptos" w:hAnsi="Aptos"/>
                <w:b w:val="0"/>
                <w:color w:val="202A35"/>
                <w:sz w:val="15"/>
              </w:rPr>
              <w:t>WS-2 State Court Defense</w:t>
            </w:r>
          </w:p>
        </w:tc>
        <w:tc>
          <w:tcPr>
            <w:tcW w:type="dxa" w:w="6696"/>
            <w:vAlign w:val="center"/>
            <w:tcMar>
              <w:top w:w="70" w:type="dxa"/>
              <w:start w:w="85" w:type="dxa"/>
              <w:bottom w:w="70" w:type="dxa"/>
              <w:end w:w="85" w:type="dxa"/>
            </w:tcMar>
            <w:shd w:fill="F3F6F9"/>
          </w:tcPr>
          <w:p>
            <w:pPr>
              <w:spacing w:after="0" w:line="240" w:lineRule="auto"/>
            </w:pPr>
            <w:r/>
            <w:r>
              <w:rPr>
                <w:rFonts w:ascii="Aptos" w:hAnsi="Aptos"/>
                <w:b w:val="0"/>
                <w:color w:val="202A35"/>
                <w:sz w:val="15"/>
              </w:rPr>
              <w:t>All Cuyahoga-specific motion/discovery/conference/trial work. Overlapping discovery used in both matters is billed to WS-1 to avoid duplication.</w:t>
            </w:r>
          </w:p>
        </w:tc>
        <w:tc>
          <w:tcPr>
            <w:tcW w:type="dxa" w:w="1872"/>
            <w:vAlign w:val="center"/>
            <w:tcMar>
              <w:top w:w="70" w:type="dxa"/>
              <w:start w:w="85" w:type="dxa"/>
              <w:bottom w:w="70" w:type="dxa"/>
              <w:end w:w="85" w:type="dxa"/>
            </w:tcMar>
            <w:shd w:fill="F3F6F9"/>
          </w:tcPr>
          <w:p>
            <w:pPr>
              <w:spacing w:after="0" w:line="240" w:lineRule="auto"/>
            </w:pPr>
            <w:r/>
            <w:r>
              <w:rPr>
                <w:rFonts w:ascii="Aptos" w:hAnsi="Aptos"/>
                <w:b w:val="0"/>
                <w:color w:val="202A35"/>
                <w:sz w:val="15"/>
              </w:rPr>
              <w:t xml:space="preserve"> $475,000</w:t>
            </w:r>
          </w:p>
        </w:tc>
      </w:tr>
      <w:tr>
        <w:trPr>
          <w:cantSplit/>
        </w:trPr>
        <w:tc>
          <w:tcPr>
            <w:tcW w:type="dxa" w:w="2016"/>
            <w:vAlign w:val="center"/>
            <w:tcMar>
              <w:top w:w="70" w:type="dxa"/>
              <w:start w:w="85" w:type="dxa"/>
              <w:bottom w:w="70" w:type="dxa"/>
              <w:end w:w="85" w:type="dxa"/>
            </w:tcMar>
          </w:tcPr>
          <w:p>
            <w:pPr>
              <w:spacing w:after="0" w:line="240" w:lineRule="auto"/>
            </w:pPr>
            <w:r/>
            <w:r>
              <w:rPr>
                <w:rFonts w:ascii="Aptos" w:hAnsi="Aptos"/>
                <w:b w:val="0"/>
                <w:color w:val="202A35"/>
                <w:sz w:val="15"/>
              </w:rPr>
              <w:t>WS-3 Expert Retention &amp; Management</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5"/>
              </w:rPr>
              <w:t>Search, retention, preparation, reports, expert depositions, Daubert support and trial preparation. Named/anticipated experts and individual caps: Yeoh $120k; Nagarajan $185k; Renner $95k; damages expert TBD by Jun. 30, 2025, cap $150k. MP narrative adds $230k rebuttal reserve (GC approval required).</w:t>
            </w:r>
          </w:p>
        </w:tc>
        <w:tc>
          <w:tcPr>
            <w:tcW w:type="dxa" w:w="1872"/>
            <w:vAlign w:val="center"/>
            <w:tcMar>
              <w:top w:w="70" w:type="dxa"/>
              <w:start w:w="85" w:type="dxa"/>
              <w:bottom w:w="70" w:type="dxa"/>
              <w:end w:w="85" w:type="dxa"/>
            </w:tcMar>
          </w:tcPr>
          <w:p>
            <w:pPr>
              <w:spacing w:after="0" w:line="240" w:lineRule="auto"/>
            </w:pPr>
            <w:r/>
            <w:r>
              <w:rPr>
                <w:rFonts w:ascii="Aptos" w:hAnsi="Aptos"/>
                <w:b w:val="0"/>
                <w:color w:val="202A35"/>
                <w:sz w:val="15"/>
              </w:rPr>
              <w:t xml:space="preserve"> $385,000 fees; experts separately budgeted</w:t>
            </w:r>
          </w:p>
        </w:tc>
      </w:tr>
      <w:tr>
        <w:trPr>
          <w:cantSplit/>
        </w:trPr>
        <w:tc>
          <w:tcPr>
            <w:tcW w:type="dxa" w:w="2016"/>
            <w:vAlign w:val="center"/>
            <w:tcMar>
              <w:top w:w="70" w:type="dxa"/>
              <w:start w:w="85" w:type="dxa"/>
              <w:bottom w:w="70" w:type="dxa"/>
              <w:end w:w="85" w:type="dxa"/>
            </w:tcMar>
            <w:shd w:fill="F3F6F9"/>
          </w:tcPr>
          <w:p>
            <w:pPr>
              <w:spacing w:after="0" w:line="240" w:lineRule="auto"/>
            </w:pPr>
            <w:r/>
            <w:r>
              <w:rPr>
                <w:rFonts w:ascii="Aptos" w:hAnsi="Aptos"/>
                <w:b w:val="0"/>
                <w:color w:val="202A35"/>
                <w:sz w:val="15"/>
              </w:rPr>
              <w:t>WS-4 Regulatory Response / CPSC</w:t>
            </w:r>
          </w:p>
        </w:tc>
        <w:tc>
          <w:tcPr>
            <w:tcW w:type="dxa" w:w="6696"/>
            <w:vAlign w:val="center"/>
            <w:tcMar>
              <w:top w:w="70" w:type="dxa"/>
              <w:start w:w="85" w:type="dxa"/>
              <w:bottom w:w="70" w:type="dxa"/>
              <w:end w:w="85" w:type="dxa"/>
            </w:tcMar>
            <w:shd w:fill="F3F6F9"/>
          </w:tcPr>
          <w:p>
            <w:pPr>
              <w:spacing w:after="0" w:line="240" w:lineRule="auto"/>
            </w:pPr>
            <w:r/>
            <w:r>
              <w:rPr>
                <w:rFonts w:ascii="Aptos" w:hAnsi="Aptos"/>
                <w:b w:val="0"/>
                <w:color w:val="202A35"/>
                <w:sz w:val="15"/>
              </w:rPr>
              <w:t>Added by MP-R1 for CPSC Case No. 25-C-0412. W&amp;C coordinating counsel only; Meridian Compliance Law Group LLP is primary regulatory counsel. Includes coordination with Sandra Ellerby’s regulatory team; CPSC demands; CPSC-specific collection/production and privilege workflow; VCAP preparation/review/support; meetings; strategy alignment. Elaine Marchetti leads, Voss provides limited oversight, and up to one junior associate plus Oduya may support. Routine submission review by DGC: 3 business days; VCAP: 5 business days. No recall advice, lobbying, or direct CPSC advocacy/representation by W&amp;C.</w:t>
            </w:r>
          </w:p>
        </w:tc>
        <w:tc>
          <w:tcPr>
            <w:tcW w:type="dxa" w:w="1872"/>
            <w:vAlign w:val="center"/>
            <w:tcMar>
              <w:top w:w="70" w:type="dxa"/>
              <w:start w:w="85" w:type="dxa"/>
              <w:bottom w:w="70" w:type="dxa"/>
              <w:end w:w="85" w:type="dxa"/>
            </w:tcMar>
            <w:shd w:fill="F3F6F9"/>
          </w:tcPr>
          <w:p>
            <w:pPr>
              <w:spacing w:after="0" w:line="240" w:lineRule="auto"/>
            </w:pPr>
            <w:r/>
            <w:r>
              <w:rPr>
                <w:rFonts w:ascii="Aptos" w:hAnsi="Aptos"/>
                <w:b w:val="0"/>
                <w:color w:val="202A35"/>
                <w:sz w:val="15"/>
              </w:rPr>
              <w:t xml:space="preserve"> $320,000 (line estimates: $120k document/privilege; $80k Meridian coordination; $70k VCAP support; $50k meetings)</w:t>
            </w:r>
          </w:p>
        </w:tc>
      </w:tr>
      <w:tr>
        <w:trPr>
          <w:cantSplit/>
        </w:trPr>
        <w:tc>
          <w:tcPr>
            <w:tcW w:type="dxa" w:w="2016"/>
            <w:vAlign w:val="center"/>
            <w:tcMar>
              <w:top w:w="70" w:type="dxa"/>
              <w:start w:w="85" w:type="dxa"/>
              <w:bottom w:w="70" w:type="dxa"/>
              <w:end w:w="85" w:type="dxa"/>
            </w:tcMar>
          </w:tcPr>
          <w:p>
            <w:pPr>
              <w:spacing w:after="0" w:line="240" w:lineRule="auto"/>
            </w:pPr>
            <w:r/>
            <w:r>
              <w:rPr>
                <w:rFonts w:ascii="Aptos" w:hAnsi="Aptos"/>
                <w:b w:val="0"/>
                <w:color w:val="202A35"/>
                <w:sz w:val="15"/>
              </w:rPr>
              <w:t>WS-5 Insurance Coverage Coordination</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5"/>
              </w:rPr>
              <w:t>Liaison with Graystone Risk Advisors (Simone Archer, SVP Claims); Fortitude Casualty &amp; Surety Co. primary CGL, Policy CGL-FCS-2024-07891 ($5m per occurrence / $10m aggregate); Ridgeline Excess Insurance Company, Policy XS-RID-2024-33045 ($15m follow-form excess). Review/respond to reservations and coordinate reporting. MP excludes coverage litigation/arbitration and opinions on policy enforceability; EL limits direct carrier communications.</w:t>
            </w:r>
          </w:p>
        </w:tc>
        <w:tc>
          <w:tcPr>
            <w:tcW w:type="dxa" w:w="1872"/>
            <w:vAlign w:val="center"/>
            <w:tcMar>
              <w:top w:w="70" w:type="dxa"/>
              <w:start w:w="85" w:type="dxa"/>
              <w:bottom w:w="70" w:type="dxa"/>
              <w:end w:w="85" w:type="dxa"/>
            </w:tcMar>
          </w:tcPr>
          <w:p>
            <w:pPr>
              <w:spacing w:after="0" w:line="240" w:lineRule="auto"/>
            </w:pPr>
            <w:r/>
            <w:r>
              <w:rPr>
                <w:rFonts w:ascii="Aptos" w:hAnsi="Aptos"/>
                <w:b w:val="0"/>
                <w:color w:val="202A35"/>
                <w:sz w:val="15"/>
              </w:rPr>
              <w:t xml:space="preserve"> $95,000</w:t>
            </w:r>
          </w:p>
        </w:tc>
      </w:tr>
      <w:tr>
        <w:trPr>
          <w:cantSplit/>
        </w:trPr>
        <w:tc>
          <w:tcPr>
            <w:tcW w:type="dxa" w:w="2016"/>
            <w:vAlign w:val="center"/>
            <w:tcMar>
              <w:top w:w="70" w:type="dxa"/>
              <w:start w:w="85" w:type="dxa"/>
              <w:bottom w:w="70" w:type="dxa"/>
              <w:end w:w="85" w:type="dxa"/>
            </w:tcMar>
            <w:shd w:fill="F3F6F9"/>
          </w:tcPr>
          <w:p>
            <w:pPr>
              <w:spacing w:after="0" w:line="240" w:lineRule="auto"/>
            </w:pPr>
            <w:r/>
            <w:r>
              <w:rPr>
                <w:rFonts w:ascii="Aptos" w:hAnsi="Aptos"/>
                <w:b w:val="0"/>
                <w:color w:val="202A35"/>
                <w:sz w:val="15"/>
              </w:rPr>
              <w:t>WS-6 Document Review &amp; E-Discovery</w:t>
            </w:r>
          </w:p>
        </w:tc>
        <w:tc>
          <w:tcPr>
            <w:tcW w:type="dxa" w:w="6696"/>
            <w:vAlign w:val="center"/>
            <w:tcMar>
              <w:top w:w="70" w:type="dxa"/>
              <w:start w:w="85" w:type="dxa"/>
              <w:bottom w:w="70" w:type="dxa"/>
              <w:end w:w="85" w:type="dxa"/>
            </w:tcMar>
            <w:shd w:fill="F3F6F9"/>
          </w:tcPr>
          <w:p>
            <w:pPr>
              <w:spacing w:after="0" w:line="240" w:lineRule="auto"/>
            </w:pPr>
            <w:r/>
            <w:r>
              <w:rPr>
                <w:rFonts w:ascii="Aptos" w:hAnsi="Aptos"/>
                <w:b w:val="0"/>
                <w:color w:val="202A35"/>
                <w:sz w:val="15"/>
              </w:rPr>
              <w:t>Collection, processing, hosting, review, privilege/QC and production for both proceedings, coordinated with Precept Analytics, Inc. Up to 15 reviewers; each review wave requires advance DGC approval; reviewers $55/hour and supervised by junior associate. No alternate vendor without written DGC approval.</w:t>
            </w:r>
          </w:p>
        </w:tc>
        <w:tc>
          <w:tcPr>
            <w:tcW w:type="dxa" w:w="1872"/>
            <w:vAlign w:val="center"/>
            <w:tcMar>
              <w:top w:w="70" w:type="dxa"/>
              <w:start w:w="85" w:type="dxa"/>
              <w:bottom w:w="70" w:type="dxa"/>
              <w:end w:w="85" w:type="dxa"/>
            </w:tcMar>
            <w:shd w:fill="F3F6F9"/>
          </w:tcPr>
          <w:p>
            <w:pPr>
              <w:spacing w:after="0" w:line="240" w:lineRule="auto"/>
            </w:pPr>
            <w:r/>
            <w:r>
              <w:rPr>
                <w:rFonts w:ascii="Aptos" w:hAnsi="Aptos"/>
                <w:b w:val="0"/>
                <w:color w:val="202A35"/>
                <w:sz w:val="15"/>
              </w:rPr>
              <w:t xml:space="preserve"> $420,000 W&amp;C professional-fee sub-budget; reviewer/vendor costs separately described</w:t>
            </w:r>
          </w:p>
        </w:tc>
      </w:tr>
      <w:tr>
        <w:trPr>
          <w:cantSplit/>
        </w:trPr>
        <w:tc>
          <w:tcPr>
            <w:tcW w:type="dxa" w:w="2016"/>
            <w:vAlign w:val="center"/>
            <w:tcMar>
              <w:top w:w="70" w:type="dxa"/>
              <w:start w:w="85" w:type="dxa"/>
              <w:bottom w:w="70" w:type="dxa"/>
              <w:end w:w="85" w:type="dxa"/>
            </w:tcMar>
          </w:tcPr>
          <w:p>
            <w:pPr>
              <w:spacing w:after="0" w:line="240" w:lineRule="auto"/>
            </w:pPr>
            <w:r/>
            <w:r>
              <w:rPr>
                <w:rFonts w:ascii="Aptos" w:hAnsi="Aptos"/>
                <w:b w:val="0"/>
                <w:color w:val="202A35"/>
                <w:sz w:val="15"/>
              </w:rPr>
              <w:t>WS-7 Settlement Strategy &amp; Mediation</w:t>
            </w:r>
          </w:p>
        </w:tc>
        <w:tc>
          <w:tcPr>
            <w:tcW w:type="dxa" w:w="6696"/>
            <w:vAlign w:val="center"/>
            <w:tcMar>
              <w:top w:w="70" w:type="dxa"/>
              <w:start w:w="85" w:type="dxa"/>
              <w:bottom w:w="70" w:type="dxa"/>
              <w:end w:w="85" w:type="dxa"/>
            </w:tcMar>
          </w:tcPr>
          <w:p>
            <w:pPr>
              <w:spacing w:after="0" w:line="240" w:lineRule="auto"/>
            </w:pPr>
            <w:r/>
            <w:r>
              <w:rPr>
                <w:rFonts w:ascii="Aptos" w:hAnsi="Aptos"/>
                <w:b w:val="0"/>
                <w:color w:val="202A35"/>
                <w:sz w:val="15"/>
              </w:rPr>
              <w:t>Plaintiff-by-plaintiff valuation, leverage assessment, mediation briefs/presentations, mediation advocacy and post-session recommendations. Mediator jointly approved by GC and Lead Trial Partner; pre-approved: Ret. Judge Carolyn Fitzsimmons (Cleveland), Anthony Delmonico (Chicago), Marissa Tran (Cincinnati).</w:t>
            </w:r>
          </w:p>
        </w:tc>
        <w:tc>
          <w:tcPr>
            <w:tcW w:type="dxa" w:w="1872"/>
            <w:vAlign w:val="center"/>
            <w:tcMar>
              <w:top w:w="70" w:type="dxa"/>
              <w:start w:w="85" w:type="dxa"/>
              <w:bottom w:w="70" w:type="dxa"/>
              <w:end w:w="85" w:type="dxa"/>
            </w:tcMar>
          </w:tcPr>
          <w:p>
            <w:pPr>
              <w:spacing w:after="0" w:line="240" w:lineRule="auto"/>
            </w:pPr>
            <w:r/>
            <w:r>
              <w:rPr>
                <w:rFonts w:ascii="Aptos" w:hAnsi="Aptos"/>
                <w:b w:val="0"/>
                <w:color w:val="202A35"/>
                <w:sz w:val="15"/>
              </w:rPr>
              <w:t xml:space="preserve"> $345,000</w:t>
            </w:r>
          </w:p>
        </w:tc>
      </w:tr>
    </w:tbl>
    <w:p>
      <w:pPr>
        <w:widowControl/>
        <w:spacing w:after="20"/>
      </w:pPr>
    </w:p>
    <w:p>
      <w:pPr>
        <w:pStyle w:val="SmallNote"/>
        <w:widowControl/>
      </w:pPr>
      <w:r>
        <w:t>MP fee allocations above total $3.89m before its stated $360,000 unallocated contingency, for a $4.25m total. MP-R1 says WS-4 was funded within, not added to, the existing aggregate budget.</w:t>
      </w:r>
    </w:p>
    <w:p>
      <w:pPr>
        <w:pStyle w:val="Heading2"/>
        <w:widowControl/>
      </w:pPr>
      <w:r>
        <w:t>3.3 Express exclusions and adjacent boundaries</w:t>
      </w:r>
    </w:p>
    <w:tbl>
      <w:tblPr>
        <w:tblW w:type="auto" w:w="0"/>
        <w:jc w:val="center"/>
        <w:tblLayout w:type="fixed"/>
        <w:tblLook w:firstColumn="1" w:firstRow="1" w:lastColumn="0" w:lastRow="0" w:noHBand="0" w:noVBand="1" w:val="04A0"/>
      </w:tblPr>
      <w:tblGrid>
        <w:gridCol w:w="2088"/>
        <w:gridCol w:w="6912"/>
        <w:gridCol w:w="1584"/>
      </w:tblGrid>
      <w:tr>
        <w:trPr>
          <w:tblHeader w:val="true"/>
        </w:trPr>
        <w:tc>
          <w:tcPr>
            <w:tcW w:type="dxa" w:w="2088"/>
            <w:vAlign w:val="center"/>
            <w:tcMar>
              <w:top w:w="70" w:type="dxa"/>
              <w:start w:w="85" w:type="dxa"/>
              <w:bottom w:w="70" w:type="dxa"/>
              <w:end w:w="85" w:type="dxa"/>
            </w:tcMar>
            <w:shd w:fill="17365D"/>
          </w:tcPr>
          <w:p>
            <w:pPr>
              <w:spacing w:after="0" w:line="240" w:lineRule="auto"/>
            </w:pPr>
            <w:r/>
            <w:r>
              <w:rPr>
                <w:rFonts w:ascii="Aptos" w:hAnsi="Aptos"/>
                <w:b/>
                <w:color w:val="FFFFFF"/>
                <w:sz w:val="16"/>
              </w:rPr>
              <w:t>Exclusion / boundary</w:t>
            </w:r>
          </w:p>
        </w:tc>
        <w:tc>
          <w:tcPr>
            <w:tcW w:type="dxa" w:w="6912"/>
            <w:vAlign w:val="center"/>
            <w:tcMar>
              <w:top w:w="70" w:type="dxa"/>
              <w:start w:w="85" w:type="dxa"/>
              <w:bottom w:w="70" w:type="dxa"/>
              <w:end w:w="85" w:type="dxa"/>
            </w:tcMar>
            <w:shd w:fill="17365D"/>
          </w:tcPr>
          <w:p>
            <w:pPr>
              <w:spacing w:after="0" w:line="240" w:lineRule="auto"/>
            </w:pPr>
            <w:r/>
            <w:r>
              <w:rPr>
                <w:rFonts w:ascii="Aptos" w:hAnsi="Aptos"/>
                <w:b/>
                <w:color w:val="FFFFFF"/>
                <w:sz w:val="16"/>
              </w:rPr>
              <w:t>Extracted restriction</w:t>
            </w:r>
          </w:p>
        </w:tc>
        <w:tc>
          <w:tcPr>
            <w:tcW w:type="dxa" w:w="1584"/>
            <w:vAlign w:val="center"/>
            <w:tcMar>
              <w:top w:w="70" w:type="dxa"/>
              <w:start w:w="85" w:type="dxa"/>
              <w:bottom w:w="70" w:type="dxa"/>
              <w:end w:w="85" w:type="dxa"/>
            </w:tcMar>
            <w:shd w:fill="17365D"/>
          </w:tcPr>
          <w:p>
            <w:pPr>
              <w:spacing w:after="0" w:line="240" w:lineRule="auto"/>
            </w:pPr>
            <w:r/>
            <w:r>
              <w:rPr>
                <w:rFonts w:ascii="Aptos" w:hAnsi="Aptos"/>
                <w:b/>
                <w:color w:val="FFFFFF"/>
                <w:sz w:val="16"/>
              </w:rPr>
              <w:t>Source</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5"/>
              </w:rPr>
              <w:t>EX-1 Class actions</w:t>
            </w:r>
          </w:p>
        </w:tc>
        <w:tc>
          <w:tcPr>
            <w:tcW w:type="dxa" w:w="6912"/>
            <w:vAlign w:val="center"/>
            <w:tcMar>
              <w:top w:w="70" w:type="dxa"/>
              <w:start w:w="85" w:type="dxa"/>
              <w:bottom w:w="70" w:type="dxa"/>
              <w:end w:w="85" w:type="dxa"/>
            </w:tcMar>
          </w:tcPr>
          <w:p>
            <w:pPr>
              <w:spacing w:after="0" w:line="240" w:lineRule="auto"/>
            </w:pPr>
            <w:r/>
            <w:r>
              <w:rPr>
                <w:rFonts w:ascii="Aptos" w:hAnsi="Aptos"/>
                <w:b w:val="0"/>
                <w:color w:val="202A35"/>
                <w:sz w:val="15"/>
              </w:rPr>
              <w:t>No representation in putative or certified class proceedings, whether part of the MDL or separate; notify GC and negotiate separate scope if class certification is sought or complaint filed.</w:t>
            </w:r>
          </w:p>
        </w:tc>
        <w:tc>
          <w:tcPr>
            <w:tcW w:type="dxa" w:w="1584"/>
            <w:vAlign w:val="center"/>
            <w:tcMar>
              <w:top w:w="70" w:type="dxa"/>
              <w:start w:w="85" w:type="dxa"/>
              <w:bottom w:w="70" w:type="dxa"/>
              <w:end w:w="85" w:type="dxa"/>
            </w:tcMar>
          </w:tcPr>
          <w:p>
            <w:pPr>
              <w:spacing w:after="0" w:line="240" w:lineRule="auto"/>
            </w:pPr>
            <w:r/>
            <w:r>
              <w:rPr>
                <w:rFonts w:ascii="Aptos" w:hAnsi="Aptos"/>
                <w:b w:val="0"/>
                <w:color w:val="202A35"/>
                <w:sz w:val="15"/>
              </w:rPr>
              <w:t>EL §2; MP §4.1</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5"/>
              </w:rPr>
              <w:t>EX-2 Appellate work</w:t>
            </w:r>
          </w:p>
        </w:tc>
        <w:tc>
          <w:tcPr>
            <w:tcW w:type="dxa" w:w="6912"/>
            <w:vAlign w:val="center"/>
            <w:tcMar>
              <w:top w:w="70" w:type="dxa"/>
              <w:start w:w="85" w:type="dxa"/>
              <w:bottom w:w="70" w:type="dxa"/>
              <w:end w:w="85" w:type="dxa"/>
            </w:tcMar>
            <w:shd w:fill="F3F6F9"/>
          </w:tcPr>
          <w:p>
            <w:pPr>
              <w:spacing w:after="0" w:line="240" w:lineRule="auto"/>
            </w:pPr>
            <w:r/>
            <w:r>
              <w:rPr>
                <w:rFonts w:ascii="Aptos" w:hAnsi="Aptos"/>
                <w:b w:val="0"/>
                <w:color w:val="202A35"/>
                <w:sz w:val="15"/>
              </w:rPr>
              <w:t>No appellate proceedings beyond trial level, including notices of appeal, appellate briefs, rehearing/certiorari; MP expressly includes interlocutory appeals and mandamus/prohibition.</w:t>
            </w:r>
          </w:p>
        </w:tc>
        <w:tc>
          <w:tcPr>
            <w:tcW w:type="dxa" w:w="1584"/>
            <w:vAlign w:val="center"/>
            <w:tcMar>
              <w:top w:w="70" w:type="dxa"/>
              <w:start w:w="85" w:type="dxa"/>
              <w:bottom w:w="70" w:type="dxa"/>
              <w:end w:w="85" w:type="dxa"/>
            </w:tcMar>
            <w:shd w:fill="F3F6F9"/>
          </w:tcPr>
          <w:p>
            <w:pPr>
              <w:spacing w:after="0" w:line="240" w:lineRule="auto"/>
            </w:pPr>
            <w:r/>
            <w:r>
              <w:rPr>
                <w:rFonts w:ascii="Aptos" w:hAnsi="Aptos"/>
                <w:b w:val="0"/>
                <w:color w:val="202A35"/>
                <w:sz w:val="15"/>
              </w:rPr>
              <w:t>EL §2; MP §4.2</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5"/>
              </w:rPr>
              <w:t>EX-3 Affirmative claims</w:t>
            </w:r>
          </w:p>
        </w:tc>
        <w:tc>
          <w:tcPr>
            <w:tcW w:type="dxa" w:w="6912"/>
            <w:vAlign w:val="center"/>
            <w:tcMar>
              <w:top w:w="70" w:type="dxa"/>
              <w:start w:w="85" w:type="dxa"/>
              <w:bottom w:w="70" w:type="dxa"/>
              <w:end w:w="85" w:type="dxa"/>
            </w:tcMar>
          </w:tcPr>
          <w:p>
            <w:pPr>
              <w:spacing w:after="0" w:line="240" w:lineRule="auto"/>
            </w:pPr>
            <w:r/>
            <w:r>
              <w:rPr>
                <w:rFonts w:ascii="Aptos" w:hAnsi="Aptos"/>
                <w:b w:val="0"/>
                <w:color w:val="202A35"/>
                <w:sz w:val="15"/>
              </w:rPr>
              <w:t>No investigation/preparation/prosecution of affirmative claims, counterclaims, cross-claims or third-party claims against plaintiffs, co-defendants or others. MP examples include contribution, indemnity, subrogation and supplier claims.</w:t>
            </w:r>
          </w:p>
        </w:tc>
        <w:tc>
          <w:tcPr>
            <w:tcW w:type="dxa" w:w="1584"/>
            <w:vAlign w:val="center"/>
            <w:tcMar>
              <w:top w:w="70" w:type="dxa"/>
              <w:start w:w="85" w:type="dxa"/>
              <w:bottom w:w="70" w:type="dxa"/>
              <w:end w:w="85" w:type="dxa"/>
            </w:tcMar>
          </w:tcPr>
          <w:p>
            <w:pPr>
              <w:spacing w:after="0" w:line="240" w:lineRule="auto"/>
            </w:pPr>
            <w:r/>
            <w:r>
              <w:rPr>
                <w:rFonts w:ascii="Aptos" w:hAnsi="Aptos"/>
                <w:b w:val="0"/>
                <w:color w:val="202A35"/>
                <w:sz w:val="15"/>
              </w:rPr>
              <w:t>EL §2; MP §4.3</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5"/>
              </w:rPr>
              <w:t>EX-4 Recall advice</w:t>
            </w:r>
          </w:p>
        </w:tc>
        <w:tc>
          <w:tcPr>
            <w:tcW w:type="dxa" w:w="6912"/>
            <w:vAlign w:val="center"/>
            <w:tcMar>
              <w:top w:w="70" w:type="dxa"/>
              <w:start w:w="85" w:type="dxa"/>
              <w:bottom w:w="70" w:type="dxa"/>
              <w:end w:w="85" w:type="dxa"/>
            </w:tcMar>
            <w:shd w:fill="F3F6F9"/>
          </w:tcPr>
          <w:p>
            <w:pPr>
              <w:spacing w:after="0" w:line="240" w:lineRule="auto"/>
            </w:pPr>
            <w:r/>
            <w:r>
              <w:rPr>
                <w:rFonts w:ascii="Aptos" w:hAnsi="Aptos"/>
                <w:b w:val="0"/>
                <w:color w:val="202A35"/>
                <w:sz w:val="15"/>
              </w:rPr>
              <w:t>No recall advice for HX-9000 or other PHS/Pinnacle products; handled by in-house team / Meridian.</w:t>
            </w:r>
          </w:p>
        </w:tc>
        <w:tc>
          <w:tcPr>
            <w:tcW w:type="dxa" w:w="1584"/>
            <w:vAlign w:val="center"/>
            <w:tcMar>
              <w:top w:w="70" w:type="dxa"/>
              <w:start w:w="85" w:type="dxa"/>
              <w:bottom w:w="70" w:type="dxa"/>
              <w:end w:w="85" w:type="dxa"/>
            </w:tcMar>
            <w:shd w:fill="F3F6F9"/>
          </w:tcPr>
          <w:p>
            <w:pPr>
              <w:spacing w:after="0" w:line="240" w:lineRule="auto"/>
            </w:pPr>
            <w:r/>
            <w:r>
              <w:rPr>
                <w:rFonts w:ascii="Aptos" w:hAnsi="Aptos"/>
                <w:b w:val="0"/>
                <w:color w:val="202A35"/>
                <w:sz w:val="15"/>
              </w:rPr>
              <w:t>EL §2; MP §4.4; MP-R1 §2.1</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5"/>
              </w:rPr>
              <w:t>EX-5 Lobbying / advocacy</w:t>
            </w:r>
          </w:p>
        </w:tc>
        <w:tc>
          <w:tcPr>
            <w:tcW w:type="dxa" w:w="6912"/>
            <w:vAlign w:val="center"/>
            <w:tcMar>
              <w:top w:w="70" w:type="dxa"/>
              <w:start w:w="85" w:type="dxa"/>
              <w:bottom w:w="70" w:type="dxa"/>
              <w:end w:w="85" w:type="dxa"/>
            </w:tcMar>
          </w:tcPr>
          <w:p>
            <w:pPr>
              <w:spacing w:after="0" w:line="240" w:lineRule="auto"/>
            </w:pPr>
            <w:r/>
            <w:r>
              <w:rPr>
                <w:rFonts w:ascii="Aptos" w:hAnsi="Aptos"/>
                <w:b w:val="0"/>
                <w:color w:val="202A35"/>
                <w:sz w:val="15"/>
              </w:rPr>
              <w:t>No lobbying, legislative advocacy or rulemaking participation; MP expressly includes OSHA/CPSC and similar matters.</w:t>
            </w:r>
          </w:p>
        </w:tc>
        <w:tc>
          <w:tcPr>
            <w:tcW w:type="dxa" w:w="1584"/>
            <w:vAlign w:val="center"/>
            <w:tcMar>
              <w:top w:w="70" w:type="dxa"/>
              <w:start w:w="85" w:type="dxa"/>
              <w:bottom w:w="70" w:type="dxa"/>
              <w:end w:w="85" w:type="dxa"/>
            </w:tcMar>
          </w:tcPr>
          <w:p>
            <w:pPr>
              <w:spacing w:after="0" w:line="240" w:lineRule="auto"/>
            </w:pPr>
            <w:r/>
            <w:r>
              <w:rPr>
                <w:rFonts w:ascii="Aptos" w:hAnsi="Aptos"/>
                <w:b w:val="0"/>
                <w:color w:val="202A35"/>
                <w:sz w:val="15"/>
              </w:rPr>
              <w:t>EL §2; MP §4.5; MP-R1 §2.1</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5"/>
              </w:rPr>
              <w:t>EX-6 Non-HX-9000 claims</w:t>
            </w:r>
          </w:p>
        </w:tc>
        <w:tc>
          <w:tcPr>
            <w:tcW w:type="dxa" w:w="6912"/>
            <w:vAlign w:val="center"/>
            <w:tcMar>
              <w:top w:w="70" w:type="dxa"/>
              <w:start w:w="85" w:type="dxa"/>
              <w:bottom w:w="70" w:type="dxa"/>
              <w:end w:w="85" w:type="dxa"/>
            </w:tcMar>
            <w:shd w:fill="F3F6F9"/>
          </w:tcPr>
          <w:p>
            <w:pPr>
              <w:spacing w:after="0" w:line="240" w:lineRule="auto"/>
            </w:pPr>
            <w:r/>
            <w:r>
              <w:rPr>
                <w:rFonts w:ascii="Aptos" w:hAnsi="Aptos"/>
                <w:b w:val="0"/>
                <w:color w:val="202A35"/>
                <w:sz w:val="15"/>
              </w:rPr>
              <w:t>Claims involving other hydraulic-press models excluded unless they enter proceedings covered by the EL (including MDL consolidation). MP adds that consolidation alone is not affirmative authority: review and an executed scope amendment are required first.</w:t>
            </w:r>
          </w:p>
        </w:tc>
        <w:tc>
          <w:tcPr>
            <w:tcW w:type="dxa" w:w="1584"/>
            <w:vAlign w:val="center"/>
            <w:tcMar>
              <w:top w:w="70" w:type="dxa"/>
              <w:start w:w="85" w:type="dxa"/>
              <w:bottom w:w="70" w:type="dxa"/>
              <w:end w:w="85" w:type="dxa"/>
            </w:tcMar>
            <w:shd w:fill="F3F6F9"/>
          </w:tcPr>
          <w:p>
            <w:pPr>
              <w:spacing w:after="0" w:line="240" w:lineRule="auto"/>
            </w:pPr>
            <w:r/>
            <w:r>
              <w:rPr>
                <w:rFonts w:ascii="Aptos" w:hAnsi="Aptos"/>
                <w:b w:val="0"/>
                <w:color w:val="202A35"/>
                <w:sz w:val="15"/>
              </w:rPr>
              <w:t>EL §2; MP §3.1 key limitation, §4.6</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5"/>
              </w:rPr>
              <w:t>Coverage litigation</w:t>
            </w:r>
          </w:p>
        </w:tc>
        <w:tc>
          <w:tcPr>
            <w:tcW w:type="dxa" w:w="6912"/>
            <w:vAlign w:val="center"/>
            <w:tcMar>
              <w:top w:w="70" w:type="dxa"/>
              <w:start w:w="85" w:type="dxa"/>
              <w:bottom w:w="70" w:type="dxa"/>
              <w:end w:w="85" w:type="dxa"/>
            </w:tcMar>
          </w:tcPr>
          <w:p>
            <w:pPr>
              <w:spacing w:after="0" w:line="240" w:lineRule="auto"/>
            </w:pPr>
            <w:r/>
            <w:r>
              <w:rPr>
                <w:rFonts w:ascii="Aptos" w:hAnsi="Aptos"/>
                <w:b w:val="0"/>
                <w:color w:val="202A35"/>
                <w:sz w:val="15"/>
              </w:rPr>
              <w:t>WS-5 does not include a coverage action, litigation/arbitration challenge to a reservation, or legal opinion on enforceability of policy terms; separate engagement/budget required.</w:t>
            </w:r>
          </w:p>
        </w:tc>
        <w:tc>
          <w:tcPr>
            <w:tcW w:type="dxa" w:w="1584"/>
            <w:vAlign w:val="center"/>
            <w:tcMar>
              <w:top w:w="70" w:type="dxa"/>
              <w:start w:w="85" w:type="dxa"/>
              <w:bottom w:w="70" w:type="dxa"/>
              <w:end w:w="85" w:type="dxa"/>
            </w:tcMar>
          </w:tcPr>
          <w:p>
            <w:pPr>
              <w:spacing w:after="0" w:line="240" w:lineRule="auto"/>
            </w:pPr>
            <w:r/>
            <w:r>
              <w:rPr>
                <w:rFonts w:ascii="Aptos" w:hAnsi="Aptos"/>
                <w:b w:val="0"/>
                <w:color w:val="202A35"/>
                <w:sz w:val="15"/>
              </w:rPr>
              <w:t>MP §3.5</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5"/>
              </w:rPr>
              <w:t>CPSC direct advocacy</w:t>
            </w:r>
          </w:p>
        </w:tc>
        <w:tc>
          <w:tcPr>
            <w:tcW w:type="dxa" w:w="6912"/>
            <w:vAlign w:val="center"/>
            <w:tcMar>
              <w:top w:w="70" w:type="dxa"/>
              <w:start w:w="85" w:type="dxa"/>
              <w:bottom w:w="70" w:type="dxa"/>
              <w:end w:w="85" w:type="dxa"/>
            </w:tcMar>
            <w:shd w:fill="F3F6F9"/>
          </w:tcPr>
          <w:p>
            <w:pPr>
              <w:spacing w:after="0" w:line="240" w:lineRule="auto"/>
            </w:pPr>
            <w:r/>
            <w:r>
              <w:rPr>
                <w:rFonts w:ascii="Aptos" w:hAnsi="Aptos"/>
                <w:b w:val="0"/>
                <w:color w:val="202A35"/>
                <w:sz w:val="15"/>
              </w:rPr>
              <w:t>Meridian, not W&amp;C, is counsel of record/advocacy counsel before CPSC. W&amp;C may not communicate directly with CPSC absent Meridian authorization or DGC direction.</w:t>
            </w:r>
          </w:p>
        </w:tc>
        <w:tc>
          <w:tcPr>
            <w:tcW w:type="dxa" w:w="1584"/>
            <w:vAlign w:val="center"/>
            <w:tcMar>
              <w:top w:w="70" w:type="dxa"/>
              <w:start w:w="85" w:type="dxa"/>
              <w:bottom w:w="70" w:type="dxa"/>
              <w:end w:w="85" w:type="dxa"/>
            </w:tcMar>
            <w:shd w:fill="F3F6F9"/>
          </w:tcPr>
          <w:p>
            <w:pPr>
              <w:spacing w:after="0" w:line="240" w:lineRule="auto"/>
            </w:pPr>
            <w:r/>
            <w:r>
              <w:rPr>
                <w:rFonts w:ascii="Aptos" w:hAnsi="Aptos"/>
                <w:b w:val="0"/>
                <w:color w:val="202A35"/>
                <w:sz w:val="15"/>
              </w:rPr>
              <w:t>MP-R1 §§2.1, 5</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5"/>
              </w:rPr>
              <w:t>Conflicts boundary</w:t>
            </w:r>
          </w:p>
        </w:tc>
        <w:tc>
          <w:tcPr>
            <w:tcW w:type="dxa" w:w="6912"/>
            <w:vAlign w:val="center"/>
            <w:tcMar>
              <w:top w:w="70" w:type="dxa"/>
              <w:start w:w="85" w:type="dxa"/>
              <w:bottom w:w="70" w:type="dxa"/>
              <w:end w:w="85" w:type="dxa"/>
            </w:tcMar>
          </w:tcPr>
          <w:p>
            <w:pPr>
              <w:spacing w:after="0" w:line="240" w:lineRule="auto"/>
            </w:pPr>
            <w:r/>
            <w:r>
              <w:rPr>
                <w:rFonts w:ascii="Aptos" w:hAnsi="Aptos"/>
                <w:b w:val="0"/>
                <w:color w:val="202A35"/>
                <w:sz w:val="15"/>
              </w:rPr>
              <w:t>Prospective waiver reaches unrelated matters adverse to Pinnacle affiliates only with screens; it does not permit direct adversity to Pinnacle/PHS or any matter involving hydraulic equipment without GC written consent. For a permitted conflict, EL requires GC written notice within 10 business days of identification and a 10-business-day wait before commencing.</w:t>
            </w:r>
          </w:p>
        </w:tc>
        <w:tc>
          <w:tcPr>
            <w:tcW w:type="dxa" w:w="1584"/>
            <w:vAlign w:val="center"/>
            <w:tcMar>
              <w:top w:w="70" w:type="dxa"/>
              <w:start w:w="85" w:type="dxa"/>
              <w:bottom w:w="70" w:type="dxa"/>
              <w:end w:w="85" w:type="dxa"/>
            </w:tcMar>
          </w:tcPr>
          <w:p>
            <w:pPr>
              <w:spacing w:after="0" w:line="240" w:lineRule="auto"/>
            </w:pPr>
            <w:r/>
            <w:r>
              <w:rPr>
                <w:rFonts w:ascii="Aptos" w:hAnsi="Aptos"/>
                <w:b w:val="0"/>
                <w:color w:val="202A35"/>
                <w:sz w:val="15"/>
              </w:rPr>
              <w:t>EL §10.2</w:t>
            </w:r>
          </w:p>
        </w:tc>
      </w:tr>
    </w:tbl>
    <w:p>
      <w:pPr>
        <w:widowControl/>
        <w:spacing w:after="20"/>
      </w:pPr>
    </w:p>
    <w:p>
      <w:pPr>
        <w:pStyle w:val="Heading2"/>
        <w:widowControl/>
      </w:pPr>
      <w:r>
        <w:t>3.4 Staffing, rates, approvals and operating controls</w:t>
      </w:r>
    </w:p>
    <w:tbl>
      <w:tblPr>
        <w:tblW w:type="auto" w:w="0"/>
        <w:jc w:val="center"/>
        <w:tblLayout w:type="fixed"/>
        <w:tblLook w:firstColumn="1" w:firstRow="1" w:lastColumn="0" w:lastRow="0" w:noHBand="0" w:noVBand="1" w:val="04A0"/>
      </w:tblPr>
      <w:tblGrid>
        <w:gridCol w:w="2088"/>
        <w:gridCol w:w="8496"/>
      </w:tblGrid>
      <w:tr>
        <w:trPr>
          <w:tblHeader w:val="true"/>
        </w:trPr>
        <w:tc>
          <w:tcPr>
            <w:tcW w:type="dxa" w:w="2088"/>
            <w:vAlign w:val="center"/>
            <w:tcMar>
              <w:top w:w="70" w:type="dxa"/>
              <w:start w:w="85" w:type="dxa"/>
              <w:bottom w:w="70" w:type="dxa"/>
              <w:end w:w="85" w:type="dxa"/>
            </w:tcMar>
            <w:shd w:fill="17365D"/>
          </w:tcPr>
          <w:p>
            <w:pPr>
              <w:spacing w:after="0" w:line="240" w:lineRule="auto"/>
            </w:pPr>
            <w:r/>
            <w:r>
              <w:rPr>
                <w:rFonts w:ascii="Aptos" w:hAnsi="Aptos"/>
                <w:b/>
                <w:color w:val="FFFFFF"/>
                <w:sz w:val="16"/>
              </w:rPr>
              <w:t>Control</w:t>
            </w:r>
          </w:p>
        </w:tc>
        <w:tc>
          <w:tcPr>
            <w:tcW w:type="dxa" w:w="8496"/>
            <w:vAlign w:val="center"/>
            <w:tcMar>
              <w:top w:w="70" w:type="dxa"/>
              <w:start w:w="85" w:type="dxa"/>
              <w:bottom w:w="70" w:type="dxa"/>
              <w:end w:w="85" w:type="dxa"/>
            </w:tcMar>
            <w:shd w:fill="17365D"/>
          </w:tcPr>
          <w:p>
            <w:pPr>
              <w:spacing w:after="0" w:line="240" w:lineRule="auto"/>
            </w:pPr>
            <w:r/>
            <w:r>
              <w:rPr>
                <w:rFonts w:ascii="Aptos" w:hAnsi="Aptos"/>
                <w:b/>
                <w:color w:val="FFFFFF"/>
                <w:sz w:val="16"/>
              </w:rPr>
              <w:t>Extracted term</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Core team</w:t>
            </w:r>
          </w:p>
        </w:tc>
        <w:tc>
          <w:tcPr>
            <w:tcW w:type="dxa" w:w="8496"/>
            <w:vAlign w:val="center"/>
            <w:tcMar>
              <w:top w:w="70" w:type="dxa"/>
              <w:start w:w="85" w:type="dxa"/>
              <w:bottom w:w="70" w:type="dxa"/>
              <w:end w:w="85" w:type="dxa"/>
            </w:tcMar>
          </w:tcPr>
          <w:p>
            <w:pPr>
              <w:spacing w:after="0" w:line="240" w:lineRule="auto"/>
            </w:pPr>
            <w:r/>
            <w:r>
              <w:rPr>
                <w:rFonts w:ascii="Aptos" w:hAnsi="Aptos"/>
                <w:b w:val="0"/>
                <w:color w:val="202A35"/>
                <w:sz w:val="16"/>
              </w:rPr>
              <w:t>Nate Voss lead trial partner (max 40% time); Diane Layton billing partner; Kate Sinclair second chair (up to 75%); up to 3 rotating junior associates (160 hours/person/month absent Billing Partner approval); up to 2 paralegals led by Marcus Oduya; up to 15 contract reviewers per approved wave; Elaine Marchetti authorized for regulatory/insurance streams only at Partner rate. EL/MP staffing changes also restrict new partner or lead-partner changes to prior GC consent and 15 business days’ notice. OCG §6.2: no more than two firm attorneys at a deposition, hearing, court appearance or meeting absent prior written DGC approval.</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Blended rates</w:t>
            </w:r>
          </w:p>
        </w:tc>
        <w:tc>
          <w:tcPr>
            <w:tcW w:type="dxa" w:w="84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Partners $685/hr; Senior Associates (Years 5–8) $475/hr; Junior Associates (Years 1–4) $340/hr; Paralegals $195/hr; reviewers $55/hr, separately itemized. Rates effective under EL and not to change without 90 days’ notice and express Client written consent.</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Expert approval</w:t>
            </w:r>
          </w:p>
        </w:tc>
        <w:tc>
          <w:tcPr>
            <w:tcW w:type="dxa" w:w="8496"/>
            <w:vAlign w:val="center"/>
            <w:tcMar>
              <w:top w:w="70" w:type="dxa"/>
              <w:start w:w="85" w:type="dxa"/>
              <w:bottom w:w="70" w:type="dxa"/>
              <w:end w:w="85" w:type="dxa"/>
            </w:tcMar>
          </w:tcPr>
          <w:p>
            <w:pPr>
              <w:spacing w:after="0" w:line="240" w:lineRule="auto"/>
            </w:pPr>
            <w:r/>
            <w:r>
              <w:rPr>
                <w:rFonts w:ascii="Aptos" w:hAnsi="Aptos"/>
                <w:b w:val="0"/>
                <w:color w:val="202A35"/>
                <w:sz w:val="16"/>
              </w:rPr>
              <w:t>Yeoh, Nagarajan, Renner and one damages expert (by Jun. 30, 2025) are pre-approved under MP, subject to individual caps. Any unlisted expert and rebuttal-reserve use requires prior written GC approval and a budget estimate.</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E-discovery / other spend</w:t>
            </w:r>
          </w:p>
        </w:tc>
        <w:tc>
          <w:tcPr>
            <w:tcW w:type="dxa" w:w="84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Precept is designated; alternate vendor requires DGC written approval. Individual disbursement &gt;$25,000 requires DGC pre-approval; reallocation across disbursement categories &gt;$25,000 requires prior written DGC approval. OCG adds advance notice for $10,000–$25,000 expenses.</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Fee controls</w:t>
            </w:r>
          </w:p>
        </w:tc>
        <w:tc>
          <w:tcPr>
            <w:tcW w:type="dxa" w:w="8496"/>
            <w:vAlign w:val="center"/>
            <w:tcMar>
              <w:top w:w="70" w:type="dxa"/>
              <w:start w:w="85" w:type="dxa"/>
              <w:bottom w:w="70" w:type="dxa"/>
              <w:end w:w="85" w:type="dxa"/>
            </w:tcMar>
          </w:tcPr>
          <w:p>
            <w:pPr>
              <w:spacing w:after="0" w:line="240" w:lineRule="auto"/>
            </w:pPr>
            <w:r/>
            <w:r>
              <w:rPr>
                <w:rFonts w:ascii="Aptos" w:hAnsi="Aptos"/>
                <w:b w:val="0"/>
                <w:color w:val="202A35"/>
                <w:sz w:val="16"/>
              </w:rPr>
              <w:t>Aggregate fee budget $4.25m through trial (excludes success fee, expert fees and other disbursements); monthly professional-fee cap $285,000; checkpoints $2.125m (50%) and $3.1875m (75%), reconciliation due within 10 business days. EL allows up to 10% monthly overage retroactively approved by DGC within 15 business days; larger overage requires prior GC approval.</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Settlement authority</w:t>
            </w:r>
          </w:p>
        </w:tc>
        <w:tc>
          <w:tcPr>
            <w:tcW w:type="dxa" w:w="84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DGC Ronan Giles: up to $3m; GC Meg Stanhope: $3,000,001–$6m; Board: above $6m. No position to opposing counsel/mediator until authorization is confirmed in writing; incoming proposals to DGC within 24 hours. Confirm whether thresholds apply per plaintiff, per offer, or aggregate package.</w:t>
            </w:r>
          </w:p>
        </w:tc>
      </w:tr>
      <w:tr>
        <w:trPr>
          <w:cantSplit/>
        </w:trPr>
        <w:tc>
          <w:tcPr>
            <w:tcW w:type="dxa" w:w="2088"/>
            <w:vAlign w:val="center"/>
            <w:tcMar>
              <w:top w:w="70" w:type="dxa"/>
              <w:start w:w="85" w:type="dxa"/>
              <w:bottom w:w="70" w:type="dxa"/>
              <w:end w:w="85" w:type="dxa"/>
            </w:tcMar>
          </w:tcPr>
          <w:p>
            <w:pPr>
              <w:spacing w:after="0" w:line="240" w:lineRule="auto"/>
            </w:pPr>
            <w:r/>
            <w:r>
              <w:rPr>
                <w:rFonts w:ascii="Aptos" w:hAnsi="Aptos"/>
                <w:b w:val="0"/>
                <w:color w:val="202A35"/>
                <w:sz w:val="16"/>
              </w:rPr>
              <w:t>Mediator / reporting</w:t>
            </w:r>
          </w:p>
        </w:tc>
        <w:tc>
          <w:tcPr>
            <w:tcW w:type="dxa" w:w="8496"/>
            <w:vAlign w:val="center"/>
            <w:tcMar>
              <w:top w:w="70" w:type="dxa"/>
              <w:start w:w="85" w:type="dxa"/>
              <w:bottom w:w="70" w:type="dxa"/>
              <w:end w:w="85" w:type="dxa"/>
            </w:tcMar>
          </w:tcPr>
          <w:p>
            <w:pPr>
              <w:spacing w:after="0" w:line="240" w:lineRule="auto"/>
            </w:pPr>
            <w:r/>
            <w:r>
              <w:rPr>
                <w:rFonts w:ascii="Aptos" w:hAnsi="Aptos"/>
                <w:b w:val="0"/>
                <w:color w:val="202A35"/>
                <w:sz w:val="16"/>
              </w:rPr>
              <w:t>Mediator jointly approved by GC and Voss; Fitzsimmons, Delmonico and Tran pre-approved. Weekly Tuesday 3:00 p.m. ET calls between Voss and Giles; Sinclair may substitute for Voss no more than twice per quarter. Monthly report by fifth business day. QBRs quarterly at Pinnacle HQ for GC/CFO (MP also includes DGC), first no later than May 15, 2025. MP says mediation at least 90 days before estimated trial.</w:t>
            </w:r>
          </w:p>
        </w:tc>
      </w:tr>
      <w:tr>
        <w:trPr>
          <w:cantSplit/>
        </w:trPr>
        <w:tc>
          <w:tcPr>
            <w:tcW w:type="dxa" w:w="2088"/>
            <w:vAlign w:val="center"/>
            <w:tcMar>
              <w:top w:w="70" w:type="dxa"/>
              <w:start w:w="85" w:type="dxa"/>
              <w:bottom w:w="70" w:type="dxa"/>
              <w:end w:w="85" w:type="dxa"/>
            </w:tcMar>
            <w:shd w:fill="F3F6F9"/>
          </w:tcPr>
          <w:p>
            <w:pPr>
              <w:spacing w:after="0" w:line="240" w:lineRule="auto"/>
            </w:pPr>
            <w:r/>
            <w:r>
              <w:rPr>
                <w:rFonts w:ascii="Aptos" w:hAnsi="Aptos"/>
                <w:b w:val="0"/>
                <w:color w:val="202A35"/>
                <w:sz w:val="16"/>
              </w:rPr>
              <w:t>OCG operational requirements</w:t>
            </w:r>
          </w:p>
        </w:tc>
        <w:tc>
          <w:tcPr>
            <w:tcW w:type="dxa" w:w="8496"/>
            <w:vAlign w:val="center"/>
            <w:tcMar>
              <w:top w:w="70" w:type="dxa"/>
              <w:start w:w="85" w:type="dxa"/>
              <w:bottom w:w="70" w:type="dxa"/>
              <w:end w:w="85" w:type="dxa"/>
            </w:tcMar>
            <w:shd w:fill="F3F6F9"/>
          </w:tcPr>
          <w:p>
            <w:pPr>
              <w:spacing w:after="0" w:line="240" w:lineRule="auto"/>
            </w:pPr>
            <w:r/>
            <w:r>
              <w:rPr>
                <w:rFonts w:ascii="Aptos" w:hAnsi="Aptos"/>
                <w:b w:val="0"/>
                <w:color w:val="202A35"/>
                <w:sz w:val="16"/>
              </w:rPr>
              <w:t>Aldersgate e-billing, LEDES 1998B, matter and client tracking IDs, UTBMS codes, detailed time entries, named timekeeper approval, diversity reporting, expense/travel controls, security and file-return requirements apply unless validly modified. OCG bars block billing and requires 40-word narratives for entries over 0.5 hours.</w:t>
            </w:r>
          </w:p>
        </w:tc>
      </w:tr>
    </w:tbl>
    <w:p>
      <w:pPr>
        <w:widowControl/>
        <w:spacing w:after="20"/>
      </w:pPr>
    </w:p>
    <w:p>
      <w:pPr>
        <w:pStyle w:val="Heading2"/>
        <w:widowControl/>
      </w:pPr>
      <w:r>
        <w:t>3.5 Success fee and termination economics</w:t>
      </w:r>
    </w:p>
    <w:p>
      <w:pPr>
        <w:widowControl/>
      </w:pPr>
      <w:r>
        <w:t>Success fee formula: if all claims within the engagement are finally resolved for aggregate payments at or below $8,500,000, W&amp;C earns 7.5% × ($8,500,000 − actual aggregate payments); no fee if aggregate payments are at or above $8.5m, and no negative fee/refund. Example in EL/MP: $6m resolution → $187,500. Payable within 60 calendar days after final resolution of all claims (final non-appealable judgment, executed settlement, or dismissal with prejudice, whichever occurs last). EL says fee is additional to hourly fees/disbursements.</w:t>
      </w:r>
    </w:p>
    <w:p>
      <w:pPr>
        <w:pStyle w:val="ListBullet"/>
        <w:widowControl/>
        <w:spacing w:after="40"/>
        <w:ind w:left="317" w:hanging="173"/>
      </w:pPr>
      <w:r>
        <w:t>Termination: either party may terminate on 30 calendar days’ written notice; files/work product due within 15 business days; accrued fees payable within 45 calendar days after final invoice. EL requires final invoice within 30 calendar days after termination. MP directs the Firm upon notice to stop discretionary tasks, complete only tasks needed to avoid prejudice, and support transition to successor counsel.</w:t>
      </w:r>
    </w:p>
    <w:p>
      <w:pPr>
        <w:pStyle w:val="ListBullet"/>
        <w:widowControl/>
        <w:spacing w:after="40"/>
        <w:ind w:left="317" w:hanging="173"/>
      </w:pPr>
      <w:r>
        <w:t>Success fee forfeited on termination for cause or W&amp;C voluntary withdrawal. Client termination without cause preserves only a pro-rata fee, calculated as professional fees billed through termination ÷ $4.25m, and payable only on final resolution using the same formula.</w:t>
      </w:r>
    </w:p>
    <w:p>
      <w:pPr>
        <w:pStyle w:val="ListBullet"/>
        <w:widowControl/>
        <w:spacing w:after="40"/>
        <w:ind w:left="317" w:hanging="173"/>
      </w:pPr>
      <w:r>
        <w:t>Wind-down fee: 2% of aggregate professional fees billed if Client terminates without cause after fees are “in excess of” $2m; EL says payable within 45 days. MP paraphrases the trigger as “$2m or more.”</w:t>
      </w:r>
    </w:p>
    <w:p>
      <w:pPr>
        <w:widowControl/>
      </w:pPr>
      <w:r>
        <w:br w:type="page"/>
      </w:r>
    </w:p>
    <w:p>
      <w:pPr>
        <w:pStyle w:val="Heading1"/>
        <w:widowControl/>
      </w:pPr>
      <w:r>
        <w:t>4. Inter-document inconsistency and gap register</w:t>
      </w:r>
    </w:p>
    <w:p>
      <w:pPr>
        <w:widowControl/>
      </w:pPr>
      <w:r>
        <w:t>Severity reflects practical impact on authorization, cost control or interpretation—not a legal conclusion. “Confirm” items are gaps or version/evidence issues; “Conflict” identifies materially different text or amounts.</w:t>
      </w:r>
    </w:p>
    <w:p>
      <w:pPr>
        <w:keepNext/>
        <w:widowControl/>
        <w:spacing w:before="120" w:after="40"/>
      </w:pPr>
      <w:r>
        <w:rPr>
          <w:b/>
          <w:color w:val="9C0006"/>
          <w:sz w:val="20"/>
        </w:rPr>
        <w:t xml:space="preserve">1. Later non-HX-9000/tag-along claims  </w:t>
      </w:r>
      <w:r>
        <w:rPr>
          <w:b/>
          <w:color w:val="9C0006"/>
          <w:sz w:val="16"/>
        </w:rPr>
        <w:t>[HIGH]</w:t>
      </w:r>
    </w:p>
    <w:p>
      <w:pPr>
        <w:widowControl/>
        <w:spacing w:after="40"/>
        <w:ind w:left="259"/>
      </w:pPr>
      <w:r>
        <w:rPr>
          <w:b/>
        </w:rPr>
        <w:t xml:space="preserve">Documents: </w:t>
      </w:r>
      <w:r>
        <w:t>EL §2(EX-6) excludes non-HX-9000 claims unless consolidated into the MDL or otherwise covered. MP §3.1 limits WS-1 to the MDL “as currently constituted”; MP §4.6 says even consolidated claims are not authorized until review and executed amendment. Emails Jan. 15–24 flag the gap; Jan. 20 response leaves mechanism open; Jan. 31 says amend in real time.</w:t>
      </w:r>
    </w:p>
    <w:p>
      <w:pPr>
        <w:widowControl/>
        <w:spacing w:after="80"/>
        <w:ind w:left="259"/>
      </w:pPr>
      <w:r>
        <w:rPr>
          <w:b/>
          <w:color w:val="0F6B78"/>
        </w:rPr>
        <w:t xml:space="preserve">Resolution: </w:t>
      </w:r>
      <w:r>
        <w:t>No automatic scope/budget expansion is documented. Define who must approve, response timing, interim deadline coverage, and supplemental budget before any such work.</w:t>
      </w:r>
    </w:p>
    <w:p>
      <w:pPr>
        <w:keepNext/>
        <w:widowControl/>
        <w:spacing w:before="120" w:after="40"/>
      </w:pPr>
      <w:r>
        <w:rPr>
          <w:b/>
          <w:color w:val="9C0006"/>
          <w:sz w:val="20"/>
        </w:rPr>
        <w:t xml:space="preserve">2. WS-4 is &gt;5% and approval/effectiveness is unverified  </w:t>
      </w:r>
      <w:r>
        <w:rPr>
          <w:b/>
          <w:color w:val="9C0006"/>
          <w:sz w:val="16"/>
        </w:rPr>
        <w:t>[HIGH]</w:t>
      </w:r>
    </w:p>
    <w:p>
      <w:pPr>
        <w:widowControl/>
        <w:spacing w:after="40"/>
        <w:ind w:left="259"/>
      </w:pPr>
      <w:r>
        <w:rPr>
          <w:b/>
        </w:rPr>
        <w:t xml:space="preserve">Documents: </w:t>
      </w:r>
      <w:r>
        <w:t>MP-R1 adds $320,000. EL §§1, 7, 12 require prior written GC re-approval for a new work stream above 5% of $4.25m ($212,500). MP-R1 identifies Layton and Giles as agreeing/signatories, not the GC. OCG §4.4 also requires a written addendum signed by DGC or GC. Signature lines in the provided rendering are blank.</w:t>
      </w:r>
    </w:p>
    <w:p>
      <w:pPr>
        <w:widowControl/>
        <w:spacing w:after="80"/>
        <w:ind w:left="259"/>
      </w:pPr>
      <w:r>
        <w:rPr>
          <w:b/>
          <w:color w:val="0F6B78"/>
        </w:rPr>
        <w:t xml:space="preserve">Resolution: </w:t>
      </w:r>
      <w:r>
        <w:t>Confirm actual signed addendum and separate prior written GC approval for the $320,000 stream. Confirm WS-4 effective date; the materials alone do not establish execution or the required GC approval.</w:t>
      </w:r>
    </w:p>
    <w:p>
      <w:pPr>
        <w:keepNext/>
        <w:widowControl/>
        <w:spacing w:before="120" w:after="40"/>
      </w:pPr>
      <w:r>
        <w:rPr>
          <w:b/>
          <w:color w:val="9C0006"/>
          <w:sz w:val="20"/>
        </w:rPr>
        <w:t xml:space="preserve">3. WS-4 coordinating counsel vs substantive CPSC tasks  </w:t>
      </w:r>
      <w:r>
        <w:rPr>
          <w:b/>
          <w:color w:val="9C0006"/>
          <w:sz w:val="16"/>
        </w:rPr>
        <w:t>[HIGH]</w:t>
      </w:r>
    </w:p>
    <w:p>
      <w:pPr>
        <w:widowControl/>
        <w:spacing w:after="40"/>
        <w:ind w:left="259"/>
      </w:pPr>
      <w:r>
        <w:rPr>
          <w:b/>
        </w:rPr>
        <w:t xml:space="preserve">Documents: </w:t>
      </w:r>
      <w:r>
        <w:t>MP-R1 §2.1 includes preparation/review/submission of VCAP materials, responses to CPSC demands and attendance at proceedings, while calling W&amp;C “coordinating counsel only”; it also reserves primary representation and direct advocacy to Meridian. §5 bars direct CPSC communications absent authorization and says W&amp;C contributions are reviewed by Giles before submission.</w:t>
      </w:r>
    </w:p>
    <w:p>
      <w:pPr>
        <w:widowControl/>
        <w:spacing w:after="80"/>
        <w:ind w:left="259"/>
      </w:pPr>
      <w:r>
        <w:rPr>
          <w:b/>
          <w:color w:val="0F6B78"/>
        </w:rPr>
        <w:t xml:space="preserve">Resolution: </w:t>
      </w:r>
      <w:r>
        <w:t>Specify who drafts, signs, files and attends; distinguish W&amp;C support from Meridian’s advocacy; reconcile “submission to CPSC” with no direct representation/communications. The required Regulatory Coordination Protocol is not included.</w:t>
      </w:r>
    </w:p>
    <w:p>
      <w:pPr>
        <w:keepNext/>
        <w:widowControl/>
        <w:spacing w:before="120" w:after="40"/>
      </w:pPr>
      <w:r>
        <w:rPr>
          <w:b/>
          <w:color w:val="9C0006"/>
          <w:sz w:val="20"/>
        </w:rPr>
        <w:t xml:space="preserve">4. Success-fee payment base undefined  </w:t>
      </w:r>
      <w:r>
        <w:rPr>
          <w:b/>
          <w:color w:val="9C0006"/>
          <w:sz w:val="16"/>
        </w:rPr>
        <w:t>[HIGH]</w:t>
      </w:r>
    </w:p>
    <w:p>
      <w:pPr>
        <w:widowControl/>
        <w:spacing w:after="40"/>
        <w:ind w:left="259"/>
      </w:pPr>
      <w:r>
        <w:rPr>
          <w:b/>
        </w:rPr>
        <w:t xml:space="preserve">Documents: </w:t>
      </w:r>
      <w:r>
        <w:t>EL §3.5 uses “aggregate payments,” “actual aggregate payments” and “actual aggregate resolution amount” without defining included amounts. Emails Jan. 15–31 record W&amp;C’s indemnity-only proposal excluding defense/coverage/ALAE and carrier defense-cost reimbursement versus Client’s broader total-cost preference including carrier payments. No final definition appears in EL, MP or MP-R1.</w:t>
      </w:r>
    </w:p>
    <w:p>
      <w:pPr>
        <w:widowControl/>
        <w:spacing w:after="80"/>
        <w:ind w:left="259"/>
      </w:pPr>
      <w:r>
        <w:rPr>
          <w:b/>
          <w:color w:val="0F6B78"/>
        </w:rPr>
        <w:t xml:space="preserve">Resolution: </w:t>
      </w:r>
      <w:r>
        <w:t>Define treatment of settlements/judgments, insurer-paid amounts, defense costs, defense-cost reimbursement, allocated loss-adjustment expenses, fees/costs, multiple policies and non-cash consideration. Confirm whether all claims include both proceedings.</w:t>
      </w:r>
    </w:p>
    <w:p>
      <w:pPr>
        <w:keepNext/>
        <w:widowControl/>
        <w:spacing w:before="120" w:after="40"/>
      </w:pPr>
      <w:r>
        <w:rPr>
          <w:b/>
          <w:color w:val="9C0006"/>
          <w:sz w:val="20"/>
        </w:rPr>
        <w:t xml:space="preserve">5. Work-stream allocations differ; contingency absent in workbook  </w:t>
      </w:r>
      <w:r>
        <w:rPr>
          <w:b/>
          <w:color w:val="9C0006"/>
          <w:sz w:val="16"/>
        </w:rPr>
        <w:t>[HIGH]</w:t>
      </w:r>
    </w:p>
    <w:p>
      <w:pPr>
        <w:widowControl/>
        <w:spacing w:after="40"/>
        <w:ind w:left="259"/>
      </w:pPr>
      <w:r>
        <w:rPr>
          <w:b/>
        </w:rPr>
        <w:t xml:space="preserve">Documents: </w:t>
      </w:r>
      <w:r>
        <w:t>MP §7.1: WS1 $1.850m; WS2 $475k; WS3 $385k; WS4 $320k; WS5 $95k; WS6 $420k; WS7 $345k; contingency $360k. Workbook fee tab: $1.650m / $480k / $385k / $320k / $95k / $870k / $450k, with no contingency row. Both sum to $4.25m.</w:t>
      </w:r>
    </w:p>
    <w:p>
      <w:pPr>
        <w:widowControl/>
        <w:spacing w:after="80"/>
        <w:ind w:left="259"/>
      </w:pPr>
      <w:r>
        <w:rPr>
          <w:b/>
          <w:color w:val="0F6B78"/>
        </w:rPr>
        <w:t xml:space="preserve">Resolution: </w:t>
      </w:r>
      <w:r>
        <w:t>Reconcile the approved baseline at work-stream level. Variances (workbook less MP): WS1 −$200k; WS2 +$5k; WS6 +$450k; WS7 +$105k; contingency −$360k. Identify who approved reallocations and whether workbook replaces MP allocations.</w:t>
      </w:r>
    </w:p>
    <w:p>
      <w:pPr>
        <w:keepNext/>
        <w:widowControl/>
        <w:spacing w:before="120" w:after="40"/>
      </w:pPr>
      <w:r>
        <w:rPr>
          <w:b/>
          <w:color w:val="9C0006"/>
          <w:sz w:val="20"/>
        </w:rPr>
        <w:t xml:space="preserve">6. Expert and total disbursement budgets differ by $20k  </w:t>
      </w:r>
      <w:r>
        <w:rPr>
          <w:b/>
          <w:color w:val="9C0006"/>
          <w:sz w:val="16"/>
        </w:rPr>
        <w:t>[HIGH]</w:t>
      </w:r>
    </w:p>
    <w:p>
      <w:pPr>
        <w:widowControl/>
        <w:spacing w:after="40"/>
        <w:ind w:left="259"/>
      </w:pPr>
      <w:r>
        <w:rPr>
          <w:b/>
        </w:rPr>
        <w:t xml:space="preserve">Documents: </w:t>
      </w:r>
      <w:r>
        <w:t>EL §4.1 / Exhibit B: experts $780k; total disbursements $1.35m. MP §3.3 narrative calculates $780k ($550k named/anticipated + $230k rebuttal reserve), but MP §7.2 table says expert $760k / total $1.33m. Workbook disbursement tab says $760k, $210k reserve and $1.33m, while its note says EL total is $1.35m.</w:t>
      </w:r>
    </w:p>
    <w:p>
      <w:pPr>
        <w:widowControl/>
        <w:spacing w:after="80"/>
        <w:ind w:left="259"/>
      </w:pPr>
      <w:r>
        <w:rPr>
          <w:b/>
          <w:color w:val="0F6B78"/>
        </w:rPr>
        <w:t xml:space="preserve">Resolution: </w:t>
      </w:r>
      <w:r>
        <w:t>Use signed EL limits unless formally amended; correct MP/workbook reserve ($230k vs $210k), expert subtotal ($780k vs $760k), and total. Confirm treatment of reviewer costs and whether any reserve is reduced.</w:t>
      </w:r>
    </w:p>
    <w:p>
      <w:pPr>
        <w:keepNext/>
        <w:widowControl/>
        <w:spacing w:before="120" w:after="40"/>
      </w:pPr>
      <w:r>
        <w:rPr>
          <w:b/>
          <w:color w:val="9C0006"/>
          <w:sz w:val="20"/>
        </w:rPr>
        <w:t xml:space="preserve">7. Contract reviewer budget/cap treatment is unclear  </w:t>
      </w:r>
      <w:r>
        <w:rPr>
          <w:b/>
          <w:color w:val="9C0006"/>
          <w:sz w:val="16"/>
        </w:rPr>
        <w:t>[HIGH]</w:t>
      </w:r>
    </w:p>
    <w:p>
      <w:pPr>
        <w:widowControl/>
        <w:spacing w:after="40"/>
        <w:ind w:left="259"/>
      </w:pPr>
      <w:r>
        <w:rPr>
          <w:b/>
        </w:rPr>
        <w:t xml:space="preserve">Documents: </w:t>
      </w:r>
      <w:r>
        <w:t>EL §3.2 sets $55/hour and separate invoice line but does not expressly classify reviewer charges as fee vs disbursement or state aggregate-budget treatment. MP §§3.6, 7.2 says reviewer costs are excluded from WS6 professional fees and tracked within disbursement framework, but no reviewer dollar allocation appears in MP disbursement table. Workbook labels WS6 $870k and says reviewer costs included; $450k above MP’s $420k has no explicit calculation.</w:t>
      </w:r>
    </w:p>
    <w:p>
      <w:pPr>
        <w:widowControl/>
        <w:spacing w:after="80"/>
        <w:ind w:left="259"/>
      </w:pPr>
      <w:r>
        <w:rPr>
          <w:b/>
          <w:color w:val="0F6B78"/>
        </w:rPr>
        <w:t xml:space="preserve">Resolution: </w:t>
      </w:r>
      <w:r>
        <w:t>State reviewer cost estimate and whether it counts against aggregate fee budget, disbursement budget, and monthly professional-fee cap. Reconcile the apparent $450k workbook add-on and avoid double-counting.</w:t>
      </w:r>
    </w:p>
    <w:p>
      <w:pPr>
        <w:keepNext/>
        <w:widowControl/>
        <w:spacing w:before="120" w:after="40"/>
      </w:pPr>
      <w:r>
        <w:rPr>
          <w:b/>
          <w:color w:val="9C0006"/>
          <w:sz w:val="20"/>
        </w:rPr>
        <w:t xml:space="preserve">8. Retroactive monthly overages conflict with OCG  </w:t>
      </w:r>
      <w:r>
        <w:rPr>
          <w:b/>
          <w:color w:val="9C0006"/>
          <w:sz w:val="16"/>
        </w:rPr>
        <w:t>[HIGH]</w:t>
      </w:r>
    </w:p>
    <w:p>
      <w:pPr>
        <w:widowControl/>
        <w:spacing w:after="40"/>
        <w:ind w:left="259"/>
      </w:pPr>
      <w:r>
        <w:rPr>
          <w:b/>
        </w:rPr>
        <w:t xml:space="preserve">Documents: </w:t>
      </w:r>
      <w:r>
        <w:t>EL §7.3 permits up to 10% over cap to be approved retroactively by DGC within 15 business days. MP §7.3 adds reporting within 5 business days. OCG §§4.3 and opening hierarchy prohibit all retroactive fee-cap overage approvals and require advance written approval for any amount; OCG requires a specific Guideline provision to be expressly identified for modification. EL §§3.3, 11 do not cite OCG §4.3.</w:t>
      </w:r>
    </w:p>
    <w:p>
      <w:pPr>
        <w:widowControl/>
        <w:spacing w:after="80"/>
        <w:ind w:left="259"/>
      </w:pPr>
      <w:r>
        <w:rPr>
          <w:b/>
          <w:color w:val="0F6B78"/>
        </w:rPr>
        <w:t xml:space="preserve">Resolution: </w:t>
      </w:r>
      <w:r>
        <w:t>Resolve whether overages must always be pre-approved; if parties intend a carve-out, amend expressly with a pinpoint reference to OCG §4.3 and reconcile the 5/15-business-day mechanics.</w:t>
      </w:r>
    </w:p>
    <w:p>
      <w:pPr>
        <w:keepNext/>
        <w:widowControl/>
        <w:spacing w:before="120" w:after="40"/>
      </w:pPr>
      <w:r>
        <w:rPr>
          <w:b/>
          <w:color w:val="9C0006"/>
          <w:sz w:val="20"/>
        </w:rPr>
        <w:t xml:space="preserve">9. Precedence language may not satisfy OCG’s specific-modification rule  </w:t>
      </w:r>
      <w:r>
        <w:rPr>
          <w:b/>
          <w:color w:val="9C0006"/>
          <w:sz w:val="16"/>
        </w:rPr>
        <w:t>[HIGH]</w:t>
      </w:r>
    </w:p>
    <w:p>
      <w:pPr>
        <w:widowControl/>
        <w:spacing w:after="40"/>
        <w:ind w:left="259"/>
      </w:pPr>
      <w:r>
        <w:rPr>
          <w:b/>
        </w:rPr>
        <w:t xml:space="preserve">Documents: </w:t>
      </w:r>
      <w:r>
        <w:t>EL §11 generally says EL controls conflicts and specific EL provisions supersede/modify OCG; MP §10 says EL &gt; OCG &gt; MP. OCG’s opening hierarchy says an EL overrides only where it expressly and specifically identifies the Guideline provision modified. EL §3.1’s 90-day notice/consent rate-change term does not recite OCG §3.3’s calendar-year request/justification procedure.</w:t>
      </w:r>
    </w:p>
    <w:p>
      <w:pPr>
        <w:widowControl/>
        <w:spacing w:after="80"/>
        <w:ind w:left="259"/>
      </w:pPr>
      <w:r>
        <w:rPr>
          <w:b/>
          <w:color w:val="0F6B78"/>
        </w:rPr>
        <w:t xml:space="preserve">Resolution: </w:t>
      </w:r>
      <w:r>
        <w:t>Confirm governing hierarchy in a signed amendment and identify OCG provisions modified, especially overages and rate changes. Follow OCG named-timekeeper, staffing and expense procedures unless expressly modified by pinpoint reference; do not rely on a blanket precedence clause.</w:t>
      </w:r>
    </w:p>
    <w:p>
      <w:pPr>
        <w:keepNext/>
        <w:widowControl/>
        <w:spacing w:before="120" w:after="40"/>
      </w:pPr>
      <w:r>
        <w:rPr>
          <w:b/>
          <w:color w:val="1F4E79"/>
          <w:sz w:val="20"/>
        </w:rPr>
        <w:t xml:space="preserve">10. Mediation deadline differs within MP  </w:t>
      </w:r>
      <w:r>
        <w:rPr>
          <w:b/>
          <w:color w:val="5B6573"/>
          <w:sz w:val="16"/>
        </w:rPr>
        <w:t>[MEDIUM]</w:t>
      </w:r>
    </w:p>
    <w:p>
      <w:pPr>
        <w:widowControl/>
        <w:spacing w:after="40"/>
        <w:ind w:left="259"/>
      </w:pPr>
      <w:r>
        <w:rPr>
          <w:b/>
        </w:rPr>
        <w:t xml:space="preserve">Documents: </w:t>
      </w:r>
      <w:r>
        <w:t>MP §§3.7 and 6.1 calculate 90 days before June 1, 2026 as approximately March 3, 2026; MP §6.2 timeline chart states February 28, 2026.</w:t>
      </w:r>
    </w:p>
    <w:p>
      <w:pPr>
        <w:widowControl/>
        <w:spacing w:after="80"/>
        <w:ind w:left="259"/>
      </w:pPr>
      <w:r>
        <w:rPr>
          <w:b/>
          <w:color w:val="0F6B78"/>
        </w:rPr>
        <w:t xml:space="preserve">Resolution: </w:t>
      </w:r>
      <w:r>
        <w:t>Correct the chart or state the intended date. If applying exactly 90 calendar days before June 1, 2026, the date is March 3, 2026; confirm against any later trial order.</w:t>
      </w:r>
    </w:p>
    <w:p>
      <w:pPr>
        <w:keepNext/>
        <w:widowControl/>
        <w:spacing w:before="120" w:after="40"/>
      </w:pPr>
      <w:r>
        <w:rPr>
          <w:b/>
          <w:color w:val="1F4E79"/>
          <w:sz w:val="20"/>
        </w:rPr>
        <w:t xml:space="preserve">11. Wind-down trigger differs at exactly $2m  </w:t>
      </w:r>
      <w:r>
        <w:rPr>
          <w:b/>
          <w:color w:val="5B6573"/>
          <w:sz w:val="16"/>
        </w:rPr>
        <w:t>[MEDIUM]</w:t>
      </w:r>
    </w:p>
    <w:p>
      <w:pPr>
        <w:widowControl/>
        <w:spacing w:after="40"/>
        <w:ind w:left="259"/>
      </w:pPr>
      <w:r>
        <w:rPr>
          <w:b/>
        </w:rPr>
        <w:t xml:space="preserve">Documents: </w:t>
      </w:r>
      <w:r>
        <w:t>EL §9 applies only when fees are “in excess of” $2,000,000; MP §11 says “$2,000,000 or more.”</w:t>
      </w:r>
    </w:p>
    <w:p>
      <w:pPr>
        <w:widowControl/>
        <w:spacing w:after="80"/>
        <w:ind w:left="259"/>
      </w:pPr>
      <w:r>
        <w:rPr>
          <w:b/>
          <w:color w:val="0F6B78"/>
        </w:rPr>
        <w:t xml:space="preserve">Resolution: </w:t>
      </w:r>
      <w:r>
        <w:t>Align the threshold so the fee’s application at exactly $2m is unambiguous.</w:t>
      </w:r>
    </w:p>
    <w:p>
      <w:pPr>
        <w:keepNext/>
        <w:widowControl/>
        <w:spacing w:before="120" w:after="40"/>
      </w:pPr>
      <w:r>
        <w:rPr>
          <w:b/>
          <w:color w:val="1F4E79"/>
          <w:sz w:val="20"/>
        </w:rPr>
        <w:t xml:space="preserve">12. Insurance communications described more broadly in MP than EL permits  </w:t>
      </w:r>
      <w:r>
        <w:rPr>
          <w:b/>
          <w:color w:val="5B6573"/>
          <w:sz w:val="16"/>
        </w:rPr>
        <w:t>[MEDIUM]</w:t>
      </w:r>
    </w:p>
    <w:p>
      <w:pPr>
        <w:widowControl/>
        <w:spacing w:after="40"/>
        <w:ind w:left="259"/>
      </w:pPr>
      <w:r>
        <w:rPr>
          <w:b/>
        </w:rPr>
        <w:t xml:space="preserve">Documents: </w:t>
      </w:r>
      <w:r>
        <w:t>MP §3.5 describes direct carrier communication on all litigation-related matters and coverage positions. EL §8 requires coordination and prohibits direct communication with carriers about coverage positions, disputes or defense-cost allocation without first coordinating and obtaining DGC approval.</w:t>
      </w:r>
    </w:p>
    <w:p>
      <w:pPr>
        <w:widowControl/>
        <w:spacing w:after="80"/>
        <w:ind w:left="259"/>
      </w:pPr>
      <w:r>
        <w:rPr>
          <w:b/>
          <w:color w:val="0F6B78"/>
        </w:rPr>
        <w:t xml:space="preserve">Resolution: </w:t>
      </w:r>
      <w:r>
        <w:t>Make WS-5 expressly subject to EL §8; identify permitted routine reports versus communications requiring DGC approval.</w:t>
      </w:r>
    </w:p>
    <w:p>
      <w:pPr>
        <w:keepNext/>
        <w:widowControl/>
        <w:spacing w:before="120" w:after="40"/>
      </w:pPr>
      <w:r>
        <w:rPr>
          <w:b/>
          <w:color w:val="1F4E79"/>
          <w:sz w:val="20"/>
        </w:rPr>
        <w:t xml:space="preserve">13. MP-R1 points to incorrect EL sections  </w:t>
      </w:r>
      <w:r>
        <w:rPr>
          <w:b/>
          <w:color w:val="5B6573"/>
          <w:sz w:val="16"/>
        </w:rPr>
        <w:t>[MEDIUM]</w:t>
      </w:r>
    </w:p>
    <w:p>
      <w:pPr>
        <w:widowControl/>
        <w:spacing w:after="40"/>
        <w:ind w:left="259"/>
      </w:pPr>
      <w:r>
        <w:rPr>
          <w:b/>
        </w:rPr>
        <w:t xml:space="preserve">Documents: </w:t>
      </w:r>
      <w:r>
        <w:t>MP-R1 §2.2 cites EL §§7.2/7.3 for checkpoints/monthly cap and EL §§8.1/8.3 for disbursement budget/approval; the corresponding EL provisions are §§3.4/3.3 and §§4.1/4.2.</w:t>
      </w:r>
    </w:p>
    <w:p>
      <w:pPr>
        <w:widowControl/>
        <w:spacing w:after="80"/>
        <w:ind w:left="259"/>
      </w:pPr>
      <w:r>
        <w:rPr>
          <w:b/>
          <w:color w:val="0F6B78"/>
        </w:rPr>
        <w:t xml:space="preserve">Resolution: </w:t>
      </w:r>
      <w:r>
        <w:t>Correct citations to avoid uncertainty in implementation; amounts may be substantively clear elsewhere.</w:t>
      </w:r>
    </w:p>
    <w:p>
      <w:pPr>
        <w:keepNext/>
        <w:widowControl/>
        <w:spacing w:before="120" w:after="40"/>
      </w:pPr>
      <w:r>
        <w:rPr>
          <w:b/>
          <w:color w:val="1F4E79"/>
          <w:sz w:val="20"/>
        </w:rPr>
        <w:t xml:space="preserve">14. Generic headcount authorizations do not satisfy named-timekeeper process by themselves  </w:t>
      </w:r>
      <w:r>
        <w:rPr>
          <w:b/>
          <w:color w:val="5B6573"/>
          <w:sz w:val="16"/>
        </w:rPr>
        <w:t>[MEDIUM]</w:t>
      </w:r>
    </w:p>
    <w:p>
      <w:pPr>
        <w:widowControl/>
        <w:spacing w:after="40"/>
        <w:ind w:left="259"/>
      </w:pPr>
      <w:r>
        <w:rPr>
          <w:b/>
        </w:rPr>
        <w:t xml:space="preserve">Documents: </w:t>
      </w:r>
      <w:r>
        <w:t>EL/MP authorize up to 3 unnamed rotating junior associates and 15 contract reviewers; Exhibit A lists rate categories, not each individual. OCG §§3.1–3.2 require each individual’s name, classification and rate approved in the rate schedule or later in writing before invoicing.</w:t>
      </w:r>
    </w:p>
    <w:p>
      <w:pPr>
        <w:widowControl/>
        <w:spacing w:after="80"/>
        <w:ind w:left="259"/>
      </w:pPr>
      <w:r>
        <w:rPr>
          <w:b/>
          <w:color w:val="0F6B78"/>
        </w:rPr>
        <w:t xml:space="preserve">Resolution: </w:t>
      </w:r>
      <w:r>
        <w:t>Obtain and maintain written DGC approval for every individual (including contract reviewers), with rate/category and effective date, before billing.</w:t>
      </w:r>
    </w:p>
    <w:p>
      <w:pPr>
        <w:keepNext/>
        <w:widowControl/>
        <w:spacing w:before="120" w:after="40"/>
      </w:pPr>
      <w:r>
        <w:rPr>
          <w:b/>
          <w:color w:val="1F4E79"/>
          <w:sz w:val="20"/>
        </w:rPr>
        <w:t xml:space="preserve">15. $10k–$25k advance-notice requirement omitted from MP summary  </w:t>
      </w:r>
      <w:r>
        <w:rPr>
          <w:b/>
          <w:color w:val="5B6573"/>
          <w:sz w:val="16"/>
        </w:rPr>
        <w:t>[MEDIUM]</w:t>
      </w:r>
    </w:p>
    <w:p>
      <w:pPr>
        <w:widowControl/>
        <w:spacing w:after="40"/>
        <w:ind w:left="259"/>
      </w:pPr>
      <w:r>
        <w:rPr>
          <w:b/>
        </w:rPr>
        <w:t xml:space="preserve">Documents: </w:t>
      </w:r>
      <w:r>
        <w:t>EL §4.2 and MP §7.6 focus on preapproval above $25k; MP §7.6 says routine sub-$25k spend needs no preapproval. OCG §5.2 requires advance written notice for expenses from $10k through $25k.</w:t>
      </w:r>
    </w:p>
    <w:p>
      <w:pPr>
        <w:widowControl/>
        <w:spacing w:after="80"/>
        <w:ind w:left="259"/>
      </w:pPr>
      <w:r>
        <w:rPr>
          <w:b/>
          <w:color w:val="0F6B78"/>
        </w:rPr>
        <w:t xml:space="preserve">Resolution: </w:t>
      </w:r>
      <w:r>
        <w:t>Apply OCG notice rule unless explicitly modified by a properly specific written amendment; include it in expense workflow.</w:t>
      </w:r>
    </w:p>
    <w:p>
      <w:pPr>
        <w:keepNext/>
        <w:widowControl/>
        <w:spacing w:before="120" w:after="40"/>
      </w:pPr>
      <w:r>
        <w:rPr>
          <w:b/>
          <w:color w:val="1F4E79"/>
          <w:sz w:val="20"/>
        </w:rPr>
        <w:t xml:space="preserve">16. Termination summary omits EL pro-rata calculation  </w:t>
      </w:r>
      <w:r>
        <w:rPr>
          <w:b/>
          <w:color w:val="5B6573"/>
          <w:sz w:val="16"/>
        </w:rPr>
        <w:t>[MEDIUM]</w:t>
      </w:r>
    </w:p>
    <w:p>
      <w:pPr>
        <w:widowControl/>
        <w:spacing w:after="40"/>
        <w:ind w:left="259"/>
      </w:pPr>
      <w:r>
        <w:rPr>
          <w:b/>
        </w:rPr>
        <w:t xml:space="preserve">Documents: </w:t>
      </w:r>
      <w:r>
        <w:t>EL §9 gives no-cause termination a pro-rata fee based on total professional fees billed ÷ $4.25m, payable only upon final resolution. MP §11 says the success fee “remains available” subject to EL, but does not state the pro-rata formula.</w:t>
      </w:r>
    </w:p>
    <w:p>
      <w:pPr>
        <w:widowControl/>
        <w:spacing w:after="80"/>
        <w:ind w:left="259"/>
      </w:pPr>
      <w:r>
        <w:rPr>
          <w:b/>
          <w:color w:val="0F6B78"/>
        </w:rPr>
        <w:t xml:space="preserve">Resolution: </w:t>
      </w:r>
      <w:r>
        <w:t>Update MP summary; confirm the pro-rata formula is intended and does not imply the full success fee survives a no-cause termination.</w:t>
      </w:r>
    </w:p>
    <w:p>
      <w:pPr>
        <w:keepNext/>
        <w:widowControl/>
        <w:spacing w:before="120" w:after="40"/>
      </w:pPr>
      <w:r>
        <w:rPr>
          <w:b/>
          <w:color w:val="1F4E79"/>
          <w:sz w:val="20"/>
        </w:rPr>
        <w:t xml:space="preserve">17. Client and adoption scope not consistently evidenced  </w:t>
      </w:r>
      <w:r>
        <w:rPr>
          <w:b/>
          <w:color w:val="5B6573"/>
          <w:sz w:val="16"/>
        </w:rPr>
        <w:t>[MEDIUM]</w:t>
      </w:r>
    </w:p>
    <w:p>
      <w:pPr>
        <w:widowControl/>
        <w:spacing w:after="40"/>
        <w:ind w:left="259"/>
      </w:pPr>
      <w:r>
        <w:rPr>
          <w:b/>
        </w:rPr>
        <w:t xml:space="preserve">Documents: </w:t>
      </w:r>
      <w:r>
        <w:t>EL names both Pinnacle and PHS as Clients and has separate signature blocks, but extracted signature lines are blank. MP title names both but its executive summary says the Firm was engaged by Pinnacle; MP acceptance block lists Pinnacle and W&amp;C, not PHS. MP-R1 is prepared for Pinnacle and lists Pinnacle signatory only.</w:t>
      </w:r>
    </w:p>
    <w:p>
      <w:pPr>
        <w:widowControl/>
        <w:spacing w:after="80"/>
        <w:ind w:left="259"/>
      </w:pPr>
      <w:r>
        <w:rPr>
          <w:b/>
          <w:color w:val="0F6B78"/>
        </w:rPr>
        <w:t xml:space="preserve">Resolution: </w:t>
      </w:r>
      <w:r>
        <w:t>Verify executed EL, MP approval and authority binding PHS; confirm whether the CPSC addendum modifies scope only for Pinnacle or both Clients.</w:t>
      </w:r>
    </w:p>
    <w:p>
      <w:pPr>
        <w:keepNext/>
        <w:widowControl/>
        <w:spacing w:before="120" w:after="40"/>
      </w:pPr>
      <w:r>
        <w:rPr>
          <w:b/>
          <w:color w:val="1F4E79"/>
          <w:sz w:val="20"/>
        </w:rPr>
        <w:t xml:space="preserve">18. State trial and post-trial endpoint not fully scheduled  </w:t>
      </w:r>
      <w:r>
        <w:rPr>
          <w:b/>
          <w:color w:val="5B6573"/>
          <w:sz w:val="16"/>
        </w:rPr>
        <w:t>[MEDIUM]</w:t>
      </w:r>
    </w:p>
    <w:p>
      <w:pPr>
        <w:widowControl/>
        <w:spacing w:after="40"/>
        <w:ind w:left="259"/>
      </w:pPr>
      <w:r>
        <w:rPr>
          <w:b/>
        </w:rPr>
        <w:t xml:space="preserve">Documents: </w:t>
      </w:r>
      <w:r>
        <w:t>WS-2 includes state-court trial, but MP gives only an estimated MDL trial date and no separate Cuyahoga trial date. WS-1 includes trial-level post-trial motions although EL describes engagement “through and including trial.”</w:t>
      </w:r>
    </w:p>
    <w:p>
      <w:pPr>
        <w:widowControl/>
        <w:spacing w:after="80"/>
        <w:ind w:left="259"/>
      </w:pPr>
      <w:r>
        <w:rPr>
          <w:b/>
          <w:color w:val="0F6B78"/>
        </w:rPr>
        <w:t xml:space="preserve">Resolution: </w:t>
      </w:r>
      <w:r>
        <w:t>Confirm whether state trial / trial-level post-trial activity is included in the $4.25m timeline and what “conclusion of trial” means for budget and engagement end.</w:t>
      </w:r>
    </w:p>
    <w:p>
      <w:pPr>
        <w:keepNext/>
        <w:widowControl/>
        <w:spacing w:before="120" w:after="40"/>
      </w:pPr>
      <w:r>
        <w:rPr>
          <w:b/>
          <w:color w:val="1F4E79"/>
          <w:sz w:val="20"/>
        </w:rPr>
        <w:t xml:space="preserve">19. Pinnacle internal tracking number is missing  </w:t>
      </w:r>
      <w:r>
        <w:rPr>
          <w:b/>
          <w:color w:val="5B6573"/>
          <w:sz w:val="16"/>
        </w:rPr>
        <w:t>[MEDIUM]</w:t>
      </w:r>
    </w:p>
    <w:p>
      <w:pPr>
        <w:widowControl/>
        <w:spacing w:after="40"/>
        <w:ind w:left="259"/>
      </w:pPr>
      <w:r>
        <w:rPr>
          <w:b/>
        </w:rPr>
        <w:t xml:space="preserve">Documents: </w:t>
      </w:r>
      <w:r>
        <w:t>OCG §2.2 requires firm and client internal matter numbers on invoices, correspondence, pleadings, filings and reports. MP says the client reference will be coordinated after execution; none is in the provided materials.</w:t>
      </w:r>
    </w:p>
    <w:p>
      <w:pPr>
        <w:widowControl/>
        <w:spacing w:after="80"/>
        <w:ind w:left="259"/>
      </w:pPr>
      <w:r>
        <w:rPr>
          <w:b/>
          <w:color w:val="0F6B78"/>
        </w:rPr>
        <w:t xml:space="preserve">Resolution: </w:t>
      </w:r>
      <w:r>
        <w:t>Obtain and use the Pinnacle matter ID; do not submit billing/reporting without both identifiers.</w:t>
      </w:r>
    </w:p>
    <w:p>
      <w:pPr>
        <w:keepNext/>
        <w:widowControl/>
        <w:spacing w:before="120" w:after="40"/>
      </w:pPr>
      <w:r>
        <w:rPr>
          <w:b/>
          <w:color w:val="1F4E79"/>
          <w:sz w:val="20"/>
        </w:rPr>
        <w:t xml:space="preserve">20. Key counsel and approval-contact coordinates differ  </w:t>
      </w:r>
      <w:r>
        <w:rPr>
          <w:b/>
          <w:color w:val="5B6573"/>
          <w:sz w:val="16"/>
        </w:rPr>
        <w:t>[MEDIUM]</w:t>
      </w:r>
    </w:p>
    <w:p>
      <w:pPr>
        <w:widowControl/>
        <w:spacing w:after="40"/>
        <w:ind w:left="259"/>
      </w:pPr>
      <w:r>
        <w:rPr>
          <w:b/>
        </w:rPr>
        <w:t xml:space="preserve">Documents: </w:t>
      </w:r>
      <w:r>
        <w:t>MP §9.1 lists Meridian at 1325 G Street NW, Suite 900, Washington, D.C.; MP-R1 §2.1 lists 1100 Connecticut Avenue NW, Suite 800. MP Appendix A lists Ronan Giles’s email as rgiles@pinnacleind.com, while the negotiation emails use rgiles@pinnacleindustrial.com.</w:t>
      </w:r>
    </w:p>
    <w:p>
      <w:pPr>
        <w:widowControl/>
        <w:spacing w:after="80"/>
        <w:ind w:left="259"/>
      </w:pPr>
      <w:r>
        <w:rPr>
          <w:b/>
          <w:color w:val="0F6B78"/>
        </w:rPr>
        <w:t xml:space="preserve">Resolution: </w:t>
      </w:r>
      <w:r>
        <w:t>Verify the current Meridian address and the authorized Giles email for approvals/notices; circulate one controlled contact directory, particularly for WS-4 submissions and written approvals.</w:t>
      </w:r>
    </w:p>
    <w:p>
      <w:pPr>
        <w:pStyle w:val="Heading1"/>
        <w:widowControl/>
      </w:pPr>
      <w:r>
        <w:t>5. Recommended close-out checklist</w:t>
      </w:r>
    </w:p>
    <w:p>
      <w:pPr>
        <w:widowControl/>
      </w:pPr>
      <w:r>
        <w:t>Before treating this packet as a complete, internally consistent scope authorization, obtain a single approved scope/budget schedule or written amendment addressing the following, with execution status and approval authority made explicit:</w:t>
      </w:r>
    </w:p>
    <w:p>
      <w:pPr>
        <w:pStyle w:val="ListNumber"/>
        <w:widowControl/>
        <w:spacing w:after="60"/>
      </w:pPr>
      <w:r>
        <w:t>Confirm fully executed Engagement Letter and Matter Plan; confirm PHS is bound as a Client. Confirm signed Revision 1 and prior written General Counsel approval for the $320,000 WS-4 stream (above $212,500 threshold).</w:t>
      </w:r>
    </w:p>
    <w:p>
      <w:pPr>
        <w:pStyle w:val="ListNumber"/>
        <w:widowControl/>
        <w:spacing w:after="60"/>
      </w:pPr>
      <w:r>
        <w:t>Adopt a non-HX-9000/tag-along protocol: whether consolidation itself expands scope, the exact approval route, whether emergency/essential work may proceed pending approval, and how fees will be budgeted.</w:t>
      </w:r>
    </w:p>
    <w:p>
      <w:pPr>
        <w:pStyle w:val="ListNumber"/>
        <w:widowControl/>
        <w:spacing w:after="60"/>
      </w:pPr>
      <w:r>
        <w:t>Define WS-4 division of responsibility with Meridian: W&amp;C permitted drafts/reviews/coordination, Meridian sign-off and filing, who may communicate/attend CPSC events, and required DGC review periods. Attach the required Regulatory Coordination Protocol.</w:t>
      </w:r>
    </w:p>
    <w:p>
      <w:pPr>
        <w:pStyle w:val="ListNumber"/>
        <w:widowControl/>
        <w:spacing w:after="60"/>
      </w:pPr>
      <w:r>
        <w:t>Issue one reconciled budget: work-stream fee caps/contingency, contract reviewer cost estimate and classification, expert budget and reserve, and total disbursements. Make all documents reflect $4.25m fee / $1.35m disbursement totals unless formally amended.</w:t>
      </w:r>
    </w:p>
    <w:p>
      <w:pPr>
        <w:pStyle w:val="ListNumber"/>
        <w:widowControl/>
        <w:spacing w:after="60"/>
      </w:pPr>
      <w:r>
        <w:t>Define “Actual Aggregate Payments” and “all claims” for the success fee; address insurer payments, indemnity, defense costs, allocated loss adjustment expenses, both proceedings, timing, non-cash terms, and termination proration.</w:t>
      </w:r>
    </w:p>
    <w:p>
      <w:pPr>
        <w:pStyle w:val="ListNumber"/>
        <w:widowControl/>
        <w:spacing w:after="60"/>
      </w:pPr>
      <w:r>
        <w:t>Resolve OCG conflicts expressly by pinpoint reference: retroactive monthly cap overages, rate increases, $10k–$25k expense notice, named timekeeper approvals, and document precedence. Set a single procedural calendar for overage request/report/approval.</w:t>
      </w:r>
    </w:p>
    <w:p>
      <w:pPr>
        <w:pStyle w:val="ListNumber"/>
        <w:widowControl/>
        <w:spacing w:after="60"/>
      </w:pPr>
      <w:r>
        <w:t>Correct mediation date in the timeline, confirm state-trial schedule/post-trial boundary, reconcile plaintiff counts, and correct MP-R1 cross-references.</w:t>
      </w:r>
    </w:p>
    <w:p>
      <w:pPr>
        <w:pStyle w:val="ListNumber"/>
        <w:widowControl/>
        <w:spacing w:after="60"/>
      </w:pPr>
      <w:r>
        <w:t>Provide the Pinnacle internal tracking number; approve named timekeepers and rates (including all reviewer individuals); establish OCG-compliant e-billing, expense and approval workflows; verify Giles’s email and Meridian’s current address.</w:t>
      </w:r>
    </w:p>
    <w:p>
      <w:pPr>
        <w:pStyle w:val="Heading1"/>
        <w:widowControl/>
      </w:pPr>
      <w:r>
        <w:t>Appendix A. Budget cross-check</w:t>
      </w:r>
    </w:p>
    <w:tbl>
      <w:tblPr>
        <w:tblW w:type="auto" w:w="0"/>
        <w:jc w:val="center"/>
        <w:tblLayout w:type="fixed"/>
        <w:tblLook w:firstColumn="1" w:firstRow="1" w:lastColumn="0" w:lastRow="0" w:noHBand="0" w:noVBand="1" w:val="04A0"/>
      </w:tblPr>
      <w:tblGrid>
        <w:gridCol w:w="1800"/>
        <w:gridCol w:w="2160"/>
        <w:gridCol w:w="2520"/>
        <w:gridCol w:w="2448"/>
        <w:gridCol w:w="2016"/>
      </w:tblGrid>
      <w:tr>
        <w:trPr>
          <w:tblHeader w:val="true"/>
        </w:trPr>
        <w:tc>
          <w:tcPr>
            <w:tcW w:type="dxa" w:w="1800"/>
            <w:vAlign w:val="center"/>
            <w:tcMar>
              <w:top w:w="70" w:type="dxa"/>
              <w:start w:w="85" w:type="dxa"/>
              <w:bottom w:w="70" w:type="dxa"/>
              <w:end w:w="85" w:type="dxa"/>
            </w:tcMar>
            <w:shd w:fill="17365D"/>
          </w:tcPr>
          <w:p>
            <w:pPr>
              <w:spacing w:after="0" w:line="240" w:lineRule="auto"/>
            </w:pPr>
            <w:r/>
            <w:r>
              <w:rPr>
                <w:rFonts w:ascii="Aptos" w:hAnsi="Aptos"/>
                <w:b/>
                <w:color w:val="FFFFFF"/>
                <w:sz w:val="16"/>
              </w:rPr>
              <w:t>Budget item</w:t>
            </w:r>
          </w:p>
        </w:tc>
        <w:tc>
          <w:tcPr>
            <w:tcW w:type="dxa" w:w="2160"/>
            <w:vAlign w:val="center"/>
            <w:tcMar>
              <w:top w:w="70" w:type="dxa"/>
              <w:start w:w="85" w:type="dxa"/>
              <w:bottom w:w="70" w:type="dxa"/>
              <w:end w:w="85" w:type="dxa"/>
            </w:tcMar>
            <w:shd w:fill="17365D"/>
          </w:tcPr>
          <w:p>
            <w:pPr>
              <w:spacing w:after="0" w:line="240" w:lineRule="auto"/>
            </w:pPr>
            <w:r/>
            <w:r>
              <w:rPr>
                <w:rFonts w:ascii="Aptos" w:hAnsi="Aptos"/>
                <w:b/>
                <w:color w:val="FFFFFF"/>
                <w:sz w:val="16"/>
              </w:rPr>
              <w:t>Engagement Letter</w:t>
            </w:r>
          </w:p>
        </w:tc>
        <w:tc>
          <w:tcPr>
            <w:tcW w:type="dxa" w:w="2520"/>
            <w:vAlign w:val="center"/>
            <w:tcMar>
              <w:top w:w="70" w:type="dxa"/>
              <w:start w:w="85" w:type="dxa"/>
              <w:bottom w:w="70" w:type="dxa"/>
              <w:end w:w="85" w:type="dxa"/>
            </w:tcMar>
            <w:shd w:fill="17365D"/>
          </w:tcPr>
          <w:p>
            <w:pPr>
              <w:spacing w:after="0" w:line="240" w:lineRule="auto"/>
            </w:pPr>
            <w:r/>
            <w:r>
              <w:rPr>
                <w:rFonts w:ascii="Aptos" w:hAnsi="Aptos"/>
                <w:b/>
                <w:color w:val="FFFFFF"/>
                <w:sz w:val="16"/>
              </w:rPr>
              <w:t>Matter Plan / Revision 1</w:t>
            </w:r>
          </w:p>
        </w:tc>
        <w:tc>
          <w:tcPr>
            <w:tcW w:type="dxa" w:w="2448"/>
            <w:vAlign w:val="center"/>
            <w:tcMar>
              <w:top w:w="70" w:type="dxa"/>
              <w:start w:w="85" w:type="dxa"/>
              <w:bottom w:w="70" w:type="dxa"/>
              <w:end w:w="85" w:type="dxa"/>
            </w:tcMar>
            <w:shd w:fill="17365D"/>
          </w:tcPr>
          <w:p>
            <w:pPr>
              <w:spacing w:after="0" w:line="240" w:lineRule="auto"/>
            </w:pPr>
            <w:r/>
            <w:r>
              <w:rPr>
                <w:rFonts w:ascii="Aptos" w:hAnsi="Aptos"/>
                <w:b/>
                <w:color w:val="FFFFFF"/>
                <w:sz w:val="16"/>
              </w:rPr>
              <w:t>Budget workbook</w:t>
            </w:r>
          </w:p>
        </w:tc>
        <w:tc>
          <w:tcPr>
            <w:tcW w:type="dxa" w:w="2016"/>
            <w:vAlign w:val="center"/>
            <w:tcMar>
              <w:top w:w="70" w:type="dxa"/>
              <w:start w:w="85" w:type="dxa"/>
              <w:bottom w:w="70" w:type="dxa"/>
              <w:end w:w="85" w:type="dxa"/>
            </w:tcMar>
            <w:shd w:fill="17365D"/>
          </w:tcPr>
          <w:p>
            <w:pPr>
              <w:spacing w:after="0" w:line="240" w:lineRule="auto"/>
            </w:pPr>
            <w:r/>
            <w:r>
              <w:rPr>
                <w:rFonts w:ascii="Aptos" w:hAnsi="Aptos"/>
                <w:b/>
                <w:color w:val="FFFFFF"/>
                <w:sz w:val="16"/>
              </w:rPr>
              <w:t>Finding</w:t>
            </w:r>
          </w:p>
        </w:tc>
      </w:tr>
      <w:tr>
        <w:trPr>
          <w:cantSplit/>
        </w:trPr>
        <w:tc>
          <w:tcPr>
            <w:tcW w:type="dxa" w:w="1800"/>
            <w:vAlign w:val="center"/>
            <w:tcMar>
              <w:top w:w="70" w:type="dxa"/>
              <w:start w:w="85" w:type="dxa"/>
              <w:bottom w:w="70" w:type="dxa"/>
              <w:end w:w="85" w:type="dxa"/>
            </w:tcMar>
          </w:tcPr>
          <w:p>
            <w:pPr>
              <w:spacing w:after="0" w:line="240" w:lineRule="auto"/>
            </w:pPr>
            <w:r/>
            <w:r>
              <w:rPr>
                <w:rFonts w:ascii="Aptos" w:hAnsi="Aptos"/>
                <w:b w:val="0"/>
                <w:color w:val="202A35"/>
                <w:sz w:val="14"/>
              </w:rPr>
              <w:t>Aggregate fee budget</w:t>
            </w:r>
          </w:p>
        </w:tc>
        <w:tc>
          <w:tcPr>
            <w:tcW w:type="dxa" w:w="2160"/>
            <w:vAlign w:val="center"/>
            <w:tcMar>
              <w:top w:w="70" w:type="dxa"/>
              <w:start w:w="85" w:type="dxa"/>
              <w:bottom w:w="70" w:type="dxa"/>
              <w:end w:w="85" w:type="dxa"/>
            </w:tcMar>
          </w:tcPr>
          <w:p>
            <w:pPr>
              <w:spacing w:after="0" w:line="240" w:lineRule="auto"/>
            </w:pPr>
            <w:r/>
            <w:r>
              <w:rPr>
                <w:rFonts w:ascii="Aptos" w:hAnsi="Aptos"/>
                <w:b w:val="0"/>
                <w:color w:val="202A35"/>
                <w:sz w:val="14"/>
              </w:rPr>
              <w:t>$4,250,000</w:t>
            </w:r>
          </w:p>
        </w:tc>
        <w:tc>
          <w:tcPr>
            <w:tcW w:type="dxa" w:w="2520"/>
            <w:vAlign w:val="center"/>
            <w:tcMar>
              <w:top w:w="70" w:type="dxa"/>
              <w:start w:w="85" w:type="dxa"/>
              <w:bottom w:w="70" w:type="dxa"/>
              <w:end w:w="85" w:type="dxa"/>
            </w:tcMar>
          </w:tcPr>
          <w:p>
            <w:pPr>
              <w:spacing w:after="0" w:line="240" w:lineRule="auto"/>
            </w:pPr>
            <w:r/>
            <w:r>
              <w:rPr>
                <w:rFonts w:ascii="Aptos" w:hAnsi="Aptos"/>
                <w:b w:val="0"/>
                <w:color w:val="202A35"/>
                <w:sz w:val="14"/>
              </w:rPr>
              <w:t>$4,250,000</w:t>
            </w:r>
          </w:p>
        </w:tc>
        <w:tc>
          <w:tcPr>
            <w:tcW w:type="dxa" w:w="2448"/>
            <w:vAlign w:val="center"/>
            <w:tcMar>
              <w:top w:w="70" w:type="dxa"/>
              <w:start w:w="85" w:type="dxa"/>
              <w:bottom w:w="70" w:type="dxa"/>
              <w:end w:w="85" w:type="dxa"/>
            </w:tcMar>
          </w:tcPr>
          <w:p>
            <w:pPr>
              <w:spacing w:after="0" w:line="240" w:lineRule="auto"/>
            </w:pPr>
            <w:r/>
            <w:r>
              <w:rPr>
                <w:rFonts w:ascii="Aptos" w:hAnsi="Aptos"/>
                <w:b w:val="0"/>
                <w:color w:val="202A35"/>
                <w:sz w:val="14"/>
              </w:rPr>
              <w:t>$4,250,000</w:t>
            </w:r>
          </w:p>
        </w:tc>
        <w:tc>
          <w:tcPr>
            <w:tcW w:type="dxa" w:w="2016"/>
            <w:vAlign w:val="center"/>
            <w:tcMar>
              <w:top w:w="70" w:type="dxa"/>
              <w:start w:w="85" w:type="dxa"/>
              <w:bottom w:w="70" w:type="dxa"/>
              <w:end w:w="85" w:type="dxa"/>
            </w:tcMar>
          </w:tcPr>
          <w:p>
            <w:pPr>
              <w:spacing w:after="0" w:line="240" w:lineRule="auto"/>
            </w:pPr>
            <w:r/>
            <w:r>
              <w:rPr>
                <w:rFonts w:ascii="Aptos" w:hAnsi="Aptos"/>
                <w:b w:val="0"/>
                <w:color w:val="202A35"/>
                <w:sz w:val="14"/>
              </w:rPr>
              <w:t>Control total agrees. Workbook monthly forecast totals $4.25m and shows no month above $285,000 (September 2025 is at cap); it reflects workbook stream allocations, not the MP split.</w:t>
            </w:r>
          </w:p>
        </w:tc>
      </w:tr>
      <w:tr>
        <w:trPr>
          <w:cantSplit/>
        </w:trPr>
        <w:tc>
          <w:tcPr>
            <w:tcW w:type="dxa" w:w="180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Work-stream fee allocations</w:t>
            </w:r>
          </w:p>
        </w:tc>
        <w:tc>
          <w:tcPr>
            <w:tcW w:type="dxa" w:w="216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No detailed split in EL; Exhibit B only aggregate</w:t>
            </w:r>
          </w:p>
        </w:tc>
        <w:tc>
          <w:tcPr>
            <w:tcW w:type="dxa" w:w="252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$1.85m / $475k / $385k / $320k / $95k / $420k / $345k + $360k contingency</w:t>
            </w:r>
          </w:p>
        </w:tc>
        <w:tc>
          <w:tcPr>
            <w:tcW w:type="dxa" w:w="2448"/>
            <w:vAlign w:val="center"/>
            <w:tcMar>
              <w:top w:w="70" w:type="dxa"/>
              <w:start w:w="85" w:type="dxa"/>
              <w:bottom w:w="70" w:type="dxa"/>
              <w:end w:w="85" w:type="dxa"/>
            </w:tcMar>
            <w:shd w:fill="F3F6F9"/>
          </w:tcPr>
          <w:p>
            <w:pPr>
              <w:spacing w:after="0" w:line="240" w:lineRule="auto"/>
            </w:pPr>
            <w:r/>
            <w:r>
              <w:rPr>
                <w:rFonts w:ascii="Aptos" w:hAnsi="Aptos"/>
                <w:b w:val="0"/>
                <w:color w:val="202A35"/>
                <w:sz w:val="14"/>
              </w:rPr>
              <w:t>$1.65m / $480k / $385k / $320k / $95k / $870k / $450k; no contingency</w:t>
            </w:r>
          </w:p>
        </w:tc>
        <w:tc>
          <w:tcPr>
            <w:tcW w:type="dxa" w:w="2016"/>
            <w:vAlign w:val="center"/>
            <w:tcMar>
              <w:top w:w="70" w:type="dxa"/>
              <w:start w:w="85" w:type="dxa"/>
              <w:bottom w:w="70" w:type="dxa"/>
              <w:end w:w="85" w:type="dxa"/>
            </w:tcMar>
            <w:shd w:fill="F3F6F9"/>
          </w:tcPr>
          <w:p>
            <w:pPr>
              <w:spacing w:after="0" w:line="240" w:lineRule="auto"/>
            </w:pPr>
            <w:r/>
            <w:r>
              <w:rPr>
                <w:rFonts w:ascii="Aptos" w:hAnsi="Aptos"/>
                <w:b w:val="0"/>
                <w:color w:val="202A35"/>
                <w:sz w:val="14"/>
              </w:rPr>
              <w:t>Same total, materially different authorization by stream.</w:t>
            </w:r>
          </w:p>
        </w:tc>
      </w:tr>
      <w:tr>
        <w:trPr>
          <w:cantSplit/>
        </w:trPr>
        <w:tc>
          <w:tcPr>
            <w:tcW w:type="dxa" w:w="1800"/>
            <w:vAlign w:val="center"/>
            <w:tcMar>
              <w:top w:w="70" w:type="dxa"/>
              <w:start w:w="85" w:type="dxa"/>
              <w:bottom w:w="70" w:type="dxa"/>
              <w:end w:w="85" w:type="dxa"/>
            </w:tcMar>
          </w:tcPr>
          <w:p>
            <w:pPr>
              <w:spacing w:after="0" w:line="240" w:lineRule="auto"/>
            </w:pPr>
            <w:r/>
            <w:r>
              <w:rPr>
                <w:rFonts w:ascii="Aptos" w:hAnsi="Aptos"/>
                <w:b w:val="0"/>
                <w:color w:val="202A35"/>
                <w:sz w:val="14"/>
              </w:rPr>
              <w:t>Expert witness disbursements</w:t>
            </w:r>
          </w:p>
        </w:tc>
        <w:tc>
          <w:tcPr>
            <w:tcW w:type="dxa" w:w="2160"/>
            <w:vAlign w:val="center"/>
            <w:tcMar>
              <w:top w:w="70" w:type="dxa"/>
              <w:start w:w="85" w:type="dxa"/>
              <w:bottom w:w="70" w:type="dxa"/>
              <w:end w:w="85" w:type="dxa"/>
            </w:tcMar>
          </w:tcPr>
          <w:p>
            <w:pPr>
              <w:spacing w:after="0" w:line="240" w:lineRule="auto"/>
            </w:pPr>
            <w:r/>
            <w:r>
              <w:rPr>
                <w:rFonts w:ascii="Aptos" w:hAnsi="Aptos"/>
                <w:b w:val="0"/>
                <w:color w:val="202A35"/>
                <w:sz w:val="14"/>
              </w:rPr>
              <w:t>$780,000</w:t>
            </w:r>
          </w:p>
        </w:tc>
        <w:tc>
          <w:tcPr>
            <w:tcW w:type="dxa" w:w="2520"/>
            <w:vAlign w:val="center"/>
            <w:tcMar>
              <w:top w:w="70" w:type="dxa"/>
              <w:start w:w="85" w:type="dxa"/>
              <w:bottom w:w="70" w:type="dxa"/>
              <w:end w:w="85" w:type="dxa"/>
            </w:tcMar>
          </w:tcPr>
          <w:p>
            <w:pPr>
              <w:spacing w:after="0" w:line="240" w:lineRule="auto"/>
            </w:pPr>
            <w:r/>
            <w:r>
              <w:rPr>
                <w:rFonts w:ascii="Aptos" w:hAnsi="Aptos"/>
                <w:b w:val="0"/>
                <w:color w:val="202A35"/>
                <w:sz w:val="14"/>
              </w:rPr>
              <w:t>$780,000 in WS-3 narrative; $760,000 in §7.2 table</w:t>
            </w:r>
          </w:p>
        </w:tc>
        <w:tc>
          <w:tcPr>
            <w:tcW w:type="dxa" w:w="2448"/>
            <w:vAlign w:val="center"/>
            <w:tcMar>
              <w:top w:w="70" w:type="dxa"/>
              <w:start w:w="85" w:type="dxa"/>
              <w:bottom w:w="70" w:type="dxa"/>
              <w:end w:w="85" w:type="dxa"/>
            </w:tcMar>
          </w:tcPr>
          <w:p>
            <w:pPr>
              <w:spacing w:after="0" w:line="240" w:lineRule="auto"/>
            </w:pPr>
            <w:r/>
            <w:r>
              <w:rPr>
                <w:rFonts w:ascii="Aptos" w:hAnsi="Aptos"/>
                <w:b w:val="0"/>
                <w:color w:val="202A35"/>
                <w:sz w:val="14"/>
              </w:rPr>
              <w:t>$760,000; $210,000 rebuttal reserve</w:t>
            </w:r>
          </w:p>
        </w:tc>
        <w:tc>
          <w:tcPr>
            <w:tcW w:type="dxa" w:w="2016"/>
            <w:vAlign w:val="center"/>
            <w:tcMar>
              <w:top w:w="70" w:type="dxa"/>
              <w:start w:w="85" w:type="dxa"/>
              <w:bottom w:w="70" w:type="dxa"/>
              <w:end w:w="85" w:type="dxa"/>
            </w:tcMar>
          </w:tcPr>
          <w:p>
            <w:pPr>
              <w:spacing w:after="0" w:line="240" w:lineRule="auto"/>
            </w:pPr>
            <w:r/>
            <w:r>
              <w:rPr>
                <w:rFonts w:ascii="Aptos" w:hAnsi="Aptos"/>
                <w:b w:val="0"/>
                <w:color w:val="202A35"/>
                <w:sz w:val="14"/>
              </w:rPr>
              <w:t>$20,000 difference; table/workbook conflict with their own narrative and EL.</w:t>
            </w:r>
          </w:p>
        </w:tc>
      </w:tr>
      <w:tr>
        <w:trPr>
          <w:cantSplit/>
        </w:trPr>
        <w:tc>
          <w:tcPr>
            <w:tcW w:type="dxa" w:w="180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Total disbursement budget</w:t>
            </w:r>
          </w:p>
        </w:tc>
        <w:tc>
          <w:tcPr>
            <w:tcW w:type="dxa" w:w="216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$1,350,000</w:t>
            </w:r>
          </w:p>
        </w:tc>
        <w:tc>
          <w:tcPr>
            <w:tcW w:type="dxa" w:w="252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$1,330,000 (§7.2 table)</w:t>
            </w:r>
          </w:p>
        </w:tc>
        <w:tc>
          <w:tcPr>
            <w:tcW w:type="dxa" w:w="2448"/>
            <w:vAlign w:val="center"/>
            <w:tcMar>
              <w:top w:w="70" w:type="dxa"/>
              <w:start w:w="85" w:type="dxa"/>
              <w:bottom w:w="70" w:type="dxa"/>
              <w:end w:w="85" w:type="dxa"/>
            </w:tcMar>
            <w:shd w:fill="F3F6F9"/>
          </w:tcPr>
          <w:p>
            <w:pPr>
              <w:spacing w:after="0" w:line="240" w:lineRule="auto"/>
            </w:pPr>
            <w:r/>
            <w:r>
              <w:rPr>
                <w:rFonts w:ascii="Aptos" w:hAnsi="Aptos"/>
                <w:b w:val="0"/>
                <w:color w:val="202A35"/>
                <w:sz w:val="14"/>
              </w:rPr>
              <w:t>$1,330,000, with note EL states $1.35m</w:t>
            </w:r>
          </w:p>
        </w:tc>
        <w:tc>
          <w:tcPr>
            <w:tcW w:type="dxa" w:w="2016"/>
            <w:vAlign w:val="center"/>
            <w:tcMar>
              <w:top w:w="70" w:type="dxa"/>
              <w:start w:w="85" w:type="dxa"/>
              <w:bottom w:w="70" w:type="dxa"/>
              <w:end w:w="85" w:type="dxa"/>
            </w:tcMar>
            <w:shd w:fill="F3F6F9"/>
          </w:tcPr>
          <w:p>
            <w:pPr>
              <w:spacing w:after="0" w:line="240" w:lineRule="auto"/>
            </w:pPr>
            <w:r/>
            <w:r>
              <w:rPr>
                <w:rFonts w:ascii="Aptos" w:hAnsi="Aptos"/>
                <w:b w:val="0"/>
                <w:color w:val="202A35"/>
                <w:sz w:val="14"/>
              </w:rPr>
              <w:t>EL total is $20,000 higher; listed EL categories total $1.35m.</w:t>
            </w:r>
          </w:p>
        </w:tc>
      </w:tr>
      <w:tr>
        <w:trPr>
          <w:cantSplit/>
        </w:trPr>
        <w:tc>
          <w:tcPr>
            <w:tcW w:type="dxa" w:w="1800"/>
            <w:vAlign w:val="center"/>
            <w:tcMar>
              <w:top w:w="70" w:type="dxa"/>
              <w:start w:w="85" w:type="dxa"/>
              <w:bottom w:w="70" w:type="dxa"/>
              <w:end w:w="85" w:type="dxa"/>
            </w:tcMar>
          </w:tcPr>
          <w:p>
            <w:pPr>
              <w:spacing w:after="0" w:line="240" w:lineRule="auto"/>
            </w:pPr>
            <w:r/>
            <w:r>
              <w:rPr>
                <w:rFonts w:ascii="Aptos" w:hAnsi="Aptos"/>
                <w:b w:val="0"/>
                <w:color w:val="202A35"/>
                <w:sz w:val="14"/>
              </w:rPr>
              <w:t>Other disbursement categories</w:t>
            </w:r>
          </w:p>
        </w:tc>
        <w:tc>
          <w:tcPr>
            <w:tcW w:type="dxa" w:w="2160"/>
            <w:vAlign w:val="center"/>
            <w:tcMar>
              <w:top w:w="70" w:type="dxa"/>
              <w:start w:w="85" w:type="dxa"/>
              <w:bottom w:w="70" w:type="dxa"/>
              <w:end w:w="85" w:type="dxa"/>
            </w:tcMar>
          </w:tcPr>
          <w:p>
            <w:pPr>
              <w:spacing w:after="0" w:line="240" w:lineRule="auto"/>
            </w:pPr>
            <w:r/>
            <w:r>
              <w:rPr>
                <w:rFonts w:ascii="Aptos" w:hAnsi="Aptos"/>
                <w:b w:val="0"/>
                <w:color w:val="202A35"/>
                <w:sz w:val="14"/>
              </w:rPr>
              <w:t>$340k e-discovery; $155k travel/depositions; $75k court reporting</w:t>
            </w:r>
          </w:p>
        </w:tc>
        <w:tc>
          <w:tcPr>
            <w:tcW w:type="dxa" w:w="2520"/>
            <w:vAlign w:val="center"/>
            <w:tcMar>
              <w:top w:w="70" w:type="dxa"/>
              <w:start w:w="85" w:type="dxa"/>
              <w:bottom w:w="70" w:type="dxa"/>
              <w:end w:w="85" w:type="dxa"/>
            </w:tcMar>
          </w:tcPr>
          <w:p>
            <w:pPr>
              <w:spacing w:after="0" w:line="240" w:lineRule="auto"/>
            </w:pPr>
            <w:r/>
            <w:r>
              <w:rPr>
                <w:rFonts w:ascii="Aptos" w:hAnsi="Aptos"/>
                <w:b w:val="0"/>
                <w:color w:val="202A35"/>
                <w:sz w:val="14"/>
              </w:rPr>
              <w:t>Same listed categories</w:t>
            </w:r>
          </w:p>
        </w:tc>
        <w:tc>
          <w:tcPr>
            <w:tcW w:type="dxa" w:w="2448"/>
            <w:vAlign w:val="center"/>
            <w:tcMar>
              <w:top w:w="70" w:type="dxa"/>
              <w:start w:w="85" w:type="dxa"/>
              <w:bottom w:w="70" w:type="dxa"/>
              <w:end w:w="85" w:type="dxa"/>
            </w:tcMar>
          </w:tcPr>
          <w:p>
            <w:pPr>
              <w:spacing w:after="0" w:line="240" w:lineRule="auto"/>
            </w:pPr>
            <w:r/>
            <w:r>
              <w:rPr>
                <w:rFonts w:ascii="Aptos" w:hAnsi="Aptos"/>
                <w:b w:val="0"/>
                <w:color w:val="202A35"/>
                <w:sz w:val="14"/>
              </w:rPr>
              <w:t>Same listed categories</w:t>
            </w:r>
          </w:p>
        </w:tc>
        <w:tc>
          <w:tcPr>
            <w:tcW w:type="dxa" w:w="2016"/>
            <w:vAlign w:val="center"/>
            <w:tcMar>
              <w:top w:w="70" w:type="dxa"/>
              <w:start w:w="85" w:type="dxa"/>
              <w:bottom w:w="70" w:type="dxa"/>
              <w:end w:w="85" w:type="dxa"/>
            </w:tcMar>
          </w:tcPr>
          <w:p>
            <w:pPr>
              <w:spacing w:after="0" w:line="240" w:lineRule="auto"/>
            </w:pPr>
            <w:r/>
            <w:r>
              <w:rPr>
                <w:rFonts w:ascii="Aptos" w:hAnsi="Aptos"/>
                <w:b w:val="0"/>
                <w:color w:val="202A35"/>
                <w:sz w:val="14"/>
              </w:rPr>
              <w:t>These three categories total $570k; difference is expert line.</w:t>
            </w:r>
          </w:p>
        </w:tc>
      </w:tr>
      <w:tr>
        <w:trPr>
          <w:cantSplit/>
        </w:trPr>
        <w:tc>
          <w:tcPr>
            <w:tcW w:type="dxa" w:w="180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Contract reviewers</w:t>
            </w:r>
          </w:p>
        </w:tc>
        <w:tc>
          <w:tcPr>
            <w:tcW w:type="dxa" w:w="216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$55/hr, separate invoice line; classification not explicit</w:t>
            </w:r>
          </w:p>
        </w:tc>
        <w:tc>
          <w:tcPr>
            <w:tcW w:type="dxa" w:w="2520"/>
            <w:vAlign w:val="center"/>
            <w:tcMar>
              <w:top w:w="70" w:type="dxa"/>
              <w:start w:w="85" w:type="dxa"/>
              <w:bottom w:w="70" w:type="dxa"/>
              <w:end w:w="85" w:type="dxa"/>
            </w:tcMar>
            <w:shd w:fill="F3F6F9"/>
          </w:tcPr>
          <w:p>
            <w:pPr>
              <w:spacing w:after="0" w:line="240" w:lineRule="auto"/>
            </w:pPr>
            <w:r/>
            <w:r>
              <w:rPr>
                <w:rFonts w:ascii="Aptos" w:hAnsi="Aptos"/>
                <w:b w:val="0"/>
                <w:color w:val="202A35"/>
                <w:sz w:val="14"/>
              </w:rPr>
              <w:t>$Excluded from WS6 fee sub-budget; treated within disbursement framework, but no dollar line</w:t>
            </w:r>
          </w:p>
        </w:tc>
        <w:tc>
          <w:tcPr>
            <w:tcW w:type="dxa" w:w="2448"/>
            <w:vAlign w:val="center"/>
            <w:tcMar>
              <w:top w:w="70" w:type="dxa"/>
              <w:start w:w="85" w:type="dxa"/>
              <w:bottom w:w="70" w:type="dxa"/>
              <w:end w:w="85" w:type="dxa"/>
            </w:tcMar>
            <w:shd w:fill="F3F6F9"/>
          </w:tcPr>
          <w:p>
            <w:pPr>
              <w:spacing w:after="0" w:line="240" w:lineRule="auto"/>
            </w:pPr>
            <w:r/>
            <w:r>
              <w:rPr>
                <w:rFonts w:ascii="Aptos" w:hAnsi="Aptos"/>
                <w:b w:val="0"/>
                <w:color w:val="202A35"/>
                <w:sz w:val="14"/>
              </w:rPr>
              <w:t>$Included in WS6 $870k fee tab per note; no reviewer amount in disbursement tab</w:t>
            </w:r>
          </w:p>
        </w:tc>
        <w:tc>
          <w:tcPr>
            <w:tcW w:type="dxa" w:w="2016"/>
            <w:vAlign w:val="center"/>
            <w:tcMar>
              <w:top w:w="70" w:type="dxa"/>
              <w:start w:w="85" w:type="dxa"/>
              <w:bottom w:w="70" w:type="dxa"/>
              <w:end w:w="85" w:type="dxa"/>
            </w:tcMar>
            <w:shd w:fill="F3F6F9"/>
          </w:tcPr>
          <w:p>
            <w:pPr>
              <w:spacing w:after="0" w:line="240" w:lineRule="auto"/>
            </w:pPr>
            <w:r/>
            <w:r>
              <w:rPr>
                <w:rFonts w:ascii="Aptos" w:hAnsi="Aptos"/>
                <w:b w:val="0"/>
                <w:color w:val="202A35"/>
                <w:sz w:val="14"/>
              </w:rPr>
              <w:t>Classification and $450k apparent increment unresolved.</w:t>
            </w:r>
          </w:p>
        </w:tc>
      </w:tr>
    </w:tbl>
    <w:p>
      <w:pPr>
        <w:widowControl/>
        <w:spacing w:after="20"/>
      </w:pPr>
    </w:p>
    <w:p>
      <w:pPr>
        <w:pStyle w:val="Heading1"/>
        <w:widowControl/>
      </w:pPr>
      <w:r>
        <w:t>Appendix B. Key source references</w:t>
      </w:r>
    </w:p>
    <w:tbl>
      <w:tblPr>
        <w:tblW w:type="auto" w:w="0"/>
        <w:jc w:val="center"/>
        <w:tblLayout w:type="fixed"/>
        <w:tblLook w:firstColumn="1" w:firstRow="1" w:lastColumn="0" w:lastRow="0" w:noHBand="0" w:noVBand="1" w:val="04A0"/>
      </w:tblPr>
      <w:tblGrid>
        <w:gridCol w:w="1944"/>
        <w:gridCol w:w="8640"/>
      </w:tblGrid>
      <w:tr>
        <w:trPr>
          <w:tblHeader w:val="true"/>
        </w:trPr>
        <w:tc>
          <w:tcPr>
            <w:tcW w:type="dxa" w:w="1944"/>
            <w:vAlign w:val="center"/>
            <w:tcMar>
              <w:top w:w="70" w:type="dxa"/>
              <w:start w:w="85" w:type="dxa"/>
              <w:bottom w:w="70" w:type="dxa"/>
              <w:end w:w="85" w:type="dxa"/>
            </w:tcMar>
            <w:shd w:fill="17365D"/>
          </w:tcPr>
          <w:p>
            <w:pPr>
              <w:spacing w:after="0" w:line="240" w:lineRule="auto"/>
            </w:pPr>
            <w:r/>
            <w:r>
              <w:rPr>
                <w:rFonts w:ascii="Aptos" w:hAnsi="Aptos"/>
                <w:b/>
                <w:color w:val="FFFFFF"/>
                <w:sz w:val="16"/>
              </w:rPr>
              <w:t>Short name</w:t>
            </w:r>
          </w:p>
        </w:tc>
        <w:tc>
          <w:tcPr>
            <w:tcW w:type="dxa" w:w="8640"/>
            <w:vAlign w:val="center"/>
            <w:tcMar>
              <w:top w:w="70" w:type="dxa"/>
              <w:start w:w="85" w:type="dxa"/>
              <w:bottom w:w="70" w:type="dxa"/>
              <w:end w:w="85" w:type="dxa"/>
            </w:tcMar>
            <w:shd w:fill="17365D"/>
          </w:tcPr>
          <w:p>
            <w:pPr>
              <w:spacing w:after="0" w:line="240" w:lineRule="auto"/>
            </w:pPr>
            <w:r/>
            <w:r>
              <w:rPr>
                <w:rFonts w:ascii="Aptos" w:hAnsi="Aptos"/>
                <w:b/>
                <w:color w:val="FFFFFF"/>
                <w:sz w:val="16"/>
              </w:rPr>
              <w:t>Pinpoint references</w:t>
            </w:r>
          </w:p>
        </w:tc>
      </w:tr>
      <w:tr>
        <w:trPr>
          <w:cantSplit/>
        </w:trPr>
        <w:tc>
          <w:tcPr>
            <w:tcW w:type="dxa" w:w="1944"/>
            <w:vAlign w:val="center"/>
            <w:tcMar>
              <w:top w:w="70" w:type="dxa"/>
              <w:start w:w="85" w:type="dxa"/>
              <w:bottom w:w="70" w:type="dxa"/>
              <w:end w:w="85" w:type="dxa"/>
            </w:tcMar>
          </w:tcPr>
          <w:p>
            <w:pPr>
              <w:spacing w:after="0" w:line="240" w:lineRule="auto"/>
            </w:pPr>
            <w:r/>
            <w:r>
              <w:rPr>
                <w:rFonts w:ascii="Aptos" w:hAnsi="Aptos"/>
                <w:b w:val="0"/>
                <w:color w:val="202A35"/>
                <w:sz w:val="16"/>
              </w:rPr>
              <w:t>EL</w:t>
            </w:r>
          </w:p>
        </w:tc>
        <w:tc>
          <w:tcPr>
            <w:tcW w:type="dxa" w:w="8640"/>
            <w:vAlign w:val="center"/>
            <w:tcMar>
              <w:top w:w="70" w:type="dxa"/>
              <w:start w:w="85" w:type="dxa"/>
              <w:bottom w:w="70" w:type="dxa"/>
              <w:end w:w="85" w:type="dxa"/>
            </w:tcMar>
          </w:tcPr>
          <w:p>
            <w:pPr>
              <w:spacing w:after="0" w:line="240" w:lineRule="auto"/>
            </w:pPr>
            <w:r/>
            <w:r>
              <w:rPr>
                <w:rFonts w:ascii="Aptos" w:hAnsi="Aptos"/>
                <w:b w:val="0"/>
                <w:color w:val="202A35"/>
                <w:sz w:val="16"/>
              </w:rPr>
              <w:t>§1 purpose/scope; §2 exclusions; §3.1–3.5 rates, cap, budget and success fee; §4.1–4.2 disbursements; §§5–8 staffing/reporting/authority/insurance; §9 termination; §§11–12 OCG/Matter Plan; Exhibits A–B.</w:t>
            </w:r>
          </w:p>
        </w:tc>
      </w:tr>
      <w:tr>
        <w:trPr>
          <w:cantSplit/>
        </w:trPr>
        <w:tc>
          <w:tcPr>
            <w:tcW w:type="dxa" w:w="1944"/>
            <w:vAlign w:val="center"/>
            <w:tcMar>
              <w:top w:w="70" w:type="dxa"/>
              <w:start w:w="85" w:type="dxa"/>
              <w:bottom w:w="70" w:type="dxa"/>
              <w:end w:w="85" w:type="dxa"/>
            </w:tcMar>
            <w:shd w:fill="F3F6F9"/>
          </w:tcPr>
          <w:p>
            <w:pPr>
              <w:spacing w:after="0" w:line="240" w:lineRule="auto"/>
            </w:pPr>
            <w:r/>
            <w:r>
              <w:rPr>
                <w:rFonts w:ascii="Aptos" w:hAnsi="Aptos"/>
                <w:b w:val="0"/>
                <w:color w:val="202A35"/>
                <w:sz w:val="16"/>
              </w:rPr>
              <w:t>MP</w:t>
            </w:r>
          </w:p>
        </w:tc>
        <w:tc>
          <w:tcPr>
            <w:tcW w:type="dxa" w:w="8640"/>
            <w:vAlign w:val="center"/>
            <w:tcMar>
              <w:top w:w="70" w:type="dxa"/>
              <w:start w:w="85" w:type="dxa"/>
              <w:bottom w:w="70" w:type="dxa"/>
              <w:end w:w="85" w:type="dxa"/>
            </w:tcMar>
            <w:shd w:fill="F3F6F9"/>
          </w:tcPr>
          <w:p>
            <w:pPr>
              <w:spacing w:after="0" w:line="240" w:lineRule="auto"/>
            </w:pPr>
            <w:r/>
            <w:r>
              <w:rPr>
                <w:rFonts w:ascii="Aptos" w:hAnsi="Aptos"/>
                <w:b w:val="0"/>
                <w:color w:val="202A35"/>
                <w:sz w:val="16"/>
              </w:rPr>
              <w:t>§§1–4 background, work streams and exclusions; §§5–6 staffing/timeline; §§7–9 budget/reporting/coordination; §§10–12 hierarchy, termination and approval; Appendix A contacts.</w:t>
            </w:r>
          </w:p>
        </w:tc>
      </w:tr>
      <w:tr>
        <w:trPr>
          <w:cantSplit/>
        </w:trPr>
        <w:tc>
          <w:tcPr>
            <w:tcW w:type="dxa" w:w="1944"/>
            <w:vAlign w:val="center"/>
            <w:tcMar>
              <w:top w:w="70" w:type="dxa"/>
              <w:start w:w="85" w:type="dxa"/>
              <w:bottom w:w="70" w:type="dxa"/>
              <w:end w:w="85" w:type="dxa"/>
            </w:tcMar>
          </w:tcPr>
          <w:p>
            <w:pPr>
              <w:spacing w:after="0" w:line="240" w:lineRule="auto"/>
            </w:pPr>
            <w:r/>
            <w:r>
              <w:rPr>
                <w:rFonts w:ascii="Aptos" w:hAnsi="Aptos"/>
                <w:b w:val="0"/>
                <w:color w:val="202A35"/>
                <w:sz w:val="16"/>
              </w:rPr>
              <w:t>MP-R1</w:t>
            </w:r>
          </w:p>
        </w:tc>
        <w:tc>
          <w:tcPr>
            <w:tcW w:type="dxa" w:w="8640"/>
            <w:vAlign w:val="center"/>
            <w:tcMar>
              <w:top w:w="70" w:type="dxa"/>
              <w:start w:w="85" w:type="dxa"/>
              <w:bottom w:w="70" w:type="dxa"/>
              <w:end w:w="85" w:type="dxa"/>
            </w:tcMar>
          </w:tcPr>
          <w:p>
            <w:pPr>
              <w:spacing w:after="0" w:line="240" w:lineRule="auto"/>
            </w:pPr>
            <w:r/>
            <w:r>
              <w:rPr>
                <w:rFonts w:ascii="Aptos" w:hAnsi="Aptos"/>
                <w:b w:val="0"/>
                <w:color w:val="202A35"/>
                <w:sz w:val="16"/>
              </w:rPr>
              <w:t>§§1–6 CPSC trigger, WS-4 scope, budget, staffing, Meridian protocol, reporting/approvals and effect on existing plan.</w:t>
            </w:r>
          </w:p>
        </w:tc>
      </w:tr>
      <w:tr>
        <w:trPr>
          <w:cantSplit/>
        </w:trPr>
        <w:tc>
          <w:tcPr>
            <w:tcW w:type="dxa" w:w="1944"/>
            <w:vAlign w:val="center"/>
            <w:tcMar>
              <w:top w:w="70" w:type="dxa"/>
              <w:start w:w="85" w:type="dxa"/>
              <w:bottom w:w="70" w:type="dxa"/>
              <w:end w:w="85" w:type="dxa"/>
            </w:tcMar>
            <w:shd w:fill="F3F6F9"/>
          </w:tcPr>
          <w:p>
            <w:pPr>
              <w:spacing w:after="0" w:line="240" w:lineRule="auto"/>
            </w:pPr>
            <w:r/>
            <w:r>
              <w:rPr>
                <w:rFonts w:ascii="Aptos" w:hAnsi="Aptos"/>
                <w:b w:val="0"/>
                <w:color w:val="202A35"/>
                <w:sz w:val="16"/>
              </w:rPr>
              <w:t>OCGs</w:t>
            </w:r>
          </w:p>
        </w:tc>
        <w:tc>
          <w:tcPr>
            <w:tcW w:type="dxa" w:w="8640"/>
            <w:vAlign w:val="center"/>
            <w:tcMar>
              <w:top w:w="70" w:type="dxa"/>
              <w:start w:w="85" w:type="dxa"/>
              <w:bottom w:w="70" w:type="dxa"/>
              <w:end w:w="85" w:type="dxa"/>
            </w:tcMar>
            <w:shd w:fill="F3F6F9"/>
          </w:tcPr>
          <w:p>
            <w:pPr>
              <w:spacing w:after="0" w:line="240" w:lineRule="auto"/>
            </w:pPr>
            <w:r/>
            <w:r>
              <w:rPr>
                <w:rFonts w:ascii="Aptos" w:hAnsi="Aptos"/>
                <w:b w:val="0"/>
                <w:color w:val="202A35"/>
                <w:sz w:val="16"/>
              </w:rPr>
              <w:t>Opening document hierarchy; §§2.1–2.2 engagement and matter numbers; §§3.1–3.3 rate/timekeeper controls; §§4.1–4.4 budgets and scope amendments; §§5.2–5.4 expenses/experts/e-discovery; §§6.1–6.4 staffing; §§7–9 reporting, billing and security.</w:t>
            </w:r>
          </w:p>
        </w:tc>
      </w:tr>
      <w:tr>
        <w:trPr>
          <w:cantSplit/>
        </w:trPr>
        <w:tc>
          <w:tcPr>
            <w:tcW w:type="dxa" w:w="1944"/>
            <w:vAlign w:val="center"/>
            <w:tcMar>
              <w:top w:w="70" w:type="dxa"/>
              <w:start w:w="85" w:type="dxa"/>
              <w:bottom w:w="70" w:type="dxa"/>
              <w:end w:w="85" w:type="dxa"/>
            </w:tcMar>
          </w:tcPr>
          <w:p>
            <w:pPr>
              <w:spacing w:after="0" w:line="240" w:lineRule="auto"/>
            </w:pPr>
            <w:r/>
            <w:r>
              <w:rPr>
                <w:rFonts w:ascii="Aptos" w:hAnsi="Aptos"/>
                <w:b w:val="0"/>
                <w:color w:val="202A35"/>
                <w:sz w:val="16"/>
              </w:rPr>
              <w:t>Budget workbook</w:t>
            </w:r>
          </w:p>
        </w:tc>
        <w:tc>
          <w:tcPr>
            <w:tcW w:type="dxa" w:w="8640"/>
            <w:vAlign w:val="center"/>
            <w:tcMar>
              <w:top w:w="70" w:type="dxa"/>
              <w:start w:w="85" w:type="dxa"/>
              <w:bottom w:w="70" w:type="dxa"/>
              <w:end w:w="85" w:type="dxa"/>
            </w:tcMar>
          </w:tcPr>
          <w:p>
            <w:pPr>
              <w:spacing w:after="0" w:line="240" w:lineRule="auto"/>
            </w:pPr>
            <w:r/>
            <w:r>
              <w:rPr>
                <w:rFonts w:ascii="Aptos" w:hAnsi="Aptos"/>
                <w:b w:val="0"/>
                <w:color w:val="202A35"/>
                <w:sz w:val="16"/>
              </w:rPr>
              <w:t>“Fee Budget by Work Stream”; “Disbursement Allocation”; “Monthly Forecast”.</w:t>
            </w:r>
          </w:p>
        </w:tc>
      </w:tr>
      <w:tr>
        <w:trPr>
          <w:cantSplit/>
        </w:trPr>
        <w:tc>
          <w:tcPr>
            <w:tcW w:type="dxa" w:w="1944"/>
            <w:vAlign w:val="center"/>
            <w:tcMar>
              <w:top w:w="70" w:type="dxa"/>
              <w:start w:w="85" w:type="dxa"/>
              <w:bottom w:w="70" w:type="dxa"/>
              <w:end w:w="85" w:type="dxa"/>
            </w:tcMar>
            <w:shd w:fill="F3F6F9"/>
          </w:tcPr>
          <w:p>
            <w:pPr>
              <w:spacing w:after="0" w:line="240" w:lineRule="auto"/>
            </w:pPr>
            <w:r/>
            <w:r>
              <w:rPr>
                <w:rFonts w:ascii="Aptos" w:hAnsi="Aptos"/>
                <w:b w:val="0"/>
                <w:color w:val="202A35"/>
                <w:sz w:val="16"/>
              </w:rPr>
              <w:t>Emails</w:t>
            </w:r>
          </w:p>
        </w:tc>
        <w:tc>
          <w:tcPr>
            <w:tcW w:type="dxa" w:w="8640"/>
            <w:vAlign w:val="center"/>
            <w:tcMar>
              <w:top w:w="70" w:type="dxa"/>
              <w:start w:w="85" w:type="dxa"/>
              <w:bottom w:w="70" w:type="dxa"/>
              <w:end w:w="85" w:type="dxa"/>
            </w:tcMar>
            <w:shd w:fill="F3F6F9"/>
          </w:tcPr>
          <w:p>
            <w:pPr>
              <w:spacing w:after="0" w:line="240" w:lineRule="auto"/>
            </w:pPr>
            <w:r/>
            <w:r>
              <w:rPr>
                <w:rFonts w:ascii="Aptos" w:hAnsi="Aptos"/>
                <w:b w:val="0"/>
                <w:color w:val="202A35"/>
                <w:sz w:val="16"/>
              </w:rPr>
              <w:t>Jan. 15 Layton/Voss; Jan. 16 Layton to Giles; Jan. 20 Giles response; Jan. 21 Layton follow-up; Jan. 24 Voss; Jan. 31 Layton. These document unresolved non-HX-9000 and payment-base discussions.</w:t>
            </w:r>
          </w:p>
        </w:tc>
      </w:tr>
    </w:tbl>
    <w:p>
      <w:pPr>
        <w:widowControl/>
        <w:spacing w:after="20"/>
      </w:pPr>
    </w:p>
    <w:sectPr w:rsidR="00FC693F" w:rsidRPr="0006063C" w:rsidSect="00034616">
      <w:headerReference w:type="default" r:id="rId9"/>
      <w:footerReference w:type="default" r:id="rId10"/>
      <w:pgSz w:w="12240" w:h="15840"/>
      <w:pgMar w:top="893" w:right="979" w:bottom="893" w:left="979"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 xml:space="preserve">Pinnacle / W&amp;C  •  Matter WC-2025-04381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0F6B78"/>
      </w:pBdr>
    </w:pPr>
    <w:r>
      <w:rPr>
        <w:rFonts w:ascii="Aptos" w:hAnsi="Aptos"/>
        <w:b/>
        <w:color w:val="0F6B78"/>
        <w:sz w:val="15"/>
      </w:rPr>
      <w:t>PRIVILEGED &amp; CONFIDENTIAL  |  SCOPE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0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Extraction and Cross-Check Report</dc:title>
  <dc:subject>Pinnacle / Whitford &amp; Callaway engagement scope and inconsistencies</dc:subject>
  <dc:creator>OpenAI</dc:creator>
  <cp:keywords>scope extraction, engagement letter, matter plan, inconsistencies</cp:keywords>
  <dc:description>generated by python-docx</dc:description>
  <cp:lastModifiedBy/>
  <cp:revision>1</cp:revision>
  <dcterms:created xsi:type="dcterms:W3CDTF">2013-12-23T23:15:00Z</dcterms:created>
  <dcterms:modified xsi:type="dcterms:W3CDTF">2013-12-23T23:15:00Z</dcterms:modified>
  <cp:category/>
</cp:coreProperties>
</file>