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Scope Extraction and Cross-Document Consistency Report</w:t>
      </w:r>
    </w:p>
    <w:p>
      <w:r>
        <w:rPr>
          <w:b/>
          <w:i w:val="0"/>
        </w:rPr>
        <w:t>Pinnacle Industrial Holdings, Inc. / Pinnacle Hydraulics Solutions, LLC — HX-9000 Products Liability Defense</w:t>
      </w:r>
    </w:p>
    <w:p>
      <w:r>
        <w:rPr>
          <w:b w:val="0"/>
          <w:i w:val="0"/>
        </w:rPr>
        <w:t>Whitford &amp; Callaway LLP Matter No. WC-2025-04381  |  MDL No. 3:24-md-02987 (N.D. Ohio)  |  Cuyahoga County Case No. CV-24-938471</w:t>
      </w:r>
    </w:p>
    <w:p>
      <w:r>
        <w:rPr>
          <w:b/>
          <w:i w:val="0"/>
        </w:rPr>
        <w:t>PRIVILEGED AND CONFIDENTIAL — ATTORNEY WORK PRODUCT</w:t>
      </w:r>
    </w:p>
    <w:p>
      <w:pPr>
        <w:pStyle w:val="Heading1"/>
      </w:pPr>
      <w:r>
        <w:t>1. Purpose, Sources and Method</w:t>
      </w:r>
    </w:p>
    <w:p>
      <w:r>
        <w:rPr>
          <w:b w:val="0"/>
          <w:i w:val="0"/>
        </w:rPr>
        <w:t>This report pulls out every scope-defining term in the engagement materials: parties and matters, work streams, exclusions, budgets and caps, rates, staffing, approval thresholds, reporting, success fee and termination terms, and governing-document hierarchy. It then compares each term across all six source documents and flags every place where they disagree. Each flag gets a severity rating, a view on which document controls, and a recommended fix.</w:t>
      </w:r>
    </w:p>
    <w:tbl>
      <w:tblPr>
        <w:tblStyle w:val="TableGrid"/>
        <w:tblW w:type="auto" w:w="0"/>
        <w:tblLook w:firstColumn="1" w:firstRow="1" w:lastColumn="0" w:lastRow="0" w:noHBand="0" w:noVBand="1" w:val="04A0"/>
      </w:tblPr>
      <w:tblGrid>
        <w:gridCol w:w="3456"/>
        <w:gridCol w:w="3456"/>
        <w:gridCol w:w="3456"/>
        <w:gridCol w:w="3456"/>
      </w:tblGrid>
      <w:tr>
        <w:tc>
          <w:tcPr>
            <w:tcW w:type="dxa" w:w="864"/>
            <w:shd w:val="clear" w:color="auto" w:fill="1F3864"/>
          </w:tcPr>
          <w:p>
            <w:r/>
            <w:r>
              <w:rPr>
                <w:b/>
                <w:color w:val="FFFFFF"/>
                <w:sz w:val="18"/>
              </w:rPr>
              <w:t>Ref</w:t>
            </w:r>
          </w:p>
        </w:tc>
        <w:tc>
          <w:tcPr>
            <w:tcW w:type="dxa" w:w="6048"/>
            <w:shd w:val="clear" w:color="auto" w:fill="1F3864"/>
          </w:tcPr>
          <w:p>
            <w:r/>
            <w:r>
              <w:rPr>
                <w:b/>
                <w:color w:val="FFFFFF"/>
                <w:sz w:val="18"/>
              </w:rPr>
              <w:t>Document</w:t>
            </w:r>
          </w:p>
        </w:tc>
        <w:tc>
          <w:tcPr>
            <w:tcW w:type="dxa" w:w="3312"/>
            <w:shd w:val="clear" w:color="auto" w:fill="1F3864"/>
          </w:tcPr>
          <w:p>
            <w:r/>
            <w:r>
              <w:rPr>
                <w:b/>
                <w:color w:val="FFFFFF"/>
                <w:sz w:val="18"/>
              </w:rPr>
              <w:t>Date</w:t>
            </w:r>
          </w:p>
        </w:tc>
        <w:tc>
          <w:tcPr>
            <w:tcW w:type="dxa" w:w="3600"/>
            <w:shd w:val="clear" w:color="auto" w:fill="1F3864"/>
          </w:tcPr>
          <w:p>
            <w:r/>
            <w:r>
              <w:rPr>
                <w:b/>
                <w:color w:val="FFFFFF"/>
                <w:sz w:val="18"/>
              </w:rPr>
              <w:t>Status noted on face</w:t>
            </w:r>
          </w:p>
        </w:tc>
      </w:tr>
      <w:tr>
        <w:tc>
          <w:tcPr>
            <w:tcW w:type="dxa" w:w="864"/>
          </w:tcPr>
          <w:p>
            <w:r/>
            <w:r>
              <w:rPr>
                <w:sz w:val="17"/>
              </w:rPr>
              <w:t>EL</w:t>
            </w:r>
          </w:p>
        </w:tc>
        <w:tc>
          <w:tcPr>
            <w:tcW w:type="dxa" w:w="6048"/>
          </w:tcPr>
          <w:p>
            <w:r/>
            <w:r>
              <w:rPr>
                <w:sz w:val="17"/>
              </w:rPr>
              <w:t>Engagement Letter (incl. Exhibits A and B)</w:t>
            </w:r>
          </w:p>
        </w:tc>
        <w:tc>
          <w:tcPr>
            <w:tcW w:type="dxa" w:w="3312"/>
          </w:tcPr>
          <w:p>
            <w:r/>
            <w:r>
              <w:rPr>
                <w:sz w:val="17"/>
              </w:rPr>
              <w:t>Feb. 3, 2025</w:t>
            </w:r>
          </w:p>
        </w:tc>
        <w:tc>
          <w:tcPr>
            <w:tcW w:type="dxa" w:w="3600"/>
          </w:tcPr>
          <w:p>
            <w:r/>
            <w:r>
              <w:rPr>
                <w:sz w:val="17"/>
              </w:rPr>
              <w:t>Signature blocks blank in copy reviewed</w:t>
            </w:r>
          </w:p>
        </w:tc>
      </w:tr>
      <w:tr>
        <w:tc>
          <w:tcPr>
            <w:tcW w:type="dxa" w:w="864"/>
          </w:tcPr>
          <w:p>
            <w:r/>
            <w:r>
              <w:rPr>
                <w:sz w:val="17"/>
              </w:rPr>
              <w:t>MP</w:t>
            </w:r>
          </w:p>
        </w:tc>
        <w:tc>
          <w:tcPr>
            <w:tcW w:type="dxa" w:w="6048"/>
          </w:tcPr>
          <w:p>
            <w:r/>
            <w:r>
              <w:rPr>
                <w:sz w:val="17"/>
              </w:rPr>
              <w:t>Matter Plan</w:t>
            </w:r>
          </w:p>
        </w:tc>
        <w:tc>
          <w:tcPr>
            <w:tcW w:type="dxa" w:w="3312"/>
          </w:tcPr>
          <w:p>
            <w:r/>
            <w:r>
              <w:rPr>
                <w:sz w:val="17"/>
              </w:rPr>
              <w:t>Dated Feb. 10, 2025 (contains Mar. 28, 2025 Revision 1 content)</w:t>
            </w:r>
          </w:p>
        </w:tc>
        <w:tc>
          <w:tcPr>
            <w:tcW w:type="dxa" w:w="3600"/>
          </w:tcPr>
          <w:p>
            <w:r/>
            <w:r>
              <w:rPr>
                <w:sz w:val="17"/>
              </w:rPr>
              <w:t>Signature blocks blank</w:t>
            </w:r>
          </w:p>
        </w:tc>
      </w:tr>
      <w:tr>
        <w:tc>
          <w:tcPr>
            <w:tcW w:type="dxa" w:w="864"/>
          </w:tcPr>
          <w:p>
            <w:r/>
            <w:r>
              <w:rPr>
                <w:sz w:val="17"/>
              </w:rPr>
              <w:t>R1</w:t>
            </w:r>
          </w:p>
        </w:tc>
        <w:tc>
          <w:tcPr>
            <w:tcW w:type="dxa" w:w="6048"/>
          </w:tcPr>
          <w:p>
            <w:r/>
            <w:r>
              <w:rPr>
                <w:sz w:val="17"/>
              </w:rPr>
              <w:t>Matter Plan Revision 1 — CPSC Regulatory Response Addendum</w:t>
            </w:r>
          </w:p>
        </w:tc>
        <w:tc>
          <w:tcPr>
            <w:tcW w:type="dxa" w:w="3312"/>
          </w:tcPr>
          <w:p>
            <w:r/>
            <w:r>
              <w:rPr>
                <w:sz w:val="17"/>
              </w:rPr>
              <w:t>Mar. 28, 2025</w:t>
            </w:r>
          </w:p>
        </w:tc>
        <w:tc>
          <w:tcPr>
            <w:tcW w:type="dxa" w:w="3600"/>
          </w:tcPr>
          <w:p>
            <w:r/>
            <w:r>
              <w:rPr>
                <w:sz w:val="17"/>
              </w:rPr>
              <w:t>Dates filled in; signature lines blank (Layton / Giles only)</w:t>
            </w:r>
          </w:p>
        </w:tc>
      </w:tr>
      <w:tr>
        <w:tc>
          <w:tcPr>
            <w:tcW w:type="dxa" w:w="864"/>
          </w:tcPr>
          <w:p>
            <w:r/>
            <w:r>
              <w:rPr>
                <w:sz w:val="17"/>
              </w:rPr>
              <w:t>OCG</w:t>
            </w:r>
          </w:p>
        </w:tc>
        <w:tc>
          <w:tcPr>
            <w:tcW w:type="dxa" w:w="6048"/>
          </w:tcPr>
          <w:p>
            <w:r/>
            <w:r>
              <w:rPr>
                <w:sz w:val="17"/>
              </w:rPr>
              <w:t>Outside Counsel Guidelines v6.2</w:t>
            </w:r>
          </w:p>
        </w:tc>
        <w:tc>
          <w:tcPr>
            <w:tcW w:type="dxa" w:w="3312"/>
          </w:tcPr>
          <w:p>
            <w:r/>
            <w:r>
              <w:rPr>
                <w:sz w:val="17"/>
              </w:rPr>
              <w:t>Eff. Jan. 1, 2024</w:t>
            </w:r>
          </w:p>
        </w:tc>
        <w:tc>
          <w:tcPr>
            <w:tcW w:type="dxa" w:w="3600"/>
          </w:tcPr>
          <w:p>
            <w:r/>
            <w:r>
              <w:rPr>
                <w:sz w:val="17"/>
              </w:rPr>
              <w:t>Signed by GC Stanhope</w:t>
            </w:r>
          </w:p>
        </w:tc>
      </w:tr>
      <w:tr>
        <w:tc>
          <w:tcPr>
            <w:tcW w:type="dxa" w:w="864"/>
          </w:tcPr>
          <w:p>
            <w:r/>
            <w:r>
              <w:rPr>
                <w:sz w:val="17"/>
              </w:rPr>
              <w:t>XLS</w:t>
            </w:r>
          </w:p>
        </w:tc>
        <w:tc>
          <w:tcPr>
            <w:tcW w:type="dxa" w:w="6048"/>
          </w:tcPr>
          <w:p>
            <w:r/>
            <w:r>
              <w:rPr>
                <w:sz w:val="17"/>
              </w:rPr>
              <w:t>Budget Summary workbook (Fee Budget, Disbursement Allocation, Monthly Forecast tabs)</w:t>
            </w:r>
          </w:p>
        </w:tc>
        <w:tc>
          <w:tcPr>
            <w:tcW w:type="dxa" w:w="3312"/>
          </w:tcPr>
          <w:p>
            <w:r/>
            <w:r>
              <w:rPr>
                <w:sz w:val="17"/>
              </w:rPr>
              <w:t>Undated (post-Mar. 28, 2025)</w:t>
            </w:r>
          </w:p>
        </w:tc>
        <w:tc>
          <w:tcPr>
            <w:tcW w:type="dxa" w:w="3600"/>
          </w:tcPr>
          <w:p>
            <w:r/>
            <w:r>
              <w:rPr>
                <w:sz w:val="17"/>
              </w:rPr>
              <w:t>Working document</w:t>
            </w:r>
          </w:p>
        </w:tc>
      </w:tr>
      <w:tr>
        <w:tc>
          <w:tcPr>
            <w:tcW w:type="dxa" w:w="864"/>
          </w:tcPr>
          <w:p>
            <w:r/>
            <w:r>
              <w:rPr>
                <w:sz w:val="17"/>
              </w:rPr>
              <w:t>EML</w:t>
            </w:r>
          </w:p>
        </w:tc>
        <w:tc>
          <w:tcPr>
            <w:tcW w:type="dxa" w:w="6048"/>
          </w:tcPr>
          <w:p>
            <w:r/>
            <w:r>
              <w:rPr>
                <w:sz w:val="17"/>
              </w:rPr>
              <w:t>Scope negotiation email chain (Layton / Voss / Giles)</w:t>
            </w:r>
          </w:p>
        </w:tc>
        <w:tc>
          <w:tcPr>
            <w:tcW w:type="dxa" w:w="3312"/>
          </w:tcPr>
          <w:p>
            <w:r/>
            <w:r>
              <w:rPr>
                <w:sz w:val="17"/>
              </w:rPr>
              <w:t>Jan. 15–31, 2025</w:t>
            </w:r>
          </w:p>
        </w:tc>
        <w:tc>
          <w:tcPr>
            <w:tcW w:type="dxa" w:w="3600"/>
          </w:tcPr>
          <w:p>
            <w:r/>
            <w:r>
              <w:rPr>
                <w:sz w:val="17"/>
              </w:rPr>
              <w:t>Pre-execution negotiation record</w:t>
            </w:r>
          </w:p>
        </w:tc>
      </w:tr>
    </w:tbl>
    <w:p/>
    <w:p>
      <w:r>
        <w:rPr>
          <w:b w:val="0"/>
          <w:i/>
        </w:rPr>
        <w:t>Severity scale: HIGH = could lead to unauthorized work, unpaid fees, a fee dispute, or a breach of a client approval requirement. MEDIUM = two documents give different figures or procedures, and the difference needs to be fixed in writing. LOW = drafting, citation, or clerical error.</w:t>
      </w:r>
    </w:p>
    <w:p>
      <w:r>
        <w:rPr>
          <w:b w:val="0"/>
          <w:i/>
        </w:rPr>
        <w:t>Which document controls: EL §§11–12 say the EL controls over both the OCGs and the MP. MP §10 ranks them EL &gt; OCG &gt; MP. The OCG preamble, however, says an engagement letter overrides the OCGs only where it "expressly and specifically identifies the Guideline provision being modified." The EL never cites a specific OCG section. As a result, the "Controlling" column below states whether the answer depends on that unresolved conflict (see Finding H-1).</w:t>
      </w:r>
    </w:p>
    <w:p>
      <w:pPr>
        <w:pStyle w:val="Heading1"/>
      </w:pPr>
      <w:r>
        <w:t>2. Executive Summary</w:t>
      </w:r>
    </w:p>
    <w:p>
      <w:r>
        <w:rPr>
          <w:b w:val="0"/>
          <w:i w:val="0"/>
        </w:rPr>
        <w:t>We identified 42 inconsistencies or open items: 12 HIGH, 17 MEDIUM and 13 LOW. The most significant are:</w:t>
      </w:r>
    </w:p>
    <w:p>
      <w:pPr>
        <w:pStyle w:val="ListBullet"/>
      </w:pPr>
      <w:r>
        <w:t>WS-4 (CPSC) was added without the approval the EL requires. Its $320,000 sub-budget is above the 5% new-work-stream limit ($212,500) in EL §§1, 7 and 12. That limit requires the General Counsel's prior written re-approval. Revision 1 was agreed and signed only by the Billing Partner and the Deputy GC. We found no GC approval in the record.</w:t>
      </w:r>
    </w:p>
    <w:p>
      <w:pPr>
        <w:pStyle w:val="ListBullet"/>
      </w:pPr>
      <w:r>
        <w:t>The work-stream budgets do not agree across the documents. The MP and the XLS both total $4,250,000, but they split it differently: WS-1 is $1.85M vs $1.65M, WS-6 is $420K vs $870K, WS-7 is $345K vs $450K, and the MP includes a $360K contingency that the XLS drops. In addition, the XLS Monthly Forecast columns do not add up to the XLS's own stated totals.</w:t>
      </w:r>
    </w:p>
    <w:p>
      <w:pPr>
        <w:pStyle w:val="ListBullet"/>
      </w:pPr>
      <w:r>
        <w:t>The expert and disbursement budget has a $20,000 gap. The EL and MP §3.3 set expert fees at $780,000 (rebuttal reserve $230,000). MP §7.2 and the XLS use $760,000 (reserve $210,000), which brings the disbursement total to $1,330,000 against the $1,350,000 the EL approved.</w:t>
      </w:r>
    </w:p>
    <w:p>
      <w:pPr>
        <w:pStyle w:val="ListBullet"/>
      </w:pPr>
      <w:r>
        <w:t>The documents disagree on whether a fee-cap overage can be approved after the fact. The EL allows retroactive Deputy GC approval of overages up to 10%, within 15 business days of the invoice. The MP shortens that window to 5 business days after month-end. OCG §4.3 bans retroactive approval outright, with no de minimis exception. Because of the hierarchy conflict, it is unclear which rule applies.</w:t>
      </w:r>
    </w:p>
    <w:p>
      <w:pPr>
        <w:pStyle w:val="ListBullet"/>
      </w:pPr>
      <w:r>
        <w:t>"Aggregate payments", the term that drives the success fee, is still undefined. The emails show the parties disagreed (the firm wanted indemnity-only; the client wanted total cost including carrier payments) and never resolved it. Neither the EL nor the MP defines the term.</w:t>
      </w:r>
    </w:p>
    <w:p>
      <w:pPr>
        <w:pStyle w:val="ListBullet"/>
      </w:pPr>
      <w:r>
        <w:t>There is still a gap between the non-HX-9000 exclusion (EX-6) and WS-1. EX-6 carves consolidated MDL claims back in, but WS-1 covers only the MDL "as currently constituted". The MP says the carve-back does not authorize any work. The EL's version of EX-6 is broader than the MP's.</w:t>
      </w:r>
    </w:p>
    <w:p>
      <w:pPr>
        <w:pStyle w:val="ListBullet"/>
      </w:pPr>
      <w:r>
        <w:t>WS-5 conflicts with the EL on carrier contact. The MP authorizes "direct communication" with Fortitude and Ridgeline about coverage positions. EL §8 prohibits that without the Deputy GC's prior coordination and approval.</w:t>
      </w:r>
    </w:p>
    <w:p>
      <w:pPr>
        <w:pStyle w:val="ListBullet"/>
      </w:pPr>
      <w:r>
        <w:t>WS-4 is described inconsistently. Revision 1 calls the firm "coordinating counsel only", with no direct CPSC contact, yet lists VCAP submission to the CPSC and attendance at CPSC meetings as in scope. VCAP work also sits close to EX-4 (recall advice).</w:t>
      </w:r>
    </w:p>
    <w:p>
      <w:pPr>
        <w:pStyle w:val="ListBullet"/>
      </w:pPr>
      <w:r>
        <w:t>The contract reviewer cost has no budget line. The EL says it is billed separately and sits outside the blended rates. The MP calls it a disbursement but gives it no line. The XLS puts it inside the WS-6 fee budget. The OCGs require every reviewer to be approved by name.</w:t>
      </w:r>
    </w:p>
    <w:p>
      <w:pPr>
        <w:pStyle w:val="ListBullet"/>
      </w:pPr>
      <w:r>
        <w:t>The "February 10, 2025" Matter Plan already contains Revision 1 content (the March 28 revision history, WS-4, and the March 14 CPSC investigation). The executed original version cannot be identified from this copy.</w:t>
      </w:r>
    </w:p>
    <w:p>
      <w:pPr>
        <w:pStyle w:val="Heading1"/>
      </w:pPr>
      <w:r>
        <w:t>3. Extracted Scope Terms — Cross-Document Matrix</w:t>
      </w:r>
    </w:p>
    <w:p>
      <w:r>
        <w:rPr>
          <w:b w:val="0"/>
          <w:i w:val="0"/>
        </w:rPr>
        <w:t>"—" means the document does not address the term. Status: ✔ consistent; ✖ inconsistent (see finding ID in Section 4); ◐ gap or undefined.</w:t>
      </w:r>
    </w:p>
    <w:tbl>
      <w:tblPr>
        <w:tblStyle w:val="TableGrid"/>
        <w:tblW w:type="auto" w:w="0"/>
        <w:tblLook w:firstColumn="1" w:firstRow="1" w:lastColumn="0" w:lastRow="0" w:noHBand="0" w:noVBand="1" w:val="04A0"/>
      </w:tblPr>
      <w:tblGrid>
        <w:gridCol w:w="1728"/>
        <w:gridCol w:w="1728"/>
        <w:gridCol w:w="1728"/>
        <w:gridCol w:w="1728"/>
        <w:gridCol w:w="1728"/>
        <w:gridCol w:w="1728"/>
        <w:gridCol w:w="1728"/>
        <w:gridCol w:w="1728"/>
      </w:tblGrid>
      <w:tr>
        <w:tc>
          <w:tcPr>
            <w:tcW w:type="dxa" w:w="1584"/>
            <w:shd w:val="clear" w:color="auto" w:fill="1F3864"/>
          </w:tcPr>
          <w:p>
            <w:r/>
            <w:r>
              <w:rPr>
                <w:b/>
                <w:color w:val="FFFFFF"/>
                <w:sz w:val="18"/>
              </w:rPr>
              <w:t>Term</w:t>
            </w:r>
          </w:p>
        </w:tc>
        <w:tc>
          <w:tcPr>
            <w:tcW w:type="dxa" w:w="2232"/>
            <w:shd w:val="clear" w:color="auto" w:fill="1F3864"/>
          </w:tcPr>
          <w:p>
            <w:r/>
            <w:r>
              <w:rPr>
                <w:b/>
                <w:color w:val="FFFFFF"/>
                <w:sz w:val="18"/>
              </w:rPr>
              <w:t>EL</w:t>
            </w:r>
          </w:p>
        </w:tc>
        <w:tc>
          <w:tcPr>
            <w:tcW w:type="dxa" w:w="2160"/>
            <w:shd w:val="clear" w:color="auto" w:fill="1F3864"/>
          </w:tcPr>
          <w:p>
            <w:r/>
            <w:r>
              <w:rPr>
                <w:b/>
                <w:color w:val="FFFFFF"/>
                <w:sz w:val="18"/>
              </w:rPr>
              <w:t>MP</w:t>
            </w:r>
          </w:p>
        </w:tc>
        <w:tc>
          <w:tcPr>
            <w:tcW w:type="dxa" w:w="1512"/>
            <w:shd w:val="clear" w:color="auto" w:fill="1F3864"/>
          </w:tcPr>
          <w:p>
            <w:r/>
            <w:r>
              <w:rPr>
                <w:b/>
                <w:color w:val="FFFFFF"/>
                <w:sz w:val="18"/>
              </w:rPr>
              <w:t>R1</w:t>
            </w:r>
          </w:p>
        </w:tc>
        <w:tc>
          <w:tcPr>
            <w:tcW w:type="dxa" w:w="1872"/>
            <w:shd w:val="clear" w:color="auto" w:fill="1F3864"/>
          </w:tcPr>
          <w:p>
            <w:r/>
            <w:r>
              <w:rPr>
                <w:b/>
                <w:color w:val="FFFFFF"/>
                <w:sz w:val="18"/>
              </w:rPr>
              <w:t>OCG</w:t>
            </w:r>
          </w:p>
        </w:tc>
        <w:tc>
          <w:tcPr>
            <w:tcW w:type="dxa" w:w="1800"/>
            <w:shd w:val="clear" w:color="auto" w:fill="1F3864"/>
          </w:tcPr>
          <w:p>
            <w:r/>
            <w:r>
              <w:rPr>
                <w:b/>
                <w:color w:val="FFFFFF"/>
                <w:sz w:val="18"/>
              </w:rPr>
              <w:t>XLS</w:t>
            </w:r>
          </w:p>
        </w:tc>
        <w:tc>
          <w:tcPr>
            <w:tcW w:type="dxa" w:w="1440"/>
            <w:shd w:val="clear" w:color="auto" w:fill="1F3864"/>
          </w:tcPr>
          <w:p>
            <w:r/>
            <w:r>
              <w:rPr>
                <w:b/>
                <w:color w:val="FFFFFF"/>
                <w:sz w:val="18"/>
              </w:rPr>
              <w:t>EML</w:t>
            </w:r>
          </w:p>
        </w:tc>
        <w:tc>
          <w:tcPr>
            <w:tcW w:type="dxa" w:w="936"/>
            <w:shd w:val="clear" w:color="auto" w:fill="1F3864"/>
          </w:tcPr>
          <w:p>
            <w:r/>
            <w:r>
              <w:rPr>
                <w:b/>
                <w:color w:val="FFFFFF"/>
                <w:sz w:val="18"/>
              </w:rPr>
              <w:t>Status</w:t>
            </w:r>
          </w:p>
        </w:tc>
      </w:tr>
      <w:tr>
        <w:tc>
          <w:tcPr>
            <w:tcW w:type="dxa" w:w="1584"/>
          </w:tcPr>
          <w:p>
            <w:r/>
            <w:r>
              <w:rPr>
                <w:sz w:val="17"/>
              </w:rPr>
              <w:t>Clients</w:t>
            </w:r>
          </w:p>
        </w:tc>
        <w:tc>
          <w:tcPr>
            <w:tcW w:type="dxa" w:w="2232"/>
          </w:tcPr>
          <w:p>
            <w:r/>
            <w:r>
              <w:rPr>
                <w:sz w:val="17"/>
              </w:rPr>
              <w:t>Pinnacle Industrial Holdings, Inc. and PHS (§1)</w:t>
            </w:r>
          </w:p>
        </w:tc>
        <w:tc>
          <w:tcPr>
            <w:tcW w:type="dxa" w:w="2160"/>
          </w:tcPr>
          <w:p>
            <w:r/>
            <w:r>
              <w:rPr>
                <w:sz w:val="17"/>
              </w:rPr>
              <w:t>Same (§1)</w:t>
            </w:r>
          </w:p>
        </w:tc>
        <w:tc>
          <w:tcPr>
            <w:tcW w:type="dxa" w:w="1512"/>
          </w:tcPr>
          <w:p>
            <w:r/>
            <w:r>
              <w:rPr>
                <w:sz w:val="17"/>
              </w:rPr>
              <w:t>Same</w:t>
            </w:r>
          </w:p>
        </w:tc>
        <w:tc>
          <w:tcPr>
            <w:tcW w:type="dxa" w:w="1872"/>
          </w:tcPr>
          <w:p>
            <w:r/>
            <w:r>
              <w:rPr>
                <w:sz w:val="17"/>
              </w:rPr>
              <w:t>Pinnacle and all subsidiaries (§1.1)</w:t>
            </w:r>
          </w:p>
        </w:tc>
        <w:tc>
          <w:tcPr>
            <w:tcW w:type="dxa" w:w="1800"/>
          </w:tcPr>
          <w:p>
            <w:r/>
            <w:r>
              <w:rPr>
                <w:sz w:val="17"/>
              </w:rPr>
              <w:t>—</w:t>
            </w:r>
          </w:p>
        </w:tc>
        <w:tc>
          <w:tcPr>
            <w:tcW w:type="dxa" w:w="1440"/>
          </w:tcPr>
          <w:p>
            <w:r/>
            <w:r>
              <w:rPr>
                <w:sz w:val="17"/>
              </w:rPr>
              <w:t>Same</w:t>
            </w:r>
          </w:p>
        </w:tc>
        <w:tc>
          <w:tcPr>
            <w:tcW w:type="dxa" w:w="936"/>
          </w:tcPr>
          <w:p>
            <w:r/>
            <w:r>
              <w:rPr>
                <w:sz w:val="17"/>
              </w:rPr>
              <w:t>✔</w:t>
            </w:r>
          </w:p>
        </w:tc>
      </w:tr>
      <w:tr>
        <w:tc>
          <w:tcPr>
            <w:tcW w:type="dxa" w:w="1584"/>
          </w:tcPr>
          <w:p>
            <w:r/>
            <w:r>
              <w:rPr>
                <w:sz w:val="17"/>
              </w:rPr>
              <w:t>Covered matters</w:t>
            </w:r>
          </w:p>
        </w:tc>
        <w:tc>
          <w:tcPr>
            <w:tcW w:type="dxa" w:w="2232"/>
          </w:tcPr>
          <w:p>
            <w:r/>
            <w:r>
              <w:rPr>
                <w:sz w:val="17"/>
              </w:rPr>
              <w:t>MDL 3:24-md-02987 and CV-24-938471 (§1)</w:t>
            </w:r>
          </w:p>
        </w:tc>
        <w:tc>
          <w:tcPr>
            <w:tcW w:type="dxa" w:w="2160"/>
          </w:tcPr>
          <w:p>
            <w:r/>
            <w:r>
              <w:rPr>
                <w:sz w:val="17"/>
              </w:rPr>
              <w:t>Same; WS-1 limited to MDL "as currently constituted" (§3.1)</w:t>
            </w:r>
          </w:p>
        </w:tc>
        <w:tc>
          <w:tcPr>
            <w:tcW w:type="dxa" w:w="1512"/>
          </w:tcPr>
          <w:p>
            <w:r/>
            <w:r>
              <w:rPr>
                <w:sz w:val="17"/>
              </w:rPr>
              <w:t>Same</w:t>
            </w:r>
          </w:p>
        </w:tc>
        <w:tc>
          <w:tcPr>
            <w:tcW w:type="dxa" w:w="1872"/>
          </w:tcPr>
          <w:p>
            <w:r/>
            <w:r>
              <w:rPr>
                <w:sz w:val="17"/>
              </w:rPr>
              <w:t>—</w:t>
            </w:r>
          </w:p>
        </w:tc>
        <w:tc>
          <w:tcPr>
            <w:tcW w:type="dxa" w:w="1800"/>
          </w:tcPr>
          <w:p>
            <w:r/>
            <w:r>
              <w:rPr>
                <w:sz w:val="17"/>
              </w:rPr>
              <w:t>Same</w:t>
            </w:r>
          </w:p>
        </w:tc>
        <w:tc>
          <w:tcPr>
            <w:tcW w:type="dxa" w:w="1440"/>
          </w:tcPr>
          <w:p>
            <w:r/>
            <w:r>
              <w:rPr>
                <w:sz w:val="17"/>
              </w:rPr>
              <w:t>Same</w:t>
            </w:r>
          </w:p>
        </w:tc>
        <w:tc>
          <w:tcPr>
            <w:tcW w:type="dxa" w:w="936"/>
          </w:tcPr>
          <w:p>
            <w:r/>
            <w:r>
              <w:rPr>
                <w:sz w:val="17"/>
              </w:rPr>
              <w:t>◐ M-12</w:t>
            </w:r>
          </w:p>
        </w:tc>
      </w:tr>
      <w:tr>
        <w:tc>
          <w:tcPr>
            <w:tcW w:type="dxa" w:w="1584"/>
          </w:tcPr>
          <w:p>
            <w:r/>
            <w:r>
              <w:rPr>
                <w:sz w:val="17"/>
              </w:rPr>
              <w:t>Plaintiff count</w:t>
            </w:r>
          </w:p>
        </w:tc>
        <w:tc>
          <w:tcPr>
            <w:tcW w:type="dxa" w:w="2232"/>
          </w:tcPr>
          <w:p>
            <w:r/>
            <w:r>
              <w:rPr>
                <w:sz w:val="17"/>
              </w:rPr>
              <w:t>43 individual + 7 corporate "in the litigation" (§1)</w:t>
            </w:r>
          </w:p>
        </w:tc>
        <w:tc>
          <w:tcPr>
            <w:tcW w:type="dxa" w:w="2160"/>
          </w:tcPr>
          <w:p>
            <w:r/>
            <w:r>
              <w:rPr>
                <w:sz w:val="17"/>
              </w:rPr>
              <w:t>43 + 7 in MDL, plus 5 separate state-court plaintiffs (§2.2)</w:t>
            </w:r>
          </w:p>
        </w:tc>
        <w:tc>
          <w:tcPr>
            <w:tcW w:type="dxa" w:w="1512"/>
          </w:tcPr>
          <w:p>
            <w:r/>
            <w:r>
              <w:rPr>
                <w:sz w:val="17"/>
              </w:rPr>
              <w:t>—</w:t>
            </w:r>
          </w:p>
        </w:tc>
        <w:tc>
          <w:tcPr>
            <w:tcW w:type="dxa" w:w="1872"/>
          </w:tcPr>
          <w:p>
            <w:r/>
            <w:r>
              <w:rPr>
                <w:sz w:val="17"/>
              </w:rPr>
              <w:t>—</w:t>
            </w:r>
          </w:p>
        </w:tc>
        <w:tc>
          <w:tcPr>
            <w:tcW w:type="dxa" w:w="1800"/>
          </w:tcPr>
          <w:p>
            <w:r/>
            <w:r>
              <w:rPr>
                <w:sz w:val="17"/>
              </w:rPr>
              <w:t>—</w:t>
            </w:r>
          </w:p>
        </w:tc>
        <w:tc>
          <w:tcPr>
            <w:tcW w:type="dxa" w:w="1440"/>
          </w:tcPr>
          <w:p>
            <w:r/>
            <w:r>
              <w:rPr>
                <w:sz w:val="17"/>
              </w:rPr>
              <w:t>—</w:t>
            </w:r>
          </w:p>
        </w:tc>
        <w:tc>
          <w:tcPr>
            <w:tcW w:type="dxa" w:w="936"/>
          </w:tcPr>
          <w:p>
            <w:r/>
            <w:r>
              <w:rPr>
                <w:sz w:val="17"/>
              </w:rPr>
              <w:t>✖ L-6</w:t>
            </w:r>
          </w:p>
        </w:tc>
      </w:tr>
      <w:tr>
        <w:tc>
          <w:tcPr>
            <w:tcW w:type="dxa" w:w="1584"/>
          </w:tcPr>
          <w:p>
            <w:r/>
            <w:r>
              <w:rPr>
                <w:sz w:val="17"/>
              </w:rPr>
              <w:t>Engagement / supersession</w:t>
            </w:r>
          </w:p>
        </w:tc>
        <w:tc>
          <w:tcPr>
            <w:tcW w:type="dxa" w:w="2232"/>
          </w:tcPr>
          <w:p>
            <w:r/>
            <w:r>
              <w:rPr>
                <w:sz w:val="17"/>
              </w:rPr>
              <w:t>Supersedes Phase 0 letter (Oct. 1, 2024; $175K cap; closed Dec. 20, 2024); Phase 0 excluded from budget</w:t>
            </w:r>
          </w:p>
        </w:tc>
        <w:tc>
          <w:tcPr>
            <w:tcW w:type="dxa" w:w="2160"/>
          </w:tcPr>
          <w:p>
            <w:r/>
            <w:r>
              <w:rPr>
                <w:sz w:val="17"/>
              </w:rPr>
              <w:t>Same (§1, §7)</w:t>
            </w:r>
          </w:p>
        </w:tc>
        <w:tc>
          <w:tcPr>
            <w:tcW w:type="dxa" w:w="1512"/>
          </w:tcPr>
          <w:p>
            <w:r/>
            <w:r>
              <w:rPr>
                <w:sz w:val="17"/>
              </w:rPr>
              <w:t>—</w:t>
            </w:r>
          </w:p>
        </w:tc>
        <w:tc>
          <w:tcPr>
            <w:tcW w:type="dxa" w:w="1872"/>
          </w:tcPr>
          <w:p>
            <w:r/>
            <w:r>
              <w:rPr>
                <w:sz w:val="17"/>
              </w:rPr>
              <w:t>—</w:t>
            </w:r>
          </w:p>
        </w:tc>
        <w:tc>
          <w:tcPr>
            <w:tcW w:type="dxa" w:w="1800"/>
          </w:tcPr>
          <w:p>
            <w:r/>
            <w:r>
              <w:rPr>
                <w:sz w:val="17"/>
              </w:rPr>
              <w:t>—</w:t>
            </w:r>
          </w:p>
        </w:tc>
        <w:tc>
          <w:tcPr>
            <w:tcW w:type="dxa" w:w="1440"/>
          </w:tcPr>
          <w:p>
            <w:r/>
            <w:r>
              <w:rPr>
                <w:sz w:val="17"/>
              </w:rPr>
              <w:t>Same (Jan. 31)</w:t>
            </w:r>
          </w:p>
        </w:tc>
        <w:tc>
          <w:tcPr>
            <w:tcW w:type="dxa" w:w="936"/>
          </w:tcPr>
          <w:p>
            <w:r/>
            <w:r>
              <w:rPr>
                <w:sz w:val="17"/>
              </w:rPr>
              <w:t>✔</w:t>
            </w:r>
          </w:p>
        </w:tc>
      </w:tr>
      <w:tr>
        <w:tc>
          <w:tcPr>
            <w:tcW w:type="dxa" w:w="1584"/>
          </w:tcPr>
          <w:p>
            <w:r/>
            <w:r>
              <w:rPr>
                <w:sz w:val="17"/>
              </w:rPr>
              <w:t>Work streams</w:t>
            </w:r>
          </w:p>
        </w:tc>
        <w:tc>
          <w:tcPr>
            <w:tcW w:type="dxa" w:w="2232"/>
          </w:tcPr>
          <w:p>
            <w:r/>
            <w:r>
              <w:rPr>
                <w:sz w:val="17"/>
              </w:rPr>
              <w:t>General categories listed; regulatory response not listed (§1); EL §5.1 nevertheless refers to a "regulatory response" work stream</w:t>
            </w:r>
          </w:p>
        </w:tc>
        <w:tc>
          <w:tcPr>
            <w:tcW w:type="dxa" w:w="2160"/>
          </w:tcPr>
          <w:p>
            <w:r/>
            <w:r>
              <w:rPr>
                <w:sz w:val="17"/>
              </w:rPr>
              <w:t>WS-1 to WS-3, WS-5 to WS-7 original; WS-4 added by R1; says "seven (7)" and lists six</w:t>
            </w:r>
          </w:p>
        </w:tc>
        <w:tc>
          <w:tcPr>
            <w:tcW w:type="dxa" w:w="1512"/>
          </w:tcPr>
          <w:p>
            <w:r/>
            <w:r>
              <w:rPr>
                <w:sz w:val="17"/>
              </w:rPr>
              <w:t>Adds WS-4; calls WS-7 "Settlement Evaluation and Mediation Preparation"</w:t>
            </w:r>
          </w:p>
        </w:tc>
        <w:tc>
          <w:tcPr>
            <w:tcW w:type="dxa" w:w="1872"/>
          </w:tcPr>
          <w:p>
            <w:r/>
            <w:r>
              <w:rPr>
                <w:sz w:val="17"/>
              </w:rPr>
              <w:t>—</w:t>
            </w:r>
          </w:p>
        </w:tc>
        <w:tc>
          <w:tcPr>
            <w:tcW w:type="dxa" w:w="1800"/>
          </w:tcPr>
          <w:p>
            <w:r/>
            <w:r>
              <w:rPr>
                <w:sz w:val="17"/>
              </w:rPr>
              <w:t>WS-1 to WS-7</w:t>
            </w:r>
          </w:p>
        </w:tc>
        <w:tc>
          <w:tcPr>
            <w:tcW w:type="dxa" w:w="1440"/>
          </w:tcPr>
          <w:p>
            <w:r/>
            <w:r>
              <w:rPr>
                <w:sz w:val="17"/>
              </w:rPr>
              <w:t>WS-1 to 3, 5 to 7; Giles "confirm[s] WS-1 through WS-7"</w:t>
            </w:r>
          </w:p>
        </w:tc>
        <w:tc>
          <w:tcPr>
            <w:tcW w:type="dxa" w:w="936"/>
          </w:tcPr>
          <w:p>
            <w:r/>
            <w:r>
              <w:rPr>
                <w:sz w:val="17"/>
              </w:rPr>
              <w:t>✖ M-14, L-3</w:t>
            </w:r>
          </w:p>
        </w:tc>
      </w:tr>
      <w:tr>
        <w:tc>
          <w:tcPr>
            <w:tcW w:type="dxa" w:w="1584"/>
          </w:tcPr>
          <w:p>
            <w:r/>
            <w:r>
              <w:rPr>
                <w:sz w:val="17"/>
              </w:rPr>
              <w:t>New work-stream threshold</w:t>
            </w:r>
          </w:p>
        </w:tc>
        <w:tc>
          <w:tcPr>
            <w:tcW w:type="dxa" w:w="2232"/>
          </w:tcPr>
          <w:p>
            <w:r/>
            <w:r>
              <w:rPr>
                <w:sz w:val="17"/>
              </w:rPr>
              <w:t>&gt;5% of AFB ($212,500) requires GC prior written re-approval (§§1, 7, 12)</w:t>
            </w:r>
          </w:p>
        </w:tc>
        <w:tc>
          <w:tcPr>
            <w:tcW w:type="dxa" w:w="2160"/>
          </w:tcPr>
          <w:p>
            <w:r/>
            <w:r>
              <w:rPr>
                <w:sz w:val="17"/>
              </w:rPr>
              <w:t>—</w:t>
            </w:r>
          </w:p>
        </w:tc>
        <w:tc>
          <w:tcPr>
            <w:tcW w:type="dxa" w:w="1512"/>
          </w:tcPr>
          <w:p>
            <w:r/>
            <w:r>
              <w:rPr>
                <w:sz w:val="17"/>
              </w:rPr>
              <w:t>WS-4 $320K; signed only by Layton / Giles</w:t>
            </w:r>
          </w:p>
        </w:tc>
        <w:tc>
          <w:tcPr>
            <w:tcW w:type="dxa" w:w="1872"/>
          </w:tcPr>
          <w:p>
            <w:r/>
            <w:r>
              <w:rPr>
                <w:sz w:val="17"/>
              </w:rPr>
              <w:t>Addendum signed by DGC or GC (§4.4)</w:t>
            </w:r>
          </w:p>
        </w:tc>
        <w:tc>
          <w:tcPr>
            <w:tcW w:type="dxa" w:w="1800"/>
          </w:tcPr>
          <w:p>
            <w:r/>
            <w:r>
              <w:rPr>
                <w:sz w:val="17"/>
              </w:rPr>
              <w:t>Notes §7 threshold</w:t>
            </w:r>
          </w:p>
        </w:tc>
        <w:tc>
          <w:tcPr>
            <w:tcW w:type="dxa" w:w="1440"/>
          </w:tcPr>
          <w:p>
            <w:r/>
            <w:r>
              <w:rPr>
                <w:sz w:val="17"/>
              </w:rPr>
              <w:t>—</w:t>
            </w:r>
          </w:p>
        </w:tc>
        <w:tc>
          <w:tcPr>
            <w:tcW w:type="dxa" w:w="936"/>
          </w:tcPr>
          <w:p>
            <w:r/>
            <w:r>
              <w:rPr>
                <w:sz w:val="17"/>
              </w:rPr>
              <w:t>✖ H-2</w:t>
            </w:r>
          </w:p>
        </w:tc>
      </w:tr>
      <w:tr>
        <w:tc>
          <w:tcPr>
            <w:tcW w:type="dxa" w:w="1584"/>
          </w:tcPr>
          <w:p>
            <w:r/>
            <w:r>
              <w:rPr>
                <w:sz w:val="17"/>
              </w:rPr>
              <w:t>Exclusions EX-1 to EX-6</w:t>
            </w:r>
          </w:p>
        </w:tc>
        <w:tc>
          <w:tcPr>
            <w:tcW w:type="dxa" w:w="2232"/>
          </w:tcPr>
          <w:p>
            <w:r/>
            <w:r>
              <w:rPr>
                <w:sz w:val="17"/>
              </w:rPr>
              <w:t>EX-1 class action; EX-2 appellate; EX-3 affirmative claims; EX-4 recall; EX-5 lobbying; EX-6 non-HX-9000 unless consolidated "or otherwise become part of the proceedings"</w:t>
            </w:r>
          </w:p>
        </w:tc>
        <w:tc>
          <w:tcPr>
            <w:tcW w:type="dxa" w:w="2160"/>
          </w:tcPr>
          <w:p>
            <w:r/>
            <w:r>
              <w:rPr>
                <w:sz w:val="17"/>
              </w:rPr>
              <w:t>Same numbering; EX-6 carve-back is not an affirmative authorization; EX-3 expanded; EX-5 adds CPSC rulemaking</w:t>
            </w:r>
          </w:p>
        </w:tc>
        <w:tc>
          <w:tcPr>
            <w:tcW w:type="dxa" w:w="1512"/>
          </w:tcPr>
          <w:p>
            <w:r/>
            <w:r>
              <w:rPr>
                <w:sz w:val="17"/>
              </w:rPr>
              <w:t>EX-4 and EX-5 applied to WS-4</w:t>
            </w:r>
          </w:p>
        </w:tc>
        <w:tc>
          <w:tcPr>
            <w:tcW w:type="dxa" w:w="1872"/>
          </w:tcPr>
          <w:p>
            <w:r/>
            <w:r>
              <w:rPr>
                <w:sz w:val="17"/>
              </w:rPr>
              <w:t>—</w:t>
            </w:r>
          </w:p>
        </w:tc>
        <w:tc>
          <w:tcPr>
            <w:tcW w:type="dxa" w:w="1800"/>
          </w:tcPr>
          <w:p>
            <w:r/>
            <w:r>
              <w:rPr>
                <w:sz w:val="17"/>
              </w:rPr>
              <w:t>—</w:t>
            </w:r>
          </w:p>
        </w:tc>
        <w:tc>
          <w:tcPr>
            <w:tcW w:type="dxa" w:w="1440"/>
          </w:tcPr>
          <w:p>
            <w:r/>
            <w:r>
              <w:rPr>
                <w:sz w:val="17"/>
              </w:rPr>
              <w:t>EX-1 appellate / EX-2 class action (numbers reversed)</w:t>
            </w:r>
          </w:p>
        </w:tc>
        <w:tc>
          <w:tcPr>
            <w:tcW w:type="dxa" w:w="936"/>
          </w:tcPr>
          <w:p>
            <w:r/>
            <w:r>
              <w:rPr>
                <w:sz w:val="17"/>
              </w:rPr>
              <w:t>✖ M-10, H-6, L-2</w:t>
            </w:r>
          </w:p>
        </w:tc>
      </w:tr>
      <w:tr>
        <w:tc>
          <w:tcPr>
            <w:tcW w:type="dxa" w:w="1584"/>
          </w:tcPr>
          <w:p>
            <w:r/>
            <w:r>
              <w:rPr>
                <w:sz w:val="17"/>
              </w:rPr>
              <w:t>Aggregate Fee Budget (AFB)</w:t>
            </w:r>
          </w:p>
        </w:tc>
        <w:tc>
          <w:tcPr>
            <w:tcW w:type="dxa" w:w="2232"/>
          </w:tcPr>
          <w:p>
            <w:r/>
            <w:r>
              <w:rPr>
                <w:sz w:val="17"/>
              </w:rPr>
              <w:t>$4,250,000 through end of trial; excludes success fee, expert fees, disbursements (§3.4)</w:t>
            </w:r>
          </w:p>
        </w:tc>
        <w:tc>
          <w:tcPr>
            <w:tcW w:type="dxa" w:w="2160"/>
          </w:tcPr>
          <w:p>
            <w:r/>
            <w:r>
              <w:rPr>
                <w:sz w:val="17"/>
              </w:rPr>
              <w:t>$4,250,000 (§7)</w:t>
            </w:r>
          </w:p>
        </w:tc>
        <w:tc>
          <w:tcPr>
            <w:tcW w:type="dxa" w:w="1512"/>
          </w:tcPr>
          <w:p>
            <w:r/>
            <w:r>
              <w:rPr>
                <w:sz w:val="17"/>
              </w:rPr>
              <w:t>$4,250,000, cited as "EL §7.1"</w:t>
            </w:r>
          </w:p>
        </w:tc>
        <w:tc>
          <w:tcPr>
            <w:tcW w:type="dxa" w:w="1872"/>
          </w:tcPr>
          <w:p>
            <w:r/>
            <w:r>
              <w:rPr>
                <w:sz w:val="17"/>
              </w:rPr>
              <w:t>Budget by phase and timekeeper class required (§4.1)</w:t>
            </w:r>
          </w:p>
        </w:tc>
        <w:tc>
          <w:tcPr>
            <w:tcW w:type="dxa" w:w="1800"/>
          </w:tcPr>
          <w:p>
            <w:r/>
            <w:r>
              <w:rPr>
                <w:sz w:val="17"/>
              </w:rPr>
              <w:t>$4,250,000, cited as "EL §4"</w:t>
            </w:r>
          </w:p>
        </w:tc>
        <w:tc>
          <w:tcPr>
            <w:tcW w:type="dxa" w:w="1440"/>
          </w:tcPr>
          <w:p>
            <w:r/>
            <w:r>
              <w:rPr>
                <w:sz w:val="17"/>
              </w:rPr>
              <w:t>$4.25M</w:t>
            </w:r>
          </w:p>
        </w:tc>
        <w:tc>
          <w:tcPr>
            <w:tcW w:type="dxa" w:w="936"/>
          </w:tcPr>
          <w:p>
            <w:r/>
            <w:r>
              <w:rPr>
                <w:sz w:val="17"/>
              </w:rPr>
              <w:t>✔ amount; ✖ H-3, L-1</w:t>
            </w:r>
          </w:p>
        </w:tc>
      </w:tr>
      <w:tr>
        <w:tc>
          <w:tcPr>
            <w:tcW w:type="dxa" w:w="1584"/>
          </w:tcPr>
          <w:p>
            <w:r/>
            <w:r>
              <w:rPr>
                <w:sz w:val="17"/>
              </w:rPr>
              <w:t>WS fee allocations</w:t>
            </w:r>
          </w:p>
        </w:tc>
        <w:tc>
          <w:tcPr>
            <w:tcW w:type="dxa" w:w="2232"/>
          </w:tcPr>
          <w:p>
            <w:r/>
            <w:r>
              <w:rPr>
                <w:sz w:val="17"/>
              </w:rPr>
              <w:t>Deferred to MP</w:t>
            </w:r>
          </w:p>
        </w:tc>
        <w:tc>
          <w:tcPr>
            <w:tcW w:type="dxa" w:w="2160"/>
          </w:tcPr>
          <w:p>
            <w:r/>
            <w:r>
              <w:rPr>
                <w:sz w:val="17"/>
              </w:rPr>
              <w:t>WS-1 $1.85M; WS-2 $475K; WS-3 $385K; WS-4 $320K; WS-5 $95K; WS-6 $420K; WS-7 $345K; contingency $360K</w:t>
            </w:r>
          </w:p>
        </w:tc>
        <w:tc>
          <w:tcPr>
            <w:tcW w:type="dxa" w:w="1512"/>
          </w:tcPr>
          <w:p>
            <w:r/>
            <w:r>
              <w:rPr>
                <w:sz w:val="17"/>
              </w:rPr>
              <w:t>WS-4 $320K</w:t>
            </w:r>
          </w:p>
        </w:tc>
        <w:tc>
          <w:tcPr>
            <w:tcW w:type="dxa" w:w="1872"/>
          </w:tcPr>
          <w:p>
            <w:r/>
            <w:r>
              <w:rPr>
                <w:sz w:val="17"/>
              </w:rPr>
              <w:t>—</w:t>
            </w:r>
          </w:p>
        </w:tc>
        <w:tc>
          <w:tcPr>
            <w:tcW w:type="dxa" w:w="1800"/>
          </w:tcPr>
          <w:p>
            <w:r/>
            <w:r>
              <w:rPr>
                <w:sz w:val="17"/>
              </w:rPr>
              <w:t>WS-1 $1.65M; WS-2 $480K; WS-3 $385K; WS-4 $320K; WS-5 $95K; WS-6 $870K; WS-7 $450K; no contingency</w:t>
            </w:r>
          </w:p>
        </w:tc>
        <w:tc>
          <w:tcPr>
            <w:tcW w:type="dxa" w:w="1440"/>
          </w:tcPr>
          <w:p>
            <w:r/>
            <w:r>
              <w:rPr>
                <w:sz w:val="17"/>
              </w:rPr>
              <w:t>—</w:t>
            </w:r>
          </w:p>
        </w:tc>
        <w:tc>
          <w:tcPr>
            <w:tcW w:type="dxa" w:w="936"/>
          </w:tcPr>
          <w:p>
            <w:r/>
            <w:r>
              <w:rPr>
                <w:sz w:val="17"/>
              </w:rPr>
              <w:t>✖ H-3, H-4</w:t>
            </w:r>
          </w:p>
        </w:tc>
      </w:tr>
      <w:tr>
        <w:tc>
          <w:tcPr>
            <w:tcW w:type="dxa" w:w="1584"/>
          </w:tcPr>
          <w:p>
            <w:r/>
            <w:r>
              <w:rPr>
                <w:sz w:val="17"/>
              </w:rPr>
              <w:t>Budget checkpoints</w:t>
            </w:r>
          </w:p>
        </w:tc>
        <w:tc>
          <w:tcPr>
            <w:tcW w:type="dxa" w:w="2232"/>
          </w:tcPr>
          <w:p>
            <w:r/>
            <w:r>
              <w:rPr>
                <w:sz w:val="17"/>
              </w:rPr>
              <w:t>50% $2,125,000; 75% $3,187,500; report to DGC within 10 business days</w:t>
            </w:r>
          </w:p>
        </w:tc>
        <w:tc>
          <w:tcPr>
            <w:tcW w:type="dxa" w:w="2160"/>
          </w:tcPr>
          <w:p>
            <w:r/>
            <w:r>
              <w:rPr>
                <w:sz w:val="17"/>
              </w:rPr>
              <w:t>Same</w:t>
            </w:r>
          </w:p>
        </w:tc>
        <w:tc>
          <w:tcPr>
            <w:tcW w:type="dxa" w:w="1512"/>
          </w:tcPr>
          <w:p>
            <w:r/>
            <w:r>
              <w:rPr>
                <w:sz w:val="17"/>
              </w:rPr>
              <w:t>Same</w:t>
            </w:r>
          </w:p>
        </w:tc>
        <w:tc>
          <w:tcPr>
            <w:tcW w:type="dxa" w:w="1872"/>
          </w:tcPr>
          <w:p>
            <w:r/>
            <w:r>
              <w:rPr>
                <w:sz w:val="17"/>
              </w:rPr>
              <w:t>Same for AFB &gt;$1M (§4.2); &gt;10% variance explanation required</w:t>
            </w:r>
          </w:p>
        </w:tc>
        <w:tc>
          <w:tcPr>
            <w:tcW w:type="dxa" w:w="1800"/>
          </w:tcPr>
          <w:p>
            <w:r/>
            <w:r>
              <w:rPr>
                <w:sz w:val="17"/>
              </w:rPr>
              <w:t>Same; forecast reaches 50% in Oct. 2025 and 75% in Feb. 2026</w:t>
            </w:r>
          </w:p>
        </w:tc>
        <w:tc>
          <w:tcPr>
            <w:tcW w:type="dxa" w:w="1440"/>
          </w:tcPr>
          <w:p>
            <w:r/>
            <w:r>
              <w:rPr>
                <w:sz w:val="17"/>
              </w:rPr>
              <w:t>—</w:t>
            </w:r>
          </w:p>
        </w:tc>
        <w:tc>
          <w:tcPr>
            <w:tcW w:type="dxa" w:w="936"/>
          </w:tcPr>
          <w:p>
            <w:r/>
            <w:r>
              <w:rPr>
                <w:sz w:val="17"/>
              </w:rPr>
              <w:t>✔ (OCG content extra — L-9)</w:t>
            </w:r>
          </w:p>
        </w:tc>
      </w:tr>
      <w:tr>
        <w:tc>
          <w:tcPr>
            <w:tcW w:type="dxa" w:w="1584"/>
          </w:tcPr>
          <w:p>
            <w:r/>
            <w:r>
              <w:rPr>
                <w:sz w:val="17"/>
              </w:rPr>
              <w:t>Monthly fee cap</w:t>
            </w:r>
          </w:p>
        </w:tc>
        <w:tc>
          <w:tcPr>
            <w:tcW w:type="dxa" w:w="2232"/>
          </w:tcPr>
          <w:p>
            <w:r/>
            <w:r>
              <w:rPr>
                <w:sz w:val="17"/>
              </w:rPr>
              <w:t>$285,000; overage up to 10% ($313,500) approvable retroactively by DGC within 15 business days of invoice; &gt;10% needs GC prior approval; unapproved excess credited</w:t>
            </w:r>
          </w:p>
        </w:tc>
        <w:tc>
          <w:tcPr>
            <w:tcW w:type="dxa" w:w="2160"/>
          </w:tcPr>
          <w:p>
            <w:r/>
            <w:r>
              <w:rPr>
                <w:sz w:val="17"/>
              </w:rPr>
              <w:t>Same cap; retroactive report within 5 business days of month-end</w:t>
            </w:r>
          </w:p>
        </w:tc>
        <w:tc>
          <w:tcPr>
            <w:tcW w:type="dxa" w:w="1512"/>
          </w:tcPr>
          <w:p>
            <w:r/>
            <w:r>
              <w:rPr>
                <w:sz w:val="17"/>
              </w:rPr>
              <w:t>Applies to WS-4</w:t>
            </w:r>
          </w:p>
        </w:tc>
        <w:tc>
          <w:tcPr>
            <w:tcW w:type="dxa" w:w="1872"/>
          </w:tcPr>
          <w:p>
            <w:r/>
            <w:r>
              <w:rPr>
                <w:sz w:val="17"/>
              </w:rPr>
              <w:t>No retroactive approvals; no de minimis; excess not payable (§4.3); 80% notice by the 20th (§4.1)</w:t>
            </w:r>
          </w:p>
        </w:tc>
        <w:tc>
          <w:tcPr>
            <w:tcW w:type="dxa" w:w="1800"/>
          </w:tcPr>
          <w:p>
            <w:r/>
            <w:r>
              <w:rPr>
                <w:sz w:val="17"/>
              </w:rPr>
              <w:t>Mirrors EL</w:t>
            </w:r>
          </w:p>
        </w:tc>
        <w:tc>
          <w:tcPr>
            <w:tcW w:type="dxa" w:w="1440"/>
          </w:tcPr>
          <w:p>
            <w:r/>
            <w:r>
              <w:rPr>
                <w:sz w:val="17"/>
              </w:rPr>
              <w:t>~$285K</w:t>
            </w:r>
          </w:p>
        </w:tc>
        <w:tc>
          <w:tcPr>
            <w:tcW w:type="dxa" w:w="936"/>
          </w:tcPr>
          <w:p>
            <w:r/>
            <w:r>
              <w:rPr>
                <w:sz w:val="17"/>
              </w:rPr>
              <w:t>✖ H-5, M-8</w:t>
            </w:r>
          </w:p>
        </w:tc>
      </w:tr>
      <w:tr>
        <w:tc>
          <w:tcPr>
            <w:tcW w:type="dxa" w:w="1584"/>
          </w:tcPr>
          <w:p>
            <w:r/>
            <w:r>
              <w:rPr>
                <w:sz w:val="17"/>
              </w:rPr>
              <w:t>Disbursement budget</w:t>
            </w:r>
          </w:p>
        </w:tc>
        <w:tc>
          <w:tcPr>
            <w:tcW w:type="dxa" w:w="2232"/>
          </w:tcPr>
          <w:p>
            <w:r/>
            <w:r>
              <w:rPr>
                <w:sz w:val="17"/>
              </w:rPr>
              <w:t>$1,350,000: experts $780K; Precept $340K; travel $155K; court reporting $75K</w:t>
            </w:r>
          </w:p>
        </w:tc>
        <w:tc>
          <w:tcPr>
            <w:tcW w:type="dxa" w:w="2160"/>
          </w:tcPr>
          <w:p>
            <w:r/>
            <w:r>
              <w:rPr>
                <w:sz w:val="17"/>
              </w:rPr>
              <w:t>Table: experts $760K; total $1,330,000 (§7.2); text §3.3: $780K</w:t>
            </w:r>
          </w:p>
        </w:tc>
        <w:tc>
          <w:tcPr>
            <w:tcW w:type="dxa" w:w="1512"/>
          </w:tcPr>
          <w:p>
            <w:r/>
            <w:r>
              <w:rPr>
                <w:sz w:val="17"/>
              </w:rPr>
              <w:t>$1,350,000, cited as "EL §8.1"</w:t>
            </w:r>
          </w:p>
        </w:tc>
        <w:tc>
          <w:tcPr>
            <w:tcW w:type="dxa" w:w="1872"/>
          </w:tcPr>
          <w:p>
            <w:r/>
            <w:r>
              <w:rPr>
                <w:sz w:val="17"/>
              </w:rPr>
              <w:t>—</w:t>
            </w:r>
          </w:p>
        </w:tc>
        <w:tc>
          <w:tcPr>
            <w:tcW w:type="dxa" w:w="1800"/>
          </w:tcPr>
          <w:p>
            <w:r/>
            <w:r>
              <w:rPr>
                <w:sz w:val="17"/>
              </w:rPr>
              <w:t>Experts $760K (reserve $210K); total $1,330,000, with a note that the stated total is $1.35M</w:t>
            </w:r>
          </w:p>
        </w:tc>
        <w:tc>
          <w:tcPr>
            <w:tcW w:type="dxa" w:w="1440"/>
          </w:tcPr>
          <w:p>
            <w:r/>
            <w:r>
              <w:rPr>
                <w:sz w:val="17"/>
              </w:rPr>
              <w:t>$1.35M / ~$780K experts</w:t>
            </w:r>
          </w:p>
        </w:tc>
        <w:tc>
          <w:tcPr>
            <w:tcW w:type="dxa" w:w="936"/>
          </w:tcPr>
          <w:p>
            <w:r/>
            <w:r>
              <w:rPr>
                <w:sz w:val="17"/>
              </w:rPr>
              <w:t>✖ H-7</w:t>
            </w:r>
          </w:p>
        </w:tc>
      </w:tr>
      <w:tr>
        <w:tc>
          <w:tcPr>
            <w:tcW w:type="dxa" w:w="1584"/>
          </w:tcPr>
          <w:p>
            <w:r/>
            <w:r>
              <w:rPr>
                <w:sz w:val="17"/>
              </w:rPr>
              <w:t>Expert caps</w:t>
            </w:r>
          </w:p>
        </w:tc>
        <w:tc>
          <w:tcPr>
            <w:tcW w:type="dxa" w:w="2232"/>
          </w:tcPr>
          <w:p>
            <w:r/>
            <w:r>
              <w:rPr>
                <w:sz w:val="17"/>
              </w:rPr>
              <w:t>Non-MP experts require GC approval (§4.2)</w:t>
            </w:r>
          </w:p>
        </w:tc>
        <w:tc>
          <w:tcPr>
            <w:tcW w:type="dxa" w:w="2160"/>
          </w:tcPr>
          <w:p>
            <w:r/>
            <w:r>
              <w:rPr>
                <w:sz w:val="17"/>
              </w:rPr>
              <w:t>Yeoh $120K; Nagarajan $185K; Renner $95K; damages TBD $150K (by June 30, 2025); rebuttal reserve $230K</w:t>
            </w:r>
          </w:p>
        </w:tc>
        <w:tc>
          <w:tcPr>
            <w:tcW w:type="dxa" w:w="1512"/>
          </w:tcPr>
          <w:p>
            <w:r/>
            <w:r>
              <w:rPr>
                <w:sz w:val="17"/>
              </w:rPr>
              <w:t>—</w:t>
            </w:r>
          </w:p>
        </w:tc>
        <w:tc>
          <w:tcPr>
            <w:tcW w:type="dxa" w:w="1872"/>
          </w:tcPr>
          <w:p>
            <w:r/>
            <w:r>
              <w:rPr>
                <w:sz w:val="17"/>
              </w:rPr>
              <w:t>Individual caps required; new expert needs GC approval, 15 business days' advance notice and CV (§5.3)</w:t>
            </w:r>
          </w:p>
        </w:tc>
        <w:tc>
          <w:tcPr>
            <w:tcW w:type="dxa" w:w="1800"/>
          </w:tcPr>
          <w:p>
            <w:r/>
            <w:r>
              <w:rPr>
                <w:sz w:val="17"/>
              </w:rPr>
              <w:t>Same named experts; reserve $210K</w:t>
            </w:r>
          </w:p>
        </w:tc>
        <w:tc>
          <w:tcPr>
            <w:tcW w:type="dxa" w:w="1440"/>
          </w:tcPr>
          <w:p>
            <w:r/>
            <w:r>
              <w:rPr>
                <w:sz w:val="17"/>
              </w:rPr>
              <w:t>Same named experts; reserve unspecified</w:t>
            </w:r>
          </w:p>
        </w:tc>
        <w:tc>
          <w:tcPr>
            <w:tcW w:type="dxa" w:w="936"/>
          </w:tcPr>
          <w:p>
            <w:r/>
            <w:r>
              <w:rPr>
                <w:sz w:val="17"/>
              </w:rPr>
              <w:t>✖ H-7, L-10</w:t>
            </w:r>
          </w:p>
        </w:tc>
      </w:tr>
      <w:tr>
        <w:tc>
          <w:tcPr>
            <w:tcW w:type="dxa" w:w="1584"/>
          </w:tcPr>
          <w:p>
            <w:r/>
            <w:r>
              <w:rPr>
                <w:sz w:val="17"/>
              </w:rPr>
              <w:t>Disbursement approval</w:t>
            </w:r>
          </w:p>
        </w:tc>
        <w:tc>
          <w:tcPr>
            <w:tcW w:type="dxa" w:w="2232"/>
          </w:tcPr>
          <w:p>
            <w:r/>
            <w:r>
              <w:rPr>
                <w:sz w:val="17"/>
              </w:rPr>
              <w:t>&gt;$25K needs DGC pre-approval; reallocations &gt;$25K need DGC approval</w:t>
            </w:r>
          </w:p>
        </w:tc>
        <w:tc>
          <w:tcPr>
            <w:tcW w:type="dxa" w:w="2160"/>
          </w:tcPr>
          <w:p>
            <w:r/>
            <w:r>
              <w:rPr>
                <w:sz w:val="17"/>
              </w:rPr>
              <w:t>&gt;$25K pre-approval; below $25K none; any reallocation needs DGC approval</w:t>
            </w:r>
          </w:p>
        </w:tc>
        <w:tc>
          <w:tcPr>
            <w:tcW w:type="dxa" w:w="1512"/>
          </w:tcPr>
          <w:p>
            <w:r/>
            <w:r>
              <w:rPr>
                <w:sz w:val="17"/>
              </w:rPr>
              <w:t>&gt;$25K, cited as "EL §8.3"</w:t>
            </w:r>
          </w:p>
        </w:tc>
        <w:tc>
          <w:tcPr>
            <w:tcW w:type="dxa" w:w="1872"/>
          </w:tcPr>
          <w:p>
            <w:r/>
            <w:r>
              <w:rPr>
                <w:sz w:val="17"/>
              </w:rPr>
              <w:t>&gt;$25K pre-approval; $10K–$25K advance notice (§5.2)</w:t>
            </w:r>
          </w:p>
        </w:tc>
        <w:tc>
          <w:tcPr>
            <w:tcW w:type="dxa" w:w="1800"/>
          </w:tcPr>
          <w:p>
            <w:r/>
            <w:r>
              <w:rPr>
                <w:sz w:val="17"/>
              </w:rPr>
              <w:t>&gt;$25K</w:t>
            </w:r>
          </w:p>
        </w:tc>
        <w:tc>
          <w:tcPr>
            <w:tcW w:type="dxa" w:w="1440"/>
          </w:tcPr>
          <w:p>
            <w:r/>
            <w:r>
              <w:rPr>
                <w:sz w:val="17"/>
              </w:rPr>
              <w:t>—</w:t>
            </w:r>
          </w:p>
        </w:tc>
        <w:tc>
          <w:tcPr>
            <w:tcW w:type="dxa" w:w="936"/>
          </w:tcPr>
          <w:p>
            <w:r/>
            <w:r>
              <w:rPr>
                <w:sz w:val="17"/>
              </w:rPr>
              <w:t>✖ M-9, L-1</w:t>
            </w:r>
          </w:p>
        </w:tc>
      </w:tr>
      <w:tr>
        <w:tc>
          <w:tcPr>
            <w:tcW w:type="dxa" w:w="1584"/>
          </w:tcPr>
          <w:p>
            <w:r/>
            <w:r>
              <w:rPr>
                <w:sz w:val="17"/>
              </w:rPr>
              <w:t>E-discovery vendor</w:t>
            </w:r>
          </w:p>
        </w:tc>
        <w:tc>
          <w:tcPr>
            <w:tcW w:type="dxa" w:w="2232"/>
          </w:tcPr>
          <w:p>
            <w:r/>
            <w:r>
              <w:rPr>
                <w:sz w:val="17"/>
              </w:rPr>
              <w:t>Precept Analytics only, absent DGC approval</w:t>
            </w:r>
          </w:p>
        </w:tc>
        <w:tc>
          <w:tcPr>
            <w:tcW w:type="dxa" w:w="2160"/>
          </w:tcPr>
          <w:p>
            <w:r/>
            <w:r>
              <w:rPr>
                <w:sz w:val="17"/>
              </w:rPr>
              <w:t>Same; SOW due within 30 days</w:t>
            </w:r>
          </w:p>
        </w:tc>
        <w:tc>
          <w:tcPr>
            <w:tcW w:type="dxa" w:w="1512"/>
          </w:tcPr>
          <w:p>
            <w:r/>
            <w:r>
              <w:rPr>
                <w:sz w:val="17"/>
              </w:rPr>
              <w:t>Same (address added)</w:t>
            </w:r>
          </w:p>
        </w:tc>
        <w:tc>
          <w:tcPr>
            <w:tcW w:type="dxa" w:w="1872"/>
          </w:tcPr>
          <w:p>
            <w:r/>
            <w:r>
              <w:rPr>
                <w:sz w:val="17"/>
              </w:rPr>
              <w:t>Vendor must be pre-approved (§5.4)</w:t>
            </w:r>
          </w:p>
        </w:tc>
        <w:tc>
          <w:tcPr>
            <w:tcW w:type="dxa" w:w="1800"/>
          </w:tcPr>
          <w:p>
            <w:r/>
            <w:r>
              <w:rPr>
                <w:sz w:val="17"/>
              </w:rPr>
              <w:t>Same</w:t>
            </w:r>
          </w:p>
        </w:tc>
        <w:tc>
          <w:tcPr>
            <w:tcW w:type="dxa" w:w="1440"/>
          </w:tcPr>
          <w:p>
            <w:r/>
            <w:r>
              <w:rPr>
                <w:sz w:val="17"/>
              </w:rPr>
              <w:t>Same</w:t>
            </w:r>
          </w:p>
        </w:tc>
        <w:tc>
          <w:tcPr>
            <w:tcW w:type="dxa" w:w="936"/>
          </w:tcPr>
          <w:p>
            <w:r/>
            <w:r>
              <w:rPr>
                <w:sz w:val="17"/>
              </w:rPr>
              <w:t>✔</w:t>
            </w:r>
          </w:p>
        </w:tc>
      </w:tr>
      <w:tr>
        <w:tc>
          <w:tcPr>
            <w:tcW w:type="dxa" w:w="1584"/>
          </w:tcPr>
          <w:p>
            <w:r/>
            <w:r>
              <w:rPr>
                <w:sz w:val="17"/>
              </w:rPr>
              <w:t>Blended rates</w:t>
            </w:r>
          </w:p>
        </w:tc>
        <w:tc>
          <w:tcPr>
            <w:tcW w:type="dxa" w:w="2232"/>
          </w:tcPr>
          <w:p>
            <w:r/>
            <w:r>
              <w:rPr>
                <w:sz w:val="17"/>
              </w:rPr>
              <w:t>Partner $685 / Senior Associate $475 / Junior Associate $340 / Paralegal $195 (Ex. A); increases need 90 days' notice and consent</w:t>
            </w:r>
          </w:p>
        </w:tc>
        <w:tc>
          <w:tcPr>
            <w:tcW w:type="dxa" w:w="2160"/>
          </w:tcPr>
          <w:p>
            <w:r/>
            <w:r>
              <w:rPr>
                <w:sz w:val="17"/>
              </w:rPr>
              <w:t>Same</w:t>
            </w:r>
          </w:p>
        </w:tc>
        <w:tc>
          <w:tcPr>
            <w:tcW w:type="dxa" w:w="1512"/>
          </w:tcPr>
          <w:p>
            <w:r/>
            <w:r>
              <w:rPr>
                <w:sz w:val="17"/>
              </w:rPr>
              <w:t>Marchetti at Partner rate</w:t>
            </w:r>
          </w:p>
        </w:tc>
        <w:tc>
          <w:tcPr>
            <w:tcW w:type="dxa" w:w="1872"/>
          </w:tcPr>
          <w:p>
            <w:r/>
            <w:r>
              <w:rPr>
                <w:sz w:val="17"/>
              </w:rPr>
              <w:t>Each timekeeper must be listed by name; rates fixed for the calendar year (§§3.1–3.3)</w:t>
            </w:r>
          </w:p>
        </w:tc>
        <w:tc>
          <w:tcPr>
            <w:tcW w:type="dxa" w:w="1800"/>
          </w:tcPr>
          <w:p>
            <w:r/>
            <w:r>
              <w:rPr>
                <w:sz w:val="17"/>
              </w:rPr>
              <w:t>—</w:t>
            </w:r>
          </w:p>
        </w:tc>
        <w:tc>
          <w:tcPr>
            <w:tcW w:type="dxa" w:w="1440"/>
          </w:tcPr>
          <w:p>
            <w:r/>
            <w:r>
              <w:rPr>
                <w:sz w:val="17"/>
              </w:rPr>
              <w:t>Same</w:t>
            </w:r>
          </w:p>
        </w:tc>
        <w:tc>
          <w:tcPr>
            <w:tcW w:type="dxa" w:w="936"/>
          </w:tcPr>
          <w:p>
            <w:r/>
            <w:r>
              <w:rPr>
                <w:sz w:val="17"/>
              </w:rPr>
              <w:t>✖ M-4</w:t>
            </w:r>
          </w:p>
        </w:tc>
      </w:tr>
      <w:tr>
        <w:tc>
          <w:tcPr>
            <w:tcW w:type="dxa" w:w="1584"/>
          </w:tcPr>
          <w:p>
            <w:r/>
            <w:r>
              <w:rPr>
                <w:sz w:val="17"/>
              </w:rPr>
              <w:t>Contract reviewers</w:t>
            </w:r>
          </w:p>
        </w:tc>
        <w:tc>
          <w:tcPr>
            <w:tcW w:type="dxa" w:w="2232"/>
          </w:tcPr>
          <w:p>
            <w:r/>
            <w:r>
              <w:rPr>
                <w:sz w:val="17"/>
              </w:rPr>
              <w:t>$55/hr; separate line item; up to 15; each wave approved by DGC</w:t>
            </w:r>
          </w:p>
        </w:tc>
        <w:tc>
          <w:tcPr>
            <w:tcW w:type="dxa" w:w="2160"/>
          </w:tcPr>
          <w:p>
            <w:r/>
            <w:r>
              <w:rPr>
                <w:sz w:val="17"/>
              </w:rPr>
              <w:t>$55/hr; treated as a disbursement but with no disbursement line (§7.2)</w:t>
            </w:r>
          </w:p>
        </w:tc>
        <w:tc>
          <w:tcPr>
            <w:tcW w:type="dxa" w:w="1512"/>
          </w:tcPr>
          <w:p>
            <w:r/>
            <w:r>
              <w:rPr>
                <w:sz w:val="17"/>
              </w:rPr>
              <w:t>—</w:t>
            </w:r>
          </w:p>
        </w:tc>
        <w:tc>
          <w:tcPr>
            <w:tcW w:type="dxa" w:w="1872"/>
          </w:tcPr>
          <w:p>
            <w:r/>
            <w:r>
              <w:rPr>
                <w:sz w:val="17"/>
              </w:rPr>
              <w:t>Each individual must be approved (§3.1)</w:t>
            </w:r>
          </w:p>
        </w:tc>
        <w:tc>
          <w:tcPr>
            <w:tcW w:type="dxa" w:w="1800"/>
          </w:tcPr>
          <w:p>
            <w:r/>
            <w:r>
              <w:rPr>
                <w:sz w:val="17"/>
              </w:rPr>
              <w:t>Included in WS-6 fee budget</w:t>
            </w:r>
          </w:p>
        </w:tc>
        <w:tc>
          <w:tcPr>
            <w:tcW w:type="dxa" w:w="1440"/>
          </w:tcPr>
          <w:p>
            <w:r/>
            <w:r>
              <w:rPr>
                <w:sz w:val="17"/>
              </w:rPr>
              <w:t>—</w:t>
            </w:r>
          </w:p>
        </w:tc>
        <w:tc>
          <w:tcPr>
            <w:tcW w:type="dxa" w:w="936"/>
          </w:tcPr>
          <w:p>
            <w:r/>
            <w:r>
              <w:rPr>
                <w:sz w:val="17"/>
              </w:rPr>
              <w:t>✖ H-8, M-4</w:t>
            </w:r>
          </w:p>
        </w:tc>
      </w:tr>
      <w:tr>
        <w:tc>
          <w:tcPr>
            <w:tcW w:type="dxa" w:w="1584"/>
          </w:tcPr>
          <w:p>
            <w:r/>
            <w:r>
              <w:rPr>
                <w:sz w:val="17"/>
              </w:rPr>
              <w:t>Lead Trial Partner (Voss)</w:t>
            </w:r>
          </w:p>
        </w:tc>
        <w:tc>
          <w:tcPr>
            <w:tcW w:type="dxa" w:w="2232"/>
          </w:tcPr>
          <w:p>
            <w:r/>
            <w:r>
              <w:rPr>
                <w:sz w:val="17"/>
              </w:rPr>
              <w:t>Max 40% of time unless GC approves; replacement needs GC consent and 15 business days' notice</w:t>
            </w:r>
          </w:p>
        </w:tc>
        <w:tc>
          <w:tcPr>
            <w:tcW w:type="dxa" w:w="2160"/>
          </w:tcPr>
          <w:p>
            <w:r/>
            <w:r>
              <w:rPr>
                <w:sz w:val="17"/>
              </w:rPr>
              <w:t>40%, adjustable by Billing Partner and Client (§5.1)</w:t>
            </w:r>
          </w:p>
        </w:tc>
        <w:tc>
          <w:tcPr>
            <w:tcW w:type="dxa" w:w="1512"/>
          </w:tcPr>
          <w:p>
            <w:r/>
            <w:r>
              <w:rPr>
                <w:sz w:val="17"/>
              </w:rPr>
              <w:t>Oversight of WS-4, 10–15 hrs/month</w:t>
            </w:r>
          </w:p>
        </w:tc>
        <w:tc>
          <w:tcPr>
            <w:tcW w:type="dxa" w:w="1872"/>
          </w:tcPr>
          <w:p>
            <w:r/>
            <w:r>
              <w:rPr>
                <w:sz w:val="17"/>
              </w:rPr>
              <w:t>Staffing changes need DGC or GC approval (§6.1)</w:t>
            </w:r>
          </w:p>
        </w:tc>
        <w:tc>
          <w:tcPr>
            <w:tcW w:type="dxa" w:w="1800"/>
          </w:tcPr>
          <w:p>
            <w:r/>
            <w:r>
              <w:rPr>
                <w:sz w:val="17"/>
              </w:rPr>
              <w:t>—</w:t>
            </w:r>
          </w:p>
        </w:tc>
        <w:tc>
          <w:tcPr>
            <w:tcW w:type="dxa" w:w="1440"/>
          </w:tcPr>
          <w:p>
            <w:r/>
            <w:r>
              <w:rPr>
                <w:sz w:val="17"/>
              </w:rPr>
              <w:t>—</w:t>
            </w:r>
          </w:p>
        </w:tc>
        <w:tc>
          <w:tcPr>
            <w:tcW w:type="dxa" w:w="936"/>
          </w:tcPr>
          <w:p>
            <w:r/>
            <w:r>
              <w:rPr>
                <w:sz w:val="17"/>
              </w:rPr>
              <w:t>✖ M-6</w:t>
            </w:r>
          </w:p>
        </w:tc>
      </w:tr>
      <w:tr>
        <w:tc>
          <w:tcPr>
            <w:tcW w:type="dxa" w:w="1584"/>
          </w:tcPr>
          <w:p>
            <w:r/>
            <w:r>
              <w:rPr>
                <w:sz w:val="17"/>
              </w:rPr>
              <w:t>Second Chair (Sinclair)</w:t>
            </w:r>
          </w:p>
        </w:tc>
        <w:tc>
          <w:tcPr>
            <w:tcW w:type="dxa" w:w="2232"/>
          </w:tcPr>
          <w:p>
            <w:r/>
            <w:r>
              <w:rPr>
                <w:sz w:val="17"/>
              </w:rPr>
              <w:t>Year 7 Senior Associate; up to 75%</w:t>
            </w:r>
          </w:p>
        </w:tc>
        <w:tc>
          <w:tcPr>
            <w:tcW w:type="dxa" w:w="2160"/>
          </w:tcPr>
          <w:p>
            <w:r/>
            <w:r>
              <w:rPr>
                <w:sz w:val="17"/>
              </w:rPr>
              <w:t>Same; lead on WS-2, WS-3 and WS-6</w:t>
            </w:r>
          </w:p>
        </w:tc>
        <w:tc>
          <w:tcPr>
            <w:tcW w:type="dxa" w:w="1512"/>
          </w:tcPr>
          <w:p>
            <w:r/>
            <w:r>
              <w:rPr>
                <w:sz w:val="17"/>
              </w:rPr>
              <w:t>—</w:t>
            </w:r>
          </w:p>
        </w:tc>
        <w:tc>
          <w:tcPr>
            <w:tcW w:type="dxa" w:w="1872"/>
          </w:tcPr>
          <w:p>
            <w:r/>
            <w:r>
              <w:rPr>
                <w:sz w:val="17"/>
              </w:rPr>
              <w:t>—</w:t>
            </w:r>
          </w:p>
        </w:tc>
        <w:tc>
          <w:tcPr>
            <w:tcW w:type="dxa" w:w="1800"/>
          </w:tcPr>
          <w:p>
            <w:r/>
            <w:r>
              <w:rPr>
                <w:sz w:val="17"/>
              </w:rPr>
              <w:t>WS-2 leads listed as "Voss; Sinclair"</w:t>
            </w:r>
          </w:p>
        </w:tc>
        <w:tc>
          <w:tcPr>
            <w:tcW w:type="dxa" w:w="1440"/>
          </w:tcPr>
          <w:p>
            <w:r/>
            <w:r>
              <w:rPr>
                <w:sz w:val="17"/>
              </w:rPr>
              <w:t>Same</w:t>
            </w:r>
          </w:p>
        </w:tc>
        <w:tc>
          <w:tcPr>
            <w:tcW w:type="dxa" w:w="936"/>
          </w:tcPr>
          <w:p>
            <w:r/>
            <w:r>
              <w:rPr>
                <w:sz w:val="17"/>
              </w:rPr>
              <w:t>◐ L-8</w:t>
            </w:r>
          </w:p>
        </w:tc>
      </w:tr>
      <w:tr>
        <w:tc>
          <w:tcPr>
            <w:tcW w:type="dxa" w:w="1584"/>
          </w:tcPr>
          <w:p>
            <w:r/>
            <w:r>
              <w:rPr>
                <w:sz w:val="17"/>
              </w:rPr>
              <w:t>Associates / paralegals</w:t>
            </w:r>
          </w:p>
        </w:tc>
        <w:tc>
          <w:tcPr>
            <w:tcW w:type="dxa" w:w="2232"/>
          </w:tcPr>
          <w:p>
            <w:r/>
            <w:r>
              <w:rPr>
                <w:sz w:val="17"/>
              </w:rPr>
              <w:t>Up to 3 junior associates, 160 hrs/month cap; up to 2 paralegals; changes notified to DGC</w:t>
            </w:r>
          </w:p>
        </w:tc>
        <w:tc>
          <w:tcPr>
            <w:tcW w:type="dxa" w:w="2160"/>
          </w:tcPr>
          <w:p>
            <w:r/>
            <w:r>
              <w:rPr>
                <w:sz w:val="17"/>
              </w:rPr>
              <w:t>Junior associate rotation needs no client notice; senior associate / Of Counsel substitutions notified in monthly report</w:t>
            </w:r>
          </w:p>
        </w:tc>
        <w:tc>
          <w:tcPr>
            <w:tcW w:type="dxa" w:w="1512"/>
          </w:tcPr>
          <w:p>
            <w:r/>
            <w:r>
              <w:rPr>
                <w:sz w:val="17"/>
              </w:rPr>
              <w:t>Up to 1 junior associate on WS-4; extra staffing via "MP §5.4"</w:t>
            </w:r>
          </w:p>
        </w:tc>
        <w:tc>
          <w:tcPr>
            <w:tcW w:type="dxa" w:w="1872"/>
          </w:tcPr>
          <w:p>
            <w:r/>
            <w:r>
              <w:rPr>
                <w:sz w:val="17"/>
              </w:rPr>
              <w:t>Senior member substitution needs written approval; new timekeepers approved before invoice (§§3.1, 6.1)</w:t>
            </w:r>
          </w:p>
        </w:tc>
        <w:tc>
          <w:tcPr>
            <w:tcW w:type="dxa" w:w="1800"/>
          </w:tcPr>
          <w:p>
            <w:r/>
            <w:r>
              <w:rPr>
                <w:sz w:val="17"/>
              </w:rPr>
              <w:t>—</w:t>
            </w:r>
          </w:p>
        </w:tc>
        <w:tc>
          <w:tcPr>
            <w:tcW w:type="dxa" w:w="1440"/>
          </w:tcPr>
          <w:p>
            <w:r/>
            <w:r>
              <w:rPr>
                <w:sz w:val="17"/>
              </w:rPr>
              <w:t>Same</w:t>
            </w:r>
          </w:p>
        </w:tc>
        <w:tc>
          <w:tcPr>
            <w:tcW w:type="dxa" w:w="936"/>
          </w:tcPr>
          <w:p>
            <w:r/>
            <w:r>
              <w:rPr>
                <w:sz w:val="17"/>
              </w:rPr>
              <w:t>✖ M-5, L-1</w:t>
            </w:r>
          </w:p>
        </w:tc>
      </w:tr>
      <w:tr>
        <w:tc>
          <w:tcPr>
            <w:tcW w:type="dxa" w:w="1584"/>
          </w:tcPr>
          <w:p>
            <w:r/>
            <w:r>
              <w:rPr>
                <w:sz w:val="17"/>
              </w:rPr>
              <w:t>Of Counsel (Marchetti)</w:t>
            </w:r>
          </w:p>
        </w:tc>
        <w:tc>
          <w:tcPr>
            <w:tcW w:type="dxa" w:w="2232"/>
          </w:tcPr>
          <w:p>
            <w:r/>
            <w:r>
              <w:rPr>
                <w:sz w:val="17"/>
              </w:rPr>
              <w:t>"Regulatory response and insurance coverage coordination" work streams only; Partner rate</w:t>
            </w:r>
          </w:p>
        </w:tc>
        <w:tc>
          <w:tcPr>
            <w:tcW w:type="dxa" w:w="2160"/>
          </w:tcPr>
          <w:p>
            <w:r/>
            <w:r>
              <w:rPr>
                <w:sz w:val="17"/>
              </w:rPr>
              <w:t>WS-4 and WS-5 only</w:t>
            </w:r>
          </w:p>
        </w:tc>
        <w:tc>
          <w:tcPr>
            <w:tcW w:type="dxa" w:w="1512"/>
          </w:tcPr>
          <w:p>
            <w:r/>
            <w:r>
              <w:rPr>
                <w:sz w:val="17"/>
              </w:rPr>
              <w:t>WS-4 lead</w:t>
            </w:r>
          </w:p>
        </w:tc>
        <w:tc>
          <w:tcPr>
            <w:tcW w:type="dxa" w:w="1872"/>
          </w:tcPr>
          <w:p>
            <w:r/>
            <w:r>
              <w:rPr>
                <w:sz w:val="17"/>
              </w:rPr>
              <w:t>—</w:t>
            </w:r>
          </w:p>
        </w:tc>
        <w:tc>
          <w:tcPr>
            <w:tcW w:type="dxa" w:w="1800"/>
          </w:tcPr>
          <w:p>
            <w:r/>
            <w:r>
              <w:rPr>
                <w:sz w:val="17"/>
              </w:rPr>
              <w:t>WS-4 and WS-5</w:t>
            </w:r>
          </w:p>
        </w:tc>
        <w:tc>
          <w:tcPr>
            <w:tcW w:type="dxa" w:w="1440"/>
          </w:tcPr>
          <w:p>
            <w:r/>
            <w:r>
              <w:rPr>
                <w:sz w:val="17"/>
              </w:rPr>
              <w:t>Insurance plus "any regulatory work"</w:t>
            </w:r>
          </w:p>
        </w:tc>
        <w:tc>
          <w:tcPr>
            <w:tcW w:type="dxa" w:w="936"/>
          </w:tcPr>
          <w:p>
            <w:r/>
            <w:r>
              <w:rPr>
                <w:sz w:val="17"/>
              </w:rPr>
              <w:t>✖ M-14</w:t>
            </w:r>
          </w:p>
        </w:tc>
      </w:tr>
      <w:tr>
        <w:tc>
          <w:tcPr>
            <w:tcW w:type="dxa" w:w="1584"/>
          </w:tcPr>
          <w:p>
            <w:r/>
            <w:r>
              <w:rPr>
                <w:sz w:val="17"/>
              </w:rPr>
              <w:t>Settlement authority</w:t>
            </w:r>
          </w:p>
        </w:tc>
        <w:tc>
          <w:tcPr>
            <w:tcW w:type="dxa" w:w="2232"/>
          </w:tcPr>
          <w:p>
            <w:r/>
            <w:r>
              <w:rPr>
                <w:sz w:val="17"/>
              </w:rPr>
              <w:t>DGC ≤$3M; GC $3,000,001–$6M; Board &gt;$6M; offers received passed to DGC within 24 hrs</w:t>
            </w:r>
          </w:p>
        </w:tc>
        <w:tc>
          <w:tcPr>
            <w:tcW w:type="dxa" w:w="2160"/>
          </w:tcPr>
          <w:p>
            <w:r/>
            <w:r>
              <w:rPr>
                <w:sz w:val="17"/>
              </w:rPr>
              <w:t>Same</w:t>
            </w:r>
          </w:p>
        </w:tc>
        <w:tc>
          <w:tcPr>
            <w:tcW w:type="dxa" w:w="1512"/>
          </w:tcPr>
          <w:p>
            <w:r/>
            <w:r>
              <w:rPr>
                <w:sz w:val="17"/>
              </w:rPr>
              <w:t>—</w:t>
            </w:r>
          </w:p>
        </w:tc>
        <w:tc>
          <w:tcPr>
            <w:tcW w:type="dxa" w:w="1872"/>
          </w:tcPr>
          <w:p>
            <w:r/>
            <w:r>
              <w:rPr>
                <w:sz w:val="17"/>
              </w:rPr>
              <w:t>Offers notified within 24 hrs (phone) and confirmed by email within 48 hrs (§7.2)</w:t>
            </w:r>
          </w:p>
        </w:tc>
        <w:tc>
          <w:tcPr>
            <w:tcW w:type="dxa" w:w="1800"/>
          </w:tcPr>
          <w:p>
            <w:r/>
            <w:r>
              <w:rPr>
                <w:sz w:val="17"/>
              </w:rPr>
              <w:t>—</w:t>
            </w:r>
          </w:p>
        </w:tc>
        <w:tc>
          <w:tcPr>
            <w:tcW w:type="dxa" w:w="1440"/>
          </w:tcPr>
          <w:p>
            <w:r/>
            <w:r>
              <w:rPr>
                <w:sz w:val="17"/>
              </w:rPr>
              <w:t>Confirmed Jan. 20</w:t>
            </w:r>
          </w:p>
        </w:tc>
        <w:tc>
          <w:tcPr>
            <w:tcW w:type="dxa" w:w="936"/>
          </w:tcPr>
          <w:p>
            <w:r/>
            <w:r>
              <w:rPr>
                <w:sz w:val="17"/>
              </w:rPr>
              <w:t>✔ (◐ M-15 unit of measure)</w:t>
            </w:r>
          </w:p>
        </w:tc>
      </w:tr>
      <w:tr>
        <w:tc>
          <w:tcPr>
            <w:tcW w:type="dxa" w:w="1584"/>
          </w:tcPr>
          <w:p>
            <w:r/>
            <w:r>
              <w:rPr>
                <w:sz w:val="17"/>
              </w:rPr>
              <w:t>Mediators / deadline</w:t>
            </w:r>
          </w:p>
        </w:tc>
        <w:tc>
          <w:tcPr>
            <w:tcW w:type="dxa" w:w="2232"/>
          </w:tcPr>
          <w:p>
            <w:r/>
            <w:r>
              <w:rPr>
                <w:sz w:val="17"/>
              </w:rPr>
              <w:t>Joint approval by GC and Lead Trial Partner; pre-approved list in MP</w:t>
            </w:r>
          </w:p>
        </w:tc>
        <w:tc>
          <w:tcPr>
            <w:tcW w:type="dxa" w:w="2160"/>
          </w:tcPr>
          <w:p>
            <w:r/>
            <w:r>
              <w:rPr>
                <w:sz w:val="17"/>
              </w:rPr>
              <w:t>Fitzsimmons, Delmonico, Tran; completion 90 days before trial: Mar. 3, 2026 (narrative) vs Feb. 28, 2026 (chart)</w:t>
            </w:r>
          </w:p>
        </w:tc>
        <w:tc>
          <w:tcPr>
            <w:tcW w:type="dxa" w:w="1512"/>
          </w:tcPr>
          <w:p>
            <w:r/>
            <w:r>
              <w:rPr>
                <w:sz w:val="17"/>
              </w:rPr>
              <w:t>—</w:t>
            </w:r>
          </w:p>
        </w:tc>
        <w:tc>
          <w:tcPr>
            <w:tcW w:type="dxa" w:w="1872"/>
          </w:tcPr>
          <w:p>
            <w:r/>
            <w:r>
              <w:rPr>
                <w:sz w:val="17"/>
              </w:rPr>
              <w:t>—</w:t>
            </w:r>
          </w:p>
        </w:tc>
        <w:tc>
          <w:tcPr>
            <w:tcW w:type="dxa" w:w="1800"/>
          </w:tcPr>
          <w:p>
            <w:r/>
            <w:r>
              <w:rPr>
                <w:sz w:val="17"/>
              </w:rPr>
              <w:t>"Mar. 2026"</w:t>
            </w:r>
          </w:p>
        </w:tc>
        <w:tc>
          <w:tcPr>
            <w:tcW w:type="dxa" w:w="1440"/>
          </w:tcPr>
          <w:p>
            <w:r/>
            <w:r>
              <w:rPr>
                <w:sz w:val="17"/>
              </w:rPr>
              <w:t>Same three; Giles may approve "on [Meg's] behalf"</w:t>
            </w:r>
          </w:p>
        </w:tc>
        <w:tc>
          <w:tcPr>
            <w:tcW w:type="dxa" w:w="936"/>
          </w:tcPr>
          <w:p>
            <w:r/>
            <w:r>
              <w:rPr>
                <w:sz w:val="17"/>
              </w:rPr>
              <w:t>✖ M-11, L-12</w:t>
            </w:r>
          </w:p>
        </w:tc>
      </w:tr>
      <w:tr>
        <w:tc>
          <w:tcPr>
            <w:tcW w:type="dxa" w:w="1584"/>
          </w:tcPr>
          <w:p>
            <w:r/>
            <w:r>
              <w:rPr>
                <w:sz w:val="17"/>
              </w:rPr>
              <w:t>Reporting</w:t>
            </w:r>
          </w:p>
        </w:tc>
        <w:tc>
          <w:tcPr>
            <w:tcW w:type="dxa" w:w="2232"/>
          </w:tcPr>
          <w:p>
            <w:r/>
            <w:r>
              <w:rPr>
                <w:sz w:val="17"/>
              </w:rPr>
              <w:t>Weekly Tuesday 3pm ET calls; monthly report by 5th business day; QBR by May 15, 2025 (GC and CFO; Layton and Voss attend)</w:t>
            </w:r>
          </w:p>
        </w:tc>
        <w:tc>
          <w:tcPr>
            <w:tcW w:type="dxa" w:w="2160"/>
          </w:tcPr>
          <w:p>
            <w:r/>
            <w:r>
              <w:rPr>
                <w:sz w:val="17"/>
              </w:rPr>
              <w:t>Same; adds DGC to QBR; Sinclair supports</w:t>
            </w:r>
          </w:p>
        </w:tc>
        <w:tc>
          <w:tcPr>
            <w:tcW w:type="dxa" w:w="1512"/>
          </w:tcPr>
          <w:p>
            <w:r/>
            <w:r>
              <w:rPr>
                <w:sz w:val="17"/>
              </w:rPr>
              <w:t>WS-4 added to each report</w:t>
            </w:r>
          </w:p>
        </w:tc>
        <w:tc>
          <w:tcPr>
            <w:tcW w:type="dxa" w:w="1872"/>
          </w:tcPr>
          <w:p>
            <w:r/>
            <w:r>
              <w:rPr>
                <w:sz w:val="17"/>
              </w:rPr>
              <w:t>Monthly report must cover 30/60/90-day deadlines; diversity metrics in QBRs; max 2 attorneys at meetings</w:t>
            </w:r>
          </w:p>
        </w:tc>
        <w:tc>
          <w:tcPr>
            <w:tcW w:type="dxa" w:w="1800"/>
          </w:tcPr>
          <w:p>
            <w:r/>
            <w:r>
              <w:rPr>
                <w:sz w:val="17"/>
              </w:rPr>
              <w:t>—</w:t>
            </w:r>
          </w:p>
        </w:tc>
        <w:tc>
          <w:tcPr>
            <w:tcW w:type="dxa" w:w="1440"/>
          </w:tcPr>
          <w:p>
            <w:r/>
            <w:r>
              <w:rPr>
                <w:sz w:val="17"/>
              </w:rPr>
              <w:t>—</w:t>
            </w:r>
          </w:p>
        </w:tc>
        <w:tc>
          <w:tcPr>
            <w:tcW w:type="dxa" w:w="936"/>
          </w:tcPr>
          <w:p>
            <w:r/>
            <w:r>
              <w:rPr>
                <w:sz w:val="17"/>
              </w:rPr>
              <w:t>✖ M-13, L-11</w:t>
            </w:r>
          </w:p>
        </w:tc>
      </w:tr>
      <w:tr>
        <w:tc>
          <w:tcPr>
            <w:tcW w:type="dxa" w:w="1584"/>
          </w:tcPr>
          <w:p>
            <w:r/>
            <w:r>
              <w:rPr>
                <w:sz w:val="17"/>
              </w:rPr>
              <w:t>Success fee</w:t>
            </w:r>
          </w:p>
        </w:tc>
        <w:tc>
          <w:tcPr>
            <w:tcW w:type="dxa" w:w="2232"/>
          </w:tcPr>
          <w:p>
            <w:r/>
            <w:r>
              <w:rPr>
                <w:sz w:val="17"/>
              </w:rPr>
              <w:t>7.5% × ($8.5M − "Actual Aggregate Payments"); "aggregate payments" undefined</w:t>
            </w:r>
          </w:p>
        </w:tc>
        <w:tc>
          <w:tcPr>
            <w:tcW w:type="dxa" w:w="2160"/>
          </w:tcPr>
          <w:p>
            <w:r/>
            <w:r>
              <w:rPr>
                <w:sz w:val="17"/>
              </w:rPr>
              <w:t>Same; no definition</w:t>
            </w:r>
          </w:p>
        </w:tc>
        <w:tc>
          <w:tcPr>
            <w:tcW w:type="dxa" w:w="1512"/>
          </w:tcPr>
          <w:p>
            <w:r/>
            <w:r>
              <w:rPr>
                <w:sz w:val="17"/>
              </w:rPr>
              <w:t>—</w:t>
            </w:r>
          </w:p>
        </w:tc>
        <w:tc>
          <w:tcPr>
            <w:tcW w:type="dxa" w:w="1872"/>
          </w:tcPr>
          <w:p>
            <w:r/>
            <w:r>
              <w:rPr>
                <w:sz w:val="17"/>
              </w:rPr>
              <w:t>AFA must specify its calculation method (§3.2)</w:t>
            </w:r>
          </w:p>
        </w:tc>
        <w:tc>
          <w:tcPr>
            <w:tcW w:type="dxa" w:w="1800"/>
          </w:tcPr>
          <w:p>
            <w:r/>
            <w:r>
              <w:rPr>
                <w:sz w:val="17"/>
              </w:rPr>
              <w:t>—</w:t>
            </w:r>
          </w:p>
        </w:tc>
        <w:tc>
          <w:tcPr>
            <w:tcW w:type="dxa" w:w="1440"/>
          </w:tcPr>
          <w:p>
            <w:r/>
            <w:r>
              <w:rPr>
                <w:sz w:val="17"/>
              </w:rPr>
              <w:t>Definition disputed and unresolved</w:t>
            </w:r>
          </w:p>
        </w:tc>
        <w:tc>
          <w:tcPr>
            <w:tcW w:type="dxa" w:w="936"/>
          </w:tcPr>
          <w:p>
            <w:r/>
            <w:r>
              <w:rPr>
                <w:sz w:val="17"/>
              </w:rPr>
              <w:t>◐ H-9</w:t>
            </w:r>
          </w:p>
        </w:tc>
      </w:tr>
      <w:tr>
        <w:tc>
          <w:tcPr>
            <w:tcW w:type="dxa" w:w="1584"/>
          </w:tcPr>
          <w:p>
            <w:r/>
            <w:r>
              <w:rPr>
                <w:sz w:val="17"/>
              </w:rPr>
              <w:t>Termination</w:t>
            </w:r>
          </w:p>
        </w:tc>
        <w:tc>
          <w:tcPr>
            <w:tcW w:type="dxa" w:w="2232"/>
          </w:tcPr>
          <w:p>
            <w:r/>
            <w:r>
              <w:rPr>
                <w:sz w:val="17"/>
              </w:rPr>
              <w:t>30 days' notice; files within 15 business days; accrued fees paid in 45 days; success fee forfeited or pro-rated; wind-down fee 2% if billed "in excess of" $2M</w:t>
            </w:r>
          </w:p>
        </w:tc>
        <w:tc>
          <w:tcPr>
            <w:tcW w:type="dxa" w:w="2160"/>
          </w:tcPr>
          <w:p>
            <w:r/>
            <w:r>
              <w:rPr>
                <w:sz w:val="17"/>
              </w:rPr>
              <w:t>Wind-down if "$2M or more"; success fee "remains available" on termination without cause; transition ≤30 days</w:t>
            </w:r>
          </w:p>
        </w:tc>
        <w:tc>
          <w:tcPr>
            <w:tcW w:type="dxa" w:w="1512"/>
          </w:tcPr>
          <w:p>
            <w:r/>
            <w:r>
              <w:rPr>
                <w:sz w:val="17"/>
              </w:rPr>
              <w:t>—</w:t>
            </w:r>
          </w:p>
        </w:tc>
        <w:tc>
          <w:tcPr>
            <w:tcW w:type="dxa" w:w="1872"/>
          </w:tcPr>
          <w:p>
            <w:r/>
            <w:r>
              <w:rPr>
                <w:sz w:val="17"/>
              </w:rPr>
              <w:t>30 days default; files within 30 business days if no timeframe set</w:t>
            </w:r>
          </w:p>
        </w:tc>
        <w:tc>
          <w:tcPr>
            <w:tcW w:type="dxa" w:w="1800"/>
          </w:tcPr>
          <w:p>
            <w:r/>
            <w:r>
              <w:rPr>
                <w:sz w:val="17"/>
              </w:rPr>
              <w:t>—</w:t>
            </w:r>
          </w:p>
        </w:tc>
        <w:tc>
          <w:tcPr>
            <w:tcW w:type="dxa" w:w="1440"/>
          </w:tcPr>
          <w:p>
            <w:r/>
            <w:r>
              <w:rPr>
                <w:sz w:val="17"/>
              </w:rPr>
              <w:t>—</w:t>
            </w:r>
          </w:p>
        </w:tc>
        <w:tc>
          <w:tcPr>
            <w:tcW w:type="dxa" w:w="936"/>
          </w:tcPr>
          <w:p>
            <w:r/>
            <w:r>
              <w:rPr>
                <w:sz w:val="17"/>
              </w:rPr>
              <w:t>✖ M-16, M-17</w:t>
            </w:r>
          </w:p>
        </w:tc>
      </w:tr>
      <w:tr>
        <w:tc>
          <w:tcPr>
            <w:tcW w:type="dxa" w:w="1584"/>
          </w:tcPr>
          <w:p>
            <w:r/>
            <w:r>
              <w:rPr>
                <w:sz w:val="17"/>
              </w:rPr>
              <w:t>Insurance</w:t>
            </w:r>
          </w:p>
        </w:tc>
        <w:tc>
          <w:tcPr>
            <w:tcW w:type="dxa" w:w="2232"/>
          </w:tcPr>
          <w:p>
            <w:r/>
            <w:r>
              <w:rPr>
                <w:sz w:val="17"/>
              </w:rPr>
              <w:t>Fortitude $5M / $10M; Ridgeline $15M follow-form; no direct carrier contact on coverage without DGC</w:t>
            </w:r>
          </w:p>
        </w:tc>
        <w:tc>
          <w:tcPr>
            <w:tcW w:type="dxa" w:w="2160"/>
          </w:tcPr>
          <w:p>
            <w:r/>
            <w:r>
              <w:rPr>
                <w:sz w:val="17"/>
              </w:rPr>
              <w:t>WS-5 authorizes direct communication with carriers</w:t>
            </w:r>
          </w:p>
        </w:tc>
        <w:tc>
          <w:tcPr>
            <w:tcW w:type="dxa" w:w="1512"/>
          </w:tcPr>
          <w:p>
            <w:r/>
            <w:r>
              <w:rPr>
                <w:sz w:val="17"/>
              </w:rPr>
              <w:t>Adds policy numbers</w:t>
            </w:r>
          </w:p>
        </w:tc>
        <w:tc>
          <w:tcPr>
            <w:tcW w:type="dxa" w:w="1872"/>
          </w:tcPr>
          <w:p>
            <w:r/>
            <w:r>
              <w:rPr>
                <w:sz w:val="17"/>
              </w:rPr>
              <w:t>—</w:t>
            </w:r>
          </w:p>
        </w:tc>
        <w:tc>
          <w:tcPr>
            <w:tcW w:type="dxa" w:w="1800"/>
          </w:tcPr>
          <w:p>
            <w:r/>
            <w:r>
              <w:rPr>
                <w:sz w:val="17"/>
              </w:rPr>
              <w:t>Same limits</w:t>
            </w:r>
          </w:p>
        </w:tc>
        <w:tc>
          <w:tcPr>
            <w:tcW w:type="dxa" w:w="1440"/>
          </w:tcPr>
          <w:p>
            <w:r/>
            <w:r>
              <w:rPr>
                <w:sz w:val="17"/>
              </w:rPr>
              <w:t>Same</w:t>
            </w:r>
          </w:p>
        </w:tc>
        <w:tc>
          <w:tcPr>
            <w:tcW w:type="dxa" w:w="936"/>
          </w:tcPr>
          <w:p>
            <w:r/>
            <w:r>
              <w:rPr>
                <w:sz w:val="17"/>
              </w:rPr>
              <w:t>✖ H-10</w:t>
            </w:r>
          </w:p>
        </w:tc>
      </w:tr>
      <w:tr>
        <w:tc>
          <w:tcPr>
            <w:tcW w:type="dxa" w:w="1584"/>
          </w:tcPr>
          <w:p>
            <w:r/>
            <w:r>
              <w:rPr>
                <w:sz w:val="17"/>
              </w:rPr>
              <w:t>Hierarchy</w:t>
            </w:r>
          </w:p>
        </w:tc>
        <w:tc>
          <w:tcPr>
            <w:tcW w:type="dxa" w:w="2232"/>
          </w:tcPr>
          <w:p>
            <w:r/>
            <w:r>
              <w:rPr>
                <w:sz w:val="17"/>
              </w:rPr>
              <w:t>EL controls over OCG and MP (§§11, 12)</w:t>
            </w:r>
          </w:p>
        </w:tc>
        <w:tc>
          <w:tcPr>
            <w:tcW w:type="dxa" w:w="2160"/>
          </w:tcPr>
          <w:p>
            <w:r/>
            <w:r>
              <w:rPr>
                <w:sz w:val="17"/>
              </w:rPr>
              <w:t>EL &gt; OCG &gt; MP (§10)</w:t>
            </w:r>
          </w:p>
        </w:tc>
        <w:tc>
          <w:tcPr>
            <w:tcW w:type="dxa" w:w="1512"/>
          </w:tcPr>
          <w:p>
            <w:r/>
            <w:r>
              <w:rPr>
                <w:sz w:val="17"/>
              </w:rPr>
              <w:t>R1 controls over MP for WS-4</w:t>
            </w:r>
          </w:p>
        </w:tc>
        <w:tc>
          <w:tcPr>
            <w:tcW w:type="dxa" w:w="1872"/>
          </w:tcPr>
          <w:p>
            <w:r/>
            <w:r>
              <w:rPr>
                <w:sz w:val="17"/>
              </w:rPr>
              <w:t>EL controls only with an express section-specific override</w:t>
            </w:r>
          </w:p>
        </w:tc>
        <w:tc>
          <w:tcPr>
            <w:tcW w:type="dxa" w:w="1800"/>
          </w:tcPr>
          <w:p>
            <w:r/>
            <w:r>
              <w:rPr>
                <w:sz w:val="17"/>
              </w:rPr>
              <w:t>—</w:t>
            </w:r>
          </w:p>
        </w:tc>
        <w:tc>
          <w:tcPr>
            <w:tcW w:type="dxa" w:w="1440"/>
          </w:tcPr>
          <w:p>
            <w:r/>
            <w:r>
              <w:rPr>
                <w:sz w:val="17"/>
              </w:rPr>
              <w:t>OCGs "supplement" the EL (Giles)</w:t>
            </w:r>
          </w:p>
        </w:tc>
        <w:tc>
          <w:tcPr>
            <w:tcW w:type="dxa" w:w="936"/>
          </w:tcPr>
          <w:p>
            <w:r/>
            <w:r>
              <w:rPr>
                <w:sz w:val="17"/>
              </w:rPr>
              <w:t>✖ H-1</w:t>
            </w:r>
          </w:p>
        </w:tc>
      </w:tr>
      <w:tr>
        <w:tc>
          <w:tcPr>
            <w:tcW w:type="dxa" w:w="1584"/>
          </w:tcPr>
          <w:p>
            <w:r/>
            <w:r>
              <w:rPr>
                <w:sz w:val="17"/>
              </w:rPr>
              <w:t>Meridian address</w:t>
            </w:r>
          </w:p>
        </w:tc>
        <w:tc>
          <w:tcPr>
            <w:tcW w:type="dxa" w:w="2232"/>
          </w:tcPr>
          <w:p>
            <w:r/>
            <w:r>
              <w:rPr>
                <w:sz w:val="17"/>
              </w:rPr>
              <w:t>—</w:t>
            </w:r>
          </w:p>
        </w:tc>
        <w:tc>
          <w:tcPr>
            <w:tcW w:type="dxa" w:w="2160"/>
          </w:tcPr>
          <w:p>
            <w:r/>
            <w:r>
              <w:rPr>
                <w:sz w:val="17"/>
              </w:rPr>
              <w:t>1325 G Street NW, Ste 900, DC 20005</w:t>
            </w:r>
          </w:p>
        </w:tc>
        <w:tc>
          <w:tcPr>
            <w:tcW w:type="dxa" w:w="1512"/>
          </w:tcPr>
          <w:p>
            <w:r/>
            <w:r>
              <w:rPr>
                <w:sz w:val="17"/>
              </w:rPr>
              <w:t>1100 Connecticut Ave NW, Ste 800, DC 20036</w:t>
            </w:r>
          </w:p>
        </w:tc>
        <w:tc>
          <w:tcPr>
            <w:tcW w:type="dxa" w:w="1872"/>
          </w:tcPr>
          <w:p>
            <w:r/>
            <w:r>
              <w:rPr>
                <w:sz w:val="17"/>
              </w:rPr>
              <w:t>—</w:t>
            </w:r>
          </w:p>
        </w:tc>
        <w:tc>
          <w:tcPr>
            <w:tcW w:type="dxa" w:w="1800"/>
          </w:tcPr>
          <w:p>
            <w:r/>
            <w:r>
              <w:rPr>
                <w:sz w:val="17"/>
              </w:rPr>
              <w:t>—</w:t>
            </w:r>
          </w:p>
        </w:tc>
        <w:tc>
          <w:tcPr>
            <w:tcW w:type="dxa" w:w="1440"/>
          </w:tcPr>
          <w:p>
            <w:r/>
            <w:r>
              <w:rPr>
                <w:sz w:val="17"/>
              </w:rPr>
              <w:t>—</w:t>
            </w:r>
          </w:p>
        </w:tc>
        <w:tc>
          <w:tcPr>
            <w:tcW w:type="dxa" w:w="936"/>
          </w:tcPr>
          <w:p>
            <w:r/>
            <w:r>
              <w:rPr>
                <w:sz w:val="17"/>
              </w:rPr>
              <w:t>✖ L-4</w:t>
            </w:r>
          </w:p>
        </w:tc>
      </w:tr>
    </w:tbl>
    <w:p/>
    <w:p>
      <w:pPr>
        <w:pStyle w:val="Heading1"/>
      </w:pPr>
      <w:r>
        <w:t>4. Inconsistency and Gap Register</w:t>
      </w:r>
    </w:p>
    <w:tbl>
      <w:tblPr>
        <w:tblStyle w:val="TableGrid"/>
        <w:tblW w:type="auto" w:w="0"/>
        <w:tblLook w:firstColumn="1" w:firstRow="1" w:lastColumn="0" w:lastRow="0" w:noHBand="0" w:noVBand="1" w:val="04A0"/>
      </w:tblPr>
      <w:tblGrid>
        <w:gridCol w:w="1975"/>
        <w:gridCol w:w="1975"/>
        <w:gridCol w:w="1975"/>
        <w:gridCol w:w="1975"/>
        <w:gridCol w:w="1975"/>
        <w:gridCol w:w="1975"/>
        <w:gridCol w:w="1975"/>
      </w:tblGrid>
      <w:tr>
        <w:tc>
          <w:tcPr>
            <w:tcW w:type="dxa" w:w="576"/>
            <w:shd w:val="clear" w:color="auto" w:fill="1F3864"/>
          </w:tcPr>
          <w:p>
            <w:r/>
            <w:r>
              <w:rPr>
                <w:b/>
                <w:color w:val="FFFFFF"/>
                <w:sz w:val="18"/>
              </w:rPr>
              <w:t>ID</w:t>
            </w:r>
          </w:p>
        </w:tc>
        <w:tc>
          <w:tcPr>
            <w:tcW w:type="dxa" w:w="936"/>
            <w:shd w:val="clear" w:color="auto" w:fill="1F3864"/>
          </w:tcPr>
          <w:p>
            <w:r/>
            <w:r>
              <w:rPr>
                <w:b/>
                <w:color w:val="FFFFFF"/>
                <w:sz w:val="18"/>
              </w:rPr>
              <w:t>Severity</w:t>
            </w:r>
          </w:p>
        </w:tc>
        <w:tc>
          <w:tcPr>
            <w:tcW w:type="dxa" w:w="1728"/>
            <w:shd w:val="clear" w:color="auto" w:fill="1F3864"/>
          </w:tcPr>
          <w:p>
            <w:r/>
            <w:r>
              <w:rPr>
                <w:b/>
                <w:color w:val="FFFFFF"/>
                <w:sz w:val="18"/>
              </w:rPr>
              <w:t>Issue</w:t>
            </w:r>
          </w:p>
        </w:tc>
        <w:tc>
          <w:tcPr>
            <w:tcW w:type="dxa" w:w="1872"/>
            <w:shd w:val="clear" w:color="auto" w:fill="1F3864"/>
          </w:tcPr>
          <w:p>
            <w:r/>
            <w:r>
              <w:rPr>
                <w:b/>
                <w:color w:val="FFFFFF"/>
                <w:sz w:val="18"/>
              </w:rPr>
              <w:t>Sources</w:t>
            </w:r>
          </w:p>
        </w:tc>
        <w:tc>
          <w:tcPr>
            <w:tcW w:type="dxa" w:w="4752"/>
            <w:shd w:val="clear" w:color="auto" w:fill="1F3864"/>
          </w:tcPr>
          <w:p>
            <w:r/>
            <w:r>
              <w:rPr>
                <w:b/>
                <w:color w:val="FFFFFF"/>
                <w:sz w:val="18"/>
              </w:rPr>
              <w:t>Analysis</w:t>
            </w:r>
          </w:p>
        </w:tc>
        <w:tc>
          <w:tcPr>
            <w:tcW w:type="dxa" w:w="1512"/>
            <w:shd w:val="clear" w:color="auto" w:fill="1F3864"/>
          </w:tcPr>
          <w:p>
            <w:r/>
            <w:r>
              <w:rPr>
                <w:b/>
                <w:color w:val="FFFFFF"/>
                <w:sz w:val="18"/>
              </w:rPr>
              <w:t>Controlling</w:t>
            </w:r>
          </w:p>
        </w:tc>
        <w:tc>
          <w:tcPr>
            <w:tcW w:type="dxa" w:w="2448"/>
            <w:shd w:val="clear" w:color="auto" w:fill="1F3864"/>
          </w:tcPr>
          <w:p>
            <w:r/>
            <w:r>
              <w:rPr>
                <w:b/>
                <w:color w:val="FFFFFF"/>
                <w:sz w:val="18"/>
              </w:rPr>
              <w:t>Recommended action</w:t>
            </w:r>
          </w:p>
        </w:tc>
      </w:tr>
      <w:tr>
        <w:tc>
          <w:tcPr>
            <w:tcW w:type="dxa" w:w="576"/>
          </w:tcPr>
          <w:p>
            <w:r/>
            <w:r>
              <w:rPr>
                <w:sz w:val="17"/>
              </w:rPr>
              <w:t>H-1</w:t>
            </w:r>
          </w:p>
        </w:tc>
        <w:tc>
          <w:tcPr>
            <w:tcW w:type="dxa" w:w="936"/>
            <w:shd w:val="clear" w:color="auto" w:fill="F4CCCC"/>
          </w:tcPr>
          <w:p>
            <w:r/>
            <w:r>
              <w:rPr>
                <w:b/>
                <w:sz w:val="17"/>
              </w:rPr>
              <w:t>HIGH</w:t>
            </w:r>
          </w:p>
        </w:tc>
        <w:tc>
          <w:tcPr>
            <w:tcW w:type="dxa" w:w="1728"/>
          </w:tcPr>
          <w:p>
            <w:r/>
            <w:r>
              <w:rPr>
                <w:sz w:val="17"/>
              </w:rPr>
              <w:t>Circular document hierarchy</w:t>
            </w:r>
          </w:p>
        </w:tc>
        <w:tc>
          <w:tcPr>
            <w:tcW w:type="dxa" w:w="1872"/>
          </w:tcPr>
          <w:p>
            <w:r/>
            <w:r>
              <w:rPr>
                <w:sz w:val="17"/>
              </w:rPr>
              <w:t>EL §§11, 12; MP §10; OCG preamble</w:t>
            </w:r>
          </w:p>
        </w:tc>
        <w:tc>
          <w:tcPr>
            <w:tcW w:type="dxa" w:w="4752"/>
          </w:tcPr>
          <w:p>
            <w:r/>
            <w:r>
              <w:rPr>
                <w:sz w:val="17"/>
              </w:rPr>
              <w:t>The EL says it controls over the OCGs. The OCGs say an EL overrides them only where it expressly names the specific OCG section being modified, and that general integration clauses do not count. The EL never cites a specific OCG section. On the OCGs' own terms, every EL term that departs from them (fee-cap overages, reviewer approval, staffing) is arguably ineffective.</w:t>
            </w:r>
          </w:p>
        </w:tc>
        <w:tc>
          <w:tcPr>
            <w:tcW w:type="dxa" w:w="1512"/>
          </w:tcPr>
          <w:p>
            <w:r/>
            <w:r>
              <w:rPr>
                <w:sz w:val="17"/>
              </w:rPr>
              <w:t>Unresolved. The EL controls only if the OCG preamble is itself overridden, which the OCG language denies.</w:t>
            </w:r>
          </w:p>
        </w:tc>
        <w:tc>
          <w:tcPr>
            <w:tcW w:type="dxa" w:w="2448"/>
          </w:tcPr>
          <w:p>
            <w:r/>
            <w:r>
              <w:rPr>
                <w:sz w:val="17"/>
              </w:rPr>
              <w:t>Sign a side letter or EL amendment that lists each OCG provision the EL modifies (§§3.1, 3.2, 4.3, 5.2, 6.1, 6.2) by section number.</w:t>
            </w:r>
          </w:p>
        </w:tc>
      </w:tr>
      <w:tr>
        <w:tc>
          <w:tcPr>
            <w:tcW w:type="dxa" w:w="576"/>
          </w:tcPr>
          <w:p>
            <w:r/>
            <w:r>
              <w:rPr>
                <w:sz w:val="17"/>
              </w:rPr>
              <w:t>H-2</w:t>
            </w:r>
          </w:p>
        </w:tc>
        <w:tc>
          <w:tcPr>
            <w:tcW w:type="dxa" w:w="936"/>
            <w:shd w:val="clear" w:color="auto" w:fill="F4CCCC"/>
          </w:tcPr>
          <w:p>
            <w:r/>
            <w:r>
              <w:rPr>
                <w:b/>
                <w:sz w:val="17"/>
              </w:rPr>
              <w:t>HIGH</w:t>
            </w:r>
          </w:p>
        </w:tc>
        <w:tc>
          <w:tcPr>
            <w:tcW w:type="dxa" w:w="1728"/>
          </w:tcPr>
          <w:p>
            <w:r/>
            <w:r>
              <w:rPr>
                <w:sz w:val="17"/>
              </w:rPr>
              <w:t>WS-4 added without GC re-approval</w:t>
            </w:r>
          </w:p>
        </w:tc>
        <w:tc>
          <w:tcPr>
            <w:tcW w:type="dxa" w:w="1872"/>
          </w:tcPr>
          <w:p>
            <w:r/>
            <w:r>
              <w:rPr>
                <w:sz w:val="17"/>
              </w:rPr>
              <w:t>EL §§1, 7, 12(a); R1 §§1, 2.2 and signature block; XLS WS-4 note</w:t>
            </w:r>
          </w:p>
        </w:tc>
        <w:tc>
          <w:tcPr>
            <w:tcW w:type="dxa" w:w="4752"/>
          </w:tcPr>
          <w:p>
            <w:r/>
            <w:r>
              <w:rPr>
                <w:sz w:val="17"/>
              </w:rPr>
              <w:t>The EL defines 5% of the AFB as $212,500 and requires the GC's prior written re-approval for any work stream added after Feb. 3, 2025 that exceeds it. WS-4 is $320,000 (7.5%). R1 was agreed and signed only by Layton and Giles. EL §12 allows those two to amend the MP only for work streams at or below 5%. OCG §4.4 also says no work should start before the addendum is executed, yet the XLS forecasts $15,000 of WS-4 fees in March 2025, before the March 28 execution.</w:t>
            </w:r>
          </w:p>
        </w:tc>
        <w:tc>
          <w:tcPr>
            <w:tcW w:type="dxa" w:w="1512"/>
          </w:tcPr>
          <w:p>
            <w:r/>
            <w:r>
              <w:rPr>
                <w:sz w:val="17"/>
              </w:rPr>
              <w:t>EL</w:t>
            </w:r>
          </w:p>
        </w:tc>
        <w:tc>
          <w:tcPr>
            <w:tcW w:type="dxa" w:w="2448"/>
          </w:tcPr>
          <w:p>
            <w:r/>
            <w:r>
              <w:rPr>
                <w:sz w:val="17"/>
              </w:rPr>
              <w:t>Get the GC's written re-approval, retroactively ratifying WS-4. Confirm no WS-4 time was billed before approval. Put WS-4 invoices on hold until this is cured.</w:t>
            </w:r>
          </w:p>
        </w:tc>
      </w:tr>
      <w:tr>
        <w:tc>
          <w:tcPr>
            <w:tcW w:type="dxa" w:w="576"/>
          </w:tcPr>
          <w:p>
            <w:r/>
            <w:r>
              <w:rPr>
                <w:sz w:val="17"/>
              </w:rPr>
              <w:t>H-3</w:t>
            </w:r>
          </w:p>
        </w:tc>
        <w:tc>
          <w:tcPr>
            <w:tcW w:type="dxa" w:w="936"/>
            <w:shd w:val="clear" w:color="auto" w:fill="F4CCCC"/>
          </w:tcPr>
          <w:p>
            <w:r/>
            <w:r>
              <w:rPr>
                <w:b/>
                <w:sz w:val="17"/>
              </w:rPr>
              <w:t>HIGH</w:t>
            </w:r>
          </w:p>
        </w:tc>
        <w:tc>
          <w:tcPr>
            <w:tcW w:type="dxa" w:w="1728"/>
          </w:tcPr>
          <w:p>
            <w:r/>
            <w:r>
              <w:rPr>
                <w:sz w:val="17"/>
              </w:rPr>
              <w:t>Work-stream fee allocations conflict between MP and XLS</w:t>
            </w:r>
          </w:p>
        </w:tc>
        <w:tc>
          <w:tcPr>
            <w:tcW w:type="dxa" w:w="1872"/>
          </w:tcPr>
          <w:p>
            <w:r/>
            <w:r>
              <w:rPr>
                <w:sz w:val="17"/>
              </w:rPr>
              <w:t>MP §§3.1–3.7, 7.1; XLS Fee Budget tab</w:t>
            </w:r>
          </w:p>
        </w:tc>
        <w:tc>
          <w:tcPr>
            <w:tcW w:type="dxa" w:w="4752"/>
          </w:tcPr>
          <w:p>
            <w:r/>
            <w:r>
              <w:rPr>
                <w:sz w:val="17"/>
              </w:rPr>
              <w:t>Both total $4,250,000 but split it differently. WS-1: $1,850,000 vs $1,650,000 (−$200K). WS-2: $475,000 vs $480,000 (+$5K). WS-6: $420,000 vs $870,000 (+$450K). WS-7: $345,000 vs $450,000 (+$105K). Contingency: $360,000 vs none (−$360K). The XLS reallocations exceed the approval authority MP §7.1 grants (DGC-approved transfers), and there is no record of any approval.</w:t>
            </w:r>
          </w:p>
        </w:tc>
        <w:tc>
          <w:tcPr>
            <w:tcW w:type="dxa" w:w="1512"/>
          </w:tcPr>
          <w:p>
            <w:r/>
            <w:r>
              <w:rPr>
                <w:sz w:val="17"/>
              </w:rPr>
              <w:t>MP (incorporated into EL). The XLS has no contractual status.</w:t>
            </w:r>
          </w:p>
        </w:tc>
        <w:tc>
          <w:tcPr>
            <w:tcW w:type="dxa" w:w="2448"/>
          </w:tcPr>
          <w:p>
            <w:r/>
            <w:r>
              <w:rPr>
                <w:sz w:val="17"/>
              </w:rPr>
              <w:t>Reissue the XLS to match MP §7.1, or document DGC-approved transfers and any contingency draws in writing.</w:t>
            </w:r>
          </w:p>
        </w:tc>
      </w:tr>
      <w:tr>
        <w:tc>
          <w:tcPr>
            <w:tcW w:type="dxa" w:w="576"/>
          </w:tcPr>
          <w:p>
            <w:r/>
            <w:r>
              <w:rPr>
                <w:sz w:val="17"/>
              </w:rPr>
              <w:t>H-4</w:t>
            </w:r>
          </w:p>
        </w:tc>
        <w:tc>
          <w:tcPr>
            <w:tcW w:type="dxa" w:w="936"/>
            <w:shd w:val="clear" w:color="auto" w:fill="F4CCCC"/>
          </w:tcPr>
          <w:p>
            <w:r/>
            <w:r>
              <w:rPr>
                <w:b/>
                <w:sz w:val="17"/>
              </w:rPr>
              <w:t>HIGH</w:t>
            </w:r>
          </w:p>
        </w:tc>
        <w:tc>
          <w:tcPr>
            <w:tcW w:type="dxa" w:w="1728"/>
          </w:tcPr>
          <w:p>
            <w:r/>
            <w:r>
              <w:rPr>
                <w:sz w:val="17"/>
              </w:rPr>
              <w:t>XLS Monthly Forecast columns do not add up to its own totals</w:t>
            </w:r>
          </w:p>
        </w:tc>
        <w:tc>
          <w:tcPr>
            <w:tcW w:type="dxa" w:w="1872"/>
          </w:tcPr>
          <w:p>
            <w:r/>
            <w:r>
              <w:rPr>
                <w:sz w:val="17"/>
              </w:rPr>
              <w:t>XLS Monthly Forecast tab</w:t>
            </w:r>
          </w:p>
        </w:tc>
        <w:tc>
          <w:tcPr>
            <w:tcW w:type="dxa" w:w="4752"/>
          </w:tcPr>
          <w:p>
            <w:r/>
            <w:r>
              <w:rPr>
                <w:sz w:val="17"/>
              </w:rPr>
              <w:t>Summing the monthly figures gives: WS-1 $1,750,000 (stated $1,650,000); WS-2 $460,000 ($480,000); WS-4 $300,000 ($320,000); WS-6 $770,000 ($870,000); WS-7 $490,000 ($450,000). WS-3 and WS-5 tie. The grand total ($4.25M) and each monthly total are arithmetically correct, so the TOTAL row by work stream is hard-coded or wrong. The forecast also matches neither the MP nor the XLS Fee tab. On the forecast, WS-1 and WS-7 overrun their XLS budgets and WS-7 overruns its MP budget ($490K vs $345K).</w:t>
            </w:r>
          </w:p>
        </w:tc>
        <w:tc>
          <w:tcPr>
            <w:tcW w:type="dxa" w:w="1512"/>
          </w:tcPr>
          <w:p>
            <w:r/>
            <w:r>
              <w:rPr>
                <w:sz w:val="17"/>
              </w:rPr>
              <w:t>n/a (internal error)</w:t>
            </w:r>
          </w:p>
        </w:tc>
        <w:tc>
          <w:tcPr>
            <w:tcW w:type="dxa" w:w="2448"/>
          </w:tcPr>
          <w:p>
            <w:r/>
            <w:r>
              <w:rPr>
                <w:sz w:val="17"/>
              </w:rPr>
              <w:t>Rebuild the forecast from the MP allocations using live formulas. Re-test when the checkpoints (Oct. 2025 and Feb. 2026) will be reached.</w:t>
            </w:r>
          </w:p>
        </w:tc>
      </w:tr>
      <w:tr>
        <w:tc>
          <w:tcPr>
            <w:tcW w:type="dxa" w:w="576"/>
          </w:tcPr>
          <w:p>
            <w:r/>
            <w:r>
              <w:rPr>
                <w:sz w:val="17"/>
              </w:rPr>
              <w:t>H-5</w:t>
            </w:r>
          </w:p>
        </w:tc>
        <w:tc>
          <w:tcPr>
            <w:tcW w:type="dxa" w:w="936"/>
            <w:shd w:val="clear" w:color="auto" w:fill="F4CCCC"/>
          </w:tcPr>
          <w:p>
            <w:r/>
            <w:r>
              <w:rPr>
                <w:b/>
                <w:sz w:val="17"/>
              </w:rPr>
              <w:t>HIGH</w:t>
            </w:r>
          </w:p>
        </w:tc>
        <w:tc>
          <w:tcPr>
            <w:tcW w:type="dxa" w:w="1728"/>
          </w:tcPr>
          <w:p>
            <w:r/>
            <w:r>
              <w:rPr>
                <w:sz w:val="17"/>
              </w:rPr>
              <w:t>Retroactive overage approval</w:t>
            </w:r>
          </w:p>
        </w:tc>
        <w:tc>
          <w:tcPr>
            <w:tcW w:type="dxa" w:w="1872"/>
          </w:tcPr>
          <w:p>
            <w:r/>
            <w:r>
              <w:rPr>
                <w:sz w:val="17"/>
              </w:rPr>
              <w:t>EL §3.3; MP §7.3; OCG §4.3; XLS notes</w:t>
            </w:r>
          </w:p>
        </w:tc>
        <w:tc>
          <w:tcPr>
            <w:tcW w:type="dxa" w:w="4752"/>
          </w:tcPr>
          <w:p>
            <w:r/>
            <w:r>
              <w:rPr>
                <w:sz w:val="17"/>
              </w:rPr>
              <w:t>EL: DGC may approve overages up to 10% retroactively within 15 business days of invoice submission; any unapproved excess becomes a credit. MP: the overage must be reported within 5 business days of month-end. OCG: all overages need advance approval, there is no de minimis exception, and unapproved excess is not payable (not merely credited).</w:t>
            </w:r>
          </w:p>
        </w:tc>
        <w:tc>
          <w:tcPr>
            <w:tcW w:type="dxa" w:w="1512"/>
          </w:tcPr>
          <w:p>
            <w:r/>
            <w:r>
              <w:rPr>
                <w:sz w:val="17"/>
              </w:rPr>
              <w:t>Depends on H-1</w:t>
            </w:r>
          </w:p>
        </w:tc>
        <w:tc>
          <w:tcPr>
            <w:tcW w:type="dxa" w:w="2448"/>
          </w:tcPr>
          <w:p>
            <w:r/>
            <w:r>
              <w:rPr>
                <w:sz w:val="17"/>
              </w:rPr>
              <w:t>Until H-1 is resolved, get pre-approval for every overage. Align the MP window with the EL (or the reverse) and record an express override of OCG §4.3 if retroactive approval is to survive.</w:t>
            </w:r>
          </w:p>
        </w:tc>
      </w:tr>
      <w:tr>
        <w:tc>
          <w:tcPr>
            <w:tcW w:type="dxa" w:w="576"/>
          </w:tcPr>
          <w:p>
            <w:r/>
            <w:r>
              <w:rPr>
                <w:sz w:val="17"/>
              </w:rPr>
              <w:t>H-6</w:t>
            </w:r>
          </w:p>
        </w:tc>
        <w:tc>
          <w:tcPr>
            <w:tcW w:type="dxa" w:w="936"/>
            <w:shd w:val="clear" w:color="auto" w:fill="F4CCCC"/>
          </w:tcPr>
          <w:p>
            <w:r/>
            <w:r>
              <w:rPr>
                <w:b/>
                <w:sz w:val="17"/>
              </w:rPr>
              <w:t>HIGH</w:t>
            </w:r>
          </w:p>
        </w:tc>
        <w:tc>
          <w:tcPr>
            <w:tcW w:type="dxa" w:w="1728"/>
          </w:tcPr>
          <w:p>
            <w:r/>
            <w:r>
              <w:rPr>
                <w:sz w:val="17"/>
              </w:rPr>
              <w:t>EX-6 / WS-1 gap on non-HX-9000 claims (known open item)</w:t>
            </w:r>
          </w:p>
        </w:tc>
        <w:tc>
          <w:tcPr>
            <w:tcW w:type="dxa" w:w="1872"/>
          </w:tcPr>
          <w:p>
            <w:r/>
            <w:r>
              <w:rPr>
                <w:sz w:val="17"/>
              </w:rPr>
              <w:t>EL §2 EX-6; MP §§3.1, 4.6; EML Jan. 16–31</w:t>
            </w:r>
          </w:p>
        </w:tc>
        <w:tc>
          <w:tcPr>
            <w:tcW w:type="dxa" w:w="4752"/>
          </w:tcPr>
          <w:p>
            <w:r/>
            <w:r>
              <w:rPr>
                <w:sz w:val="17"/>
              </w:rPr>
              <w:t>The EL carve-back covers claims consolidated into the MDL "or [that] otherwise become part of the proceedings covered by this letter", which is broader than the MP and the emails. The MP says the carve-back authorizes no work until a scope amendment is signed, and WS-1 covers only the MDL "as currently constituted". Giles deferred the mechanism and Layton accepted "real-time" amendment. There is no protocol, no budget and no timeline. Because the EL controls, it arguably authorizes work that the MP forbids.</w:t>
            </w:r>
          </w:p>
        </w:tc>
        <w:tc>
          <w:tcPr>
            <w:tcW w:type="dxa" w:w="1512"/>
          </w:tcPr>
          <w:p>
            <w:r/>
            <w:r>
              <w:rPr>
                <w:sz w:val="17"/>
              </w:rPr>
              <w:t>EL for scope; MP for operation</w:t>
            </w:r>
          </w:p>
        </w:tc>
        <w:tc>
          <w:tcPr>
            <w:tcW w:type="dxa" w:w="2448"/>
          </w:tcPr>
          <w:p>
            <w:r/>
            <w:r>
              <w:rPr>
                <w:sz w:val="17"/>
              </w:rPr>
              <w:t>Agree an expedited protocol for consolidated claims now: notice, an interim spending allowance, and a GC decision deadline, together with a budget reserve.</w:t>
            </w:r>
          </w:p>
        </w:tc>
      </w:tr>
      <w:tr>
        <w:tc>
          <w:tcPr>
            <w:tcW w:type="dxa" w:w="576"/>
          </w:tcPr>
          <w:p>
            <w:r/>
            <w:r>
              <w:rPr>
                <w:sz w:val="17"/>
              </w:rPr>
              <w:t>H-7</w:t>
            </w:r>
          </w:p>
        </w:tc>
        <w:tc>
          <w:tcPr>
            <w:tcW w:type="dxa" w:w="936"/>
            <w:shd w:val="clear" w:color="auto" w:fill="F4CCCC"/>
          </w:tcPr>
          <w:p>
            <w:r/>
            <w:r>
              <w:rPr>
                <w:b/>
                <w:sz w:val="17"/>
              </w:rPr>
              <w:t>HIGH</w:t>
            </w:r>
          </w:p>
        </w:tc>
        <w:tc>
          <w:tcPr>
            <w:tcW w:type="dxa" w:w="1728"/>
          </w:tcPr>
          <w:p>
            <w:r/>
            <w:r>
              <w:rPr>
                <w:sz w:val="17"/>
              </w:rPr>
              <w:t>$20,000 gap in expert / disbursement budget</w:t>
            </w:r>
          </w:p>
        </w:tc>
        <w:tc>
          <w:tcPr>
            <w:tcW w:type="dxa" w:w="1872"/>
          </w:tcPr>
          <w:p>
            <w:r/>
            <w:r>
              <w:rPr>
                <w:sz w:val="17"/>
              </w:rPr>
              <w:t>EL §4.1 and Ex. B; MP §3.3 vs §7.2; XLS Disbursement tab; EML</w:t>
            </w:r>
          </w:p>
        </w:tc>
        <w:tc>
          <w:tcPr>
            <w:tcW w:type="dxa" w:w="4752"/>
          </w:tcPr>
          <w:p>
            <w:r/>
            <w:r>
              <w:rPr>
                <w:sz w:val="17"/>
              </w:rPr>
              <w:t>Rebuttal reserve: $230,000 (MP §3.3) vs $210,000 (XLS). Expert line: $780,000 (EL, MP §3.3, EML) vs $760,000 (MP §7.2, XLS). Disbursement total: $1,350,000 vs $1,330,000. The XLS flags the mismatch itself but does not fix it. EL §12(b) requires GC approval for any change to the disbursement budget.</w:t>
            </w:r>
          </w:p>
        </w:tc>
        <w:tc>
          <w:tcPr>
            <w:tcW w:type="dxa" w:w="1512"/>
          </w:tcPr>
          <w:p>
            <w:r/>
            <w:r>
              <w:rPr>
                <w:sz w:val="17"/>
              </w:rPr>
              <w:t>EL ($780K / $1.35M)</w:t>
            </w:r>
          </w:p>
        </w:tc>
        <w:tc>
          <w:tcPr>
            <w:tcW w:type="dxa" w:w="2448"/>
          </w:tcPr>
          <w:p>
            <w:r/>
            <w:r>
              <w:rPr>
                <w:sz w:val="17"/>
              </w:rPr>
              <w:t>Correct MP §7.2 and the XLS to $780,000 / $1,350,000 with a $230,000 rebuttal reserve.</w:t>
            </w:r>
          </w:p>
        </w:tc>
      </w:tr>
      <w:tr>
        <w:tc>
          <w:tcPr>
            <w:tcW w:type="dxa" w:w="576"/>
          </w:tcPr>
          <w:p>
            <w:r/>
            <w:r>
              <w:rPr>
                <w:sz w:val="17"/>
              </w:rPr>
              <w:t>H-8</w:t>
            </w:r>
          </w:p>
        </w:tc>
        <w:tc>
          <w:tcPr>
            <w:tcW w:type="dxa" w:w="936"/>
            <w:shd w:val="clear" w:color="auto" w:fill="F4CCCC"/>
          </w:tcPr>
          <w:p>
            <w:r/>
            <w:r>
              <w:rPr>
                <w:b/>
                <w:sz w:val="17"/>
              </w:rPr>
              <w:t>HIGH</w:t>
            </w:r>
          </w:p>
        </w:tc>
        <w:tc>
          <w:tcPr>
            <w:tcW w:type="dxa" w:w="1728"/>
          </w:tcPr>
          <w:p>
            <w:r/>
            <w:r>
              <w:rPr>
                <w:sz w:val="17"/>
              </w:rPr>
              <w:t>Contract reviewer cost has no budget home and is classified differently in each document</w:t>
            </w:r>
          </w:p>
        </w:tc>
        <w:tc>
          <w:tcPr>
            <w:tcW w:type="dxa" w:w="1872"/>
          </w:tcPr>
          <w:p>
            <w:r/>
            <w:r>
              <w:rPr>
                <w:sz w:val="17"/>
              </w:rPr>
              <w:t>EL §3.2 and Ex. A note; MP §§3.6, 5.5, 7.2; XLS WS-6; OCG §3.1</w:t>
            </w:r>
          </w:p>
        </w:tc>
        <w:tc>
          <w:tcPr>
            <w:tcW w:type="dxa" w:w="4752"/>
          </w:tcPr>
          <w:p>
            <w:r/>
            <w:r>
              <w:rPr>
                <w:sz w:val="17"/>
              </w:rPr>
              <w:t>EL: a separate line item outside the blended rates (whether it is a fee or a disbursement is not stated). MP: a disbursement, but not line-itemed, and the $1.35M disbursement budget is fully allocated to other categories. XLS: inside the WS-6 fee budget, which may explain the $870K. So it is unclear whether reviewer spend counts toward the AFB, the monthly cap and the checkpoints. OCG §3.1 also requires each reviewer to be approved individually by name.</w:t>
            </w:r>
          </w:p>
        </w:tc>
        <w:tc>
          <w:tcPr>
            <w:tcW w:type="dxa" w:w="1512"/>
          </w:tcPr>
          <w:p>
            <w:r/>
            <w:r>
              <w:rPr>
                <w:sz w:val="17"/>
              </w:rPr>
              <w:t>EL on rate; classification unresolved</w:t>
            </w:r>
          </w:p>
        </w:tc>
        <w:tc>
          <w:tcPr>
            <w:tcW w:type="dxa" w:w="2448"/>
          </w:tcPr>
          <w:p>
            <w:r/>
            <w:r>
              <w:rPr>
                <w:sz w:val="17"/>
              </w:rPr>
              <w:t>Decide whether reviewer spend is a fee (counting toward the AFB and cap) or a disbursement, add an explicit budget line, and adopt a naming and approval procedure for reviewers.</w:t>
            </w:r>
          </w:p>
        </w:tc>
      </w:tr>
      <w:tr>
        <w:tc>
          <w:tcPr>
            <w:tcW w:type="dxa" w:w="576"/>
          </w:tcPr>
          <w:p>
            <w:r/>
            <w:r>
              <w:rPr>
                <w:sz w:val="17"/>
              </w:rPr>
              <w:t>H-9</w:t>
            </w:r>
          </w:p>
        </w:tc>
        <w:tc>
          <w:tcPr>
            <w:tcW w:type="dxa" w:w="936"/>
            <w:shd w:val="clear" w:color="auto" w:fill="F4CCCC"/>
          </w:tcPr>
          <w:p>
            <w:r/>
            <w:r>
              <w:rPr>
                <w:b/>
                <w:sz w:val="17"/>
              </w:rPr>
              <w:t>HIGH</w:t>
            </w:r>
          </w:p>
        </w:tc>
        <w:tc>
          <w:tcPr>
            <w:tcW w:type="dxa" w:w="1728"/>
          </w:tcPr>
          <w:p>
            <w:r/>
            <w:r>
              <w:rPr>
                <w:sz w:val="17"/>
              </w:rPr>
              <w:t>"Aggregate payments" undefined (success fee)</w:t>
            </w:r>
          </w:p>
        </w:tc>
        <w:tc>
          <w:tcPr>
            <w:tcW w:type="dxa" w:w="1872"/>
          </w:tcPr>
          <w:p>
            <w:r/>
            <w:r>
              <w:rPr>
                <w:sz w:val="17"/>
              </w:rPr>
              <w:t>EL §3.5; MP §7.5; EML Jan. 15–31</w:t>
            </w:r>
          </w:p>
        </w:tc>
        <w:tc>
          <w:tcPr>
            <w:tcW w:type="dxa" w:w="4752"/>
          </w:tcPr>
          <w:p>
            <w:r/>
            <w:r>
              <w:rPr>
                <w:sz w:val="17"/>
              </w:rPr>
              <w:t>The emails document a live disagreement. Voss and Layton proposed indemnity only, excluding defense costs, ALAE and carrier defense reimbursements. Giles wanted total enterprise cost, including carrier payments. The promised alternative definitions were never sent. Layton confirms the EL went out with the term undefined and asked that it be raised again during Matter Plan drafting. The MP did not address it. Also undecided: whether payments by Fortitude or Ridgeline count, and how the Target Resolution Amount (which covers "all claims") interacts with future consolidated claims (H-6).</w:t>
            </w:r>
          </w:p>
        </w:tc>
        <w:tc>
          <w:tcPr>
            <w:tcW w:type="dxa" w:w="1512"/>
          </w:tcPr>
          <w:p>
            <w:r/>
            <w:r>
              <w:rPr>
                <w:sz w:val="17"/>
              </w:rPr>
              <w:t>EL (term is ambiguous)</w:t>
            </w:r>
          </w:p>
        </w:tc>
        <w:tc>
          <w:tcPr>
            <w:tcW w:type="dxa" w:w="2448"/>
          </w:tcPr>
          <w:p>
            <w:r/>
            <w:r>
              <w:rPr>
                <w:sz w:val="17"/>
              </w:rPr>
              <w:t>Negotiate and sign a definitional amendment covering indemnity, carrier-funded payments, defense costs and ALAE, and the treatment of later-added claims.</w:t>
            </w:r>
          </w:p>
        </w:tc>
      </w:tr>
      <w:tr>
        <w:tc>
          <w:tcPr>
            <w:tcW w:type="dxa" w:w="576"/>
          </w:tcPr>
          <w:p>
            <w:r/>
            <w:r>
              <w:rPr>
                <w:sz w:val="17"/>
              </w:rPr>
              <w:t>H-10</w:t>
            </w:r>
          </w:p>
        </w:tc>
        <w:tc>
          <w:tcPr>
            <w:tcW w:type="dxa" w:w="936"/>
            <w:shd w:val="clear" w:color="auto" w:fill="F4CCCC"/>
          </w:tcPr>
          <w:p>
            <w:r/>
            <w:r>
              <w:rPr>
                <w:b/>
                <w:sz w:val="17"/>
              </w:rPr>
              <w:t>HIGH</w:t>
            </w:r>
          </w:p>
        </w:tc>
        <w:tc>
          <w:tcPr>
            <w:tcW w:type="dxa" w:w="1728"/>
          </w:tcPr>
          <w:p>
            <w:r/>
            <w:r>
              <w:rPr>
                <w:sz w:val="17"/>
              </w:rPr>
              <w:t>Direct communication with carriers</w:t>
            </w:r>
          </w:p>
        </w:tc>
        <w:tc>
          <w:tcPr>
            <w:tcW w:type="dxa" w:w="1872"/>
          </w:tcPr>
          <w:p>
            <w:r/>
            <w:r>
              <w:rPr>
                <w:sz w:val="17"/>
              </w:rPr>
              <w:t>EL §8; MP §3.5 (WS-5 description and item (b))</w:t>
            </w:r>
          </w:p>
        </w:tc>
        <w:tc>
          <w:tcPr>
            <w:tcW w:type="dxa" w:w="4752"/>
          </w:tcPr>
          <w:p>
            <w:r/>
            <w:r>
              <w:rPr>
                <w:sz w:val="17"/>
              </w:rPr>
              <w:t>The MP authorizes "direct communication" with Fortitude and Ridgeline "on all matters", including coverage positions. EL §8 bars the firm from communicating with the carriers about coverage positions, disputes or allocation without first coordinating with and getting approval from the DGC.</w:t>
            </w:r>
          </w:p>
        </w:tc>
        <w:tc>
          <w:tcPr>
            <w:tcW w:type="dxa" w:w="1512"/>
          </w:tcPr>
          <w:p>
            <w:r/>
            <w:r>
              <w:rPr>
                <w:sz w:val="17"/>
              </w:rPr>
              <w:t>EL</w:t>
            </w:r>
          </w:p>
        </w:tc>
        <w:tc>
          <w:tcPr>
            <w:tcW w:type="dxa" w:w="2448"/>
          </w:tcPr>
          <w:p>
            <w:r/>
            <w:r>
              <w:rPr>
                <w:sz w:val="17"/>
              </w:rPr>
              <w:t>Revise the WS-5 description so that every communication with a carrier about coverage goes through the DGC first.</w:t>
            </w:r>
          </w:p>
        </w:tc>
      </w:tr>
      <w:tr>
        <w:tc>
          <w:tcPr>
            <w:tcW w:type="dxa" w:w="576"/>
          </w:tcPr>
          <w:p>
            <w:r/>
            <w:r>
              <w:rPr>
                <w:sz w:val="17"/>
              </w:rPr>
              <w:t>H-11</w:t>
            </w:r>
          </w:p>
        </w:tc>
        <w:tc>
          <w:tcPr>
            <w:tcW w:type="dxa" w:w="936"/>
            <w:shd w:val="clear" w:color="auto" w:fill="F4CCCC"/>
          </w:tcPr>
          <w:p>
            <w:r/>
            <w:r>
              <w:rPr>
                <w:b/>
                <w:sz w:val="17"/>
              </w:rPr>
              <w:t>HIGH</w:t>
            </w:r>
          </w:p>
        </w:tc>
        <w:tc>
          <w:tcPr>
            <w:tcW w:type="dxa" w:w="1728"/>
          </w:tcPr>
          <w:p>
            <w:r/>
            <w:r>
              <w:rPr>
                <w:sz w:val="17"/>
              </w:rPr>
              <w:t>WS-4 activities conflict with "coordinating counsel only" and EX-4</w:t>
            </w:r>
          </w:p>
        </w:tc>
        <w:tc>
          <w:tcPr>
            <w:tcW w:type="dxa" w:w="1872"/>
          </w:tcPr>
          <w:p>
            <w:r/>
            <w:r>
              <w:rPr>
                <w:sz w:val="17"/>
              </w:rPr>
              <w:t>R1 §2.1(b), (d) vs §2.1 role clarification, exclusion (iii), §5; MP §3.4</w:t>
            </w:r>
          </w:p>
        </w:tc>
        <w:tc>
          <w:tcPr>
            <w:tcW w:type="dxa" w:w="4752"/>
          </w:tcPr>
          <w:p>
            <w:r/>
            <w:r>
              <w:rPr>
                <w:sz w:val="17"/>
              </w:rPr>
              <w:t>R1 puts "preparation, review, and submission of VCAP materials to the CPSC" and attendance at CPSC meetings in scope. It also says the firm is coordinating counsel only, that all substantive work is Meridian's, and that firm personnel may not communicate with CPSC staff. A voluntary corrective action plan is closely tied to recall decisions, which EX-4 excludes.</w:t>
            </w:r>
          </w:p>
        </w:tc>
        <w:tc>
          <w:tcPr>
            <w:tcW w:type="dxa" w:w="1512"/>
          </w:tcPr>
          <w:p>
            <w:r/>
            <w:r>
              <w:rPr>
                <w:sz w:val="17"/>
              </w:rPr>
              <w:t>R1 for WS-4, within the EL limits</w:t>
            </w:r>
          </w:p>
        </w:tc>
        <w:tc>
          <w:tcPr>
            <w:tcW w:type="dxa" w:w="2448"/>
          </w:tcPr>
          <w:p>
            <w:r/>
            <w:r>
              <w:rPr>
                <w:sz w:val="17"/>
              </w:rPr>
              <w:t>Restate items (b) and (d) as "support to Meridian". Confirm that VCAP input does not amount to recall advice under EX-4.</w:t>
            </w:r>
          </w:p>
        </w:tc>
      </w:tr>
      <w:tr>
        <w:tc>
          <w:tcPr>
            <w:tcW w:type="dxa" w:w="576"/>
          </w:tcPr>
          <w:p>
            <w:r/>
            <w:r>
              <w:rPr>
                <w:sz w:val="17"/>
              </w:rPr>
              <w:t>H-12</w:t>
            </w:r>
          </w:p>
        </w:tc>
        <w:tc>
          <w:tcPr>
            <w:tcW w:type="dxa" w:w="936"/>
            <w:shd w:val="clear" w:color="auto" w:fill="F4CCCC"/>
          </w:tcPr>
          <w:p>
            <w:r/>
            <w:r>
              <w:rPr>
                <w:b/>
                <w:sz w:val="17"/>
              </w:rPr>
              <w:t>HIGH</w:t>
            </w:r>
          </w:p>
        </w:tc>
        <w:tc>
          <w:tcPr>
            <w:tcW w:type="dxa" w:w="1728"/>
          </w:tcPr>
          <w:p>
            <w:r/>
            <w:r>
              <w:rPr>
                <w:sz w:val="17"/>
              </w:rPr>
              <w:t>Document integrity: the "February 10" MP contains March 28 content</w:t>
            </w:r>
          </w:p>
        </w:tc>
        <w:tc>
          <w:tcPr>
            <w:tcW w:type="dxa" w:w="1872"/>
          </w:tcPr>
          <w:p>
            <w:r/>
            <w:r>
              <w:rPr>
                <w:sz w:val="17"/>
              </w:rPr>
              <w:t>MP cover, revision history, §§1, 2.2, 3.4, 5.6, 7.1, App. A</w:t>
            </w:r>
          </w:p>
        </w:tc>
        <w:tc>
          <w:tcPr>
            <w:tcW w:type="dxa" w:w="4752"/>
          </w:tcPr>
          <w:p>
            <w:r/>
            <w:r>
              <w:rPr>
                <w:sz w:val="17"/>
              </w:rPr>
              <w:t>The MP dated Feb. 10, 2025 refers to the CPSC investigation (Mar. 14, 2025), R1 (Mar. 28), WS-4 and a contingency that was already reduced. It also says "seven (7)" work streams while listing six. The executed original, and the original contingency (implied to be $680,000), cannot be verified. Signature blocks in the EL, MP and R1 copies are blank.</w:t>
            </w:r>
          </w:p>
        </w:tc>
        <w:tc>
          <w:tcPr>
            <w:tcW w:type="dxa" w:w="1512"/>
          </w:tcPr>
          <w:p>
            <w:r/>
            <w:r>
              <w:rPr>
                <w:sz w:val="17"/>
              </w:rPr>
              <w:t>n/a</w:t>
            </w:r>
          </w:p>
        </w:tc>
        <w:tc>
          <w:tcPr>
            <w:tcW w:type="dxa" w:w="2448"/>
          </w:tcPr>
          <w:p>
            <w:r/>
            <w:r>
              <w:rPr>
                <w:sz w:val="17"/>
              </w:rPr>
              <w:t>Obtain the fully executed originals of the EL, the Feb. 10 MP and R1. Keep a clean version history.</w:t>
            </w:r>
          </w:p>
        </w:tc>
      </w:tr>
      <w:tr>
        <w:tc>
          <w:tcPr>
            <w:tcW w:type="dxa" w:w="576"/>
          </w:tcPr>
          <w:p>
            <w:r/>
            <w:r>
              <w:rPr>
                <w:sz w:val="17"/>
              </w:rPr>
              <w:t>M-1</w:t>
            </w:r>
          </w:p>
        </w:tc>
        <w:tc>
          <w:tcPr>
            <w:tcW w:type="dxa" w:w="936"/>
            <w:shd w:val="clear" w:color="auto" w:fill="FFF2CC"/>
          </w:tcPr>
          <w:p>
            <w:r/>
            <w:r>
              <w:rPr>
                <w:b/>
                <w:sz w:val="17"/>
              </w:rPr>
              <w:t>MEDIUM</w:t>
            </w:r>
          </w:p>
        </w:tc>
        <w:tc>
          <w:tcPr>
            <w:tcW w:type="dxa" w:w="1728"/>
          </w:tcPr>
          <w:p>
            <w:r/>
            <w:r>
              <w:rPr>
                <w:sz w:val="17"/>
              </w:rPr>
              <w:t>R1 builds on unconfirmed allocations</w:t>
            </w:r>
          </w:p>
        </w:tc>
        <w:tc>
          <w:tcPr>
            <w:tcW w:type="dxa" w:w="1872"/>
          </w:tcPr>
          <w:p>
            <w:r/>
            <w:r>
              <w:rPr>
                <w:sz w:val="17"/>
              </w:rPr>
              <w:t>R1 §2.2</w:t>
            </w:r>
          </w:p>
        </w:tc>
        <w:tc>
          <w:tcPr>
            <w:tcW w:type="dxa" w:w="4752"/>
          </w:tcPr>
          <w:p>
            <w:r/>
            <w:r>
              <w:rPr>
                <w:sz w:val="17"/>
              </w:rPr>
              <w:t>R1 draws $320K "from within" the AFB. The only apparent source is the contingency, but no document records the original contingency or the draw, and MP §7.1 requires DGC approval for contingency draws.</w:t>
            </w:r>
          </w:p>
        </w:tc>
        <w:tc>
          <w:tcPr>
            <w:tcW w:type="dxa" w:w="1512"/>
          </w:tcPr>
          <w:p>
            <w:r/>
            <w:r>
              <w:rPr>
                <w:sz w:val="17"/>
              </w:rPr>
              <w:t>MP</w:t>
            </w:r>
          </w:p>
        </w:tc>
        <w:tc>
          <w:tcPr>
            <w:tcW w:type="dxa" w:w="2448"/>
          </w:tcPr>
          <w:p>
            <w:r/>
            <w:r>
              <w:rPr>
                <w:sz w:val="17"/>
              </w:rPr>
              <w:t>Document the contingency draw.</w:t>
            </w:r>
          </w:p>
        </w:tc>
      </w:tr>
      <w:tr>
        <w:tc>
          <w:tcPr>
            <w:tcW w:type="dxa" w:w="576"/>
          </w:tcPr>
          <w:p>
            <w:r/>
            <w:r>
              <w:rPr>
                <w:sz w:val="17"/>
              </w:rPr>
              <w:t>M-2</w:t>
            </w:r>
          </w:p>
        </w:tc>
        <w:tc>
          <w:tcPr>
            <w:tcW w:type="dxa" w:w="936"/>
            <w:shd w:val="clear" w:color="auto" w:fill="FFF2CC"/>
          </w:tcPr>
          <w:p>
            <w:r/>
            <w:r>
              <w:rPr>
                <w:b/>
                <w:sz w:val="17"/>
              </w:rPr>
              <w:t>MEDIUM</w:t>
            </w:r>
          </w:p>
        </w:tc>
        <w:tc>
          <w:tcPr>
            <w:tcW w:type="dxa" w:w="1728"/>
          </w:tcPr>
          <w:p>
            <w:r/>
            <w:r>
              <w:rPr>
                <w:sz w:val="17"/>
              </w:rPr>
              <w:t>WS-2 deduplication vs XLS allocation</w:t>
            </w:r>
          </w:p>
        </w:tc>
        <w:tc>
          <w:tcPr>
            <w:tcW w:type="dxa" w:w="1872"/>
          </w:tcPr>
          <w:p>
            <w:r/>
            <w:r>
              <w:rPr>
                <w:sz w:val="17"/>
              </w:rPr>
              <w:t>MP §3.2; XLS</w:t>
            </w:r>
          </w:p>
        </w:tc>
        <w:tc>
          <w:tcPr>
            <w:tcW w:type="dxa" w:w="4752"/>
          </w:tcPr>
          <w:p>
            <w:r/>
            <w:r>
              <w:rPr>
                <w:sz w:val="17"/>
              </w:rPr>
              <w:t>The MP bills overlapping state/MDL work to WS-1, which supports a smaller WS-2. The XLS raises WS-2 and cuts WS-1 without explanation.</w:t>
            </w:r>
          </w:p>
        </w:tc>
        <w:tc>
          <w:tcPr>
            <w:tcW w:type="dxa" w:w="1512"/>
          </w:tcPr>
          <w:p>
            <w:r/>
            <w:r>
              <w:rPr>
                <w:sz w:val="17"/>
              </w:rPr>
              <w:t>MP</w:t>
            </w:r>
          </w:p>
        </w:tc>
        <w:tc>
          <w:tcPr>
            <w:tcW w:type="dxa" w:w="2448"/>
          </w:tcPr>
          <w:p>
            <w:r/>
            <w:r>
              <w:rPr>
                <w:sz w:val="17"/>
              </w:rPr>
              <w:t>Reconcile as part of H-3.</w:t>
            </w:r>
          </w:p>
        </w:tc>
      </w:tr>
      <w:tr>
        <w:tc>
          <w:tcPr>
            <w:tcW w:type="dxa" w:w="576"/>
          </w:tcPr>
          <w:p>
            <w:r/>
            <w:r>
              <w:rPr>
                <w:sz w:val="17"/>
              </w:rPr>
              <w:t>M-3</w:t>
            </w:r>
          </w:p>
        </w:tc>
        <w:tc>
          <w:tcPr>
            <w:tcW w:type="dxa" w:w="936"/>
            <w:shd w:val="clear" w:color="auto" w:fill="FFF2CC"/>
          </w:tcPr>
          <w:p>
            <w:r/>
            <w:r>
              <w:rPr>
                <w:b/>
                <w:sz w:val="17"/>
              </w:rPr>
              <w:t>MEDIUM</w:t>
            </w:r>
          </w:p>
        </w:tc>
        <w:tc>
          <w:tcPr>
            <w:tcW w:type="dxa" w:w="1728"/>
          </w:tcPr>
          <w:p>
            <w:r/>
            <w:r>
              <w:rPr>
                <w:sz w:val="17"/>
              </w:rPr>
              <w:t>Staffing detail below OCG minimums</w:t>
            </w:r>
          </w:p>
        </w:tc>
        <w:tc>
          <w:tcPr>
            <w:tcW w:type="dxa" w:w="1872"/>
          </w:tcPr>
          <w:p>
            <w:r/>
            <w:r>
              <w:rPr>
                <w:sz w:val="17"/>
              </w:rPr>
              <w:t>EL §5.1 and Ex. A; OCG §§2.1(b), (d), 3.1, 3.2, 6.1</w:t>
            </w:r>
          </w:p>
        </w:tc>
        <w:tc>
          <w:tcPr>
            <w:tcW w:type="dxa" w:w="4752"/>
          </w:tcPr>
          <w:p>
            <w:r/>
            <w:r>
              <w:rPr>
                <w:sz w:val="17"/>
              </w:rPr>
              <w:t>The OCGs require each timekeeper to be listed by name, classification, year of experience, bar admission, office and rate. The EL lists rates by category only, and junior associates and the second paralegal are unnamed.</w:t>
            </w:r>
          </w:p>
        </w:tc>
        <w:tc>
          <w:tcPr>
            <w:tcW w:type="dxa" w:w="1512"/>
          </w:tcPr>
          <w:p>
            <w:r/>
            <w:r>
              <w:rPr>
                <w:sz w:val="17"/>
              </w:rPr>
              <w:t>Depends on H-1</w:t>
            </w:r>
          </w:p>
        </w:tc>
        <w:tc>
          <w:tcPr>
            <w:tcW w:type="dxa" w:w="2448"/>
          </w:tcPr>
          <w:p>
            <w:r/>
            <w:r>
              <w:rPr>
                <w:sz w:val="17"/>
              </w:rPr>
              <w:t>Issue a named timekeeper schedule for DGC approval.</w:t>
            </w:r>
          </w:p>
        </w:tc>
      </w:tr>
      <w:tr>
        <w:tc>
          <w:tcPr>
            <w:tcW w:type="dxa" w:w="576"/>
          </w:tcPr>
          <w:p>
            <w:r/>
            <w:r>
              <w:rPr>
                <w:sz w:val="17"/>
              </w:rPr>
              <w:t>M-4</w:t>
            </w:r>
          </w:p>
        </w:tc>
        <w:tc>
          <w:tcPr>
            <w:tcW w:type="dxa" w:w="936"/>
            <w:shd w:val="clear" w:color="auto" w:fill="FFF2CC"/>
          </w:tcPr>
          <w:p>
            <w:r/>
            <w:r>
              <w:rPr>
                <w:b/>
                <w:sz w:val="17"/>
              </w:rPr>
              <w:t>MEDIUM</w:t>
            </w:r>
          </w:p>
        </w:tc>
        <w:tc>
          <w:tcPr>
            <w:tcW w:type="dxa" w:w="1728"/>
          </w:tcPr>
          <w:p>
            <w:r/>
            <w:r>
              <w:rPr>
                <w:sz w:val="17"/>
              </w:rPr>
              <w:t>Unnamed contract reviewers and associates vs OCG categorical approval rule</w:t>
            </w:r>
          </w:p>
        </w:tc>
        <w:tc>
          <w:tcPr>
            <w:tcW w:type="dxa" w:w="1872"/>
          </w:tcPr>
          <w:p>
            <w:r/>
            <w:r>
              <w:rPr>
                <w:sz w:val="17"/>
              </w:rPr>
              <w:t>EL §§3.2, 5.1; OCG §3.1</w:t>
            </w:r>
          </w:p>
        </w:tc>
        <w:tc>
          <w:tcPr>
            <w:tcW w:type="dxa" w:w="4752"/>
          </w:tcPr>
          <w:p>
            <w:r/>
            <w:r>
              <w:rPr>
                <w:sz w:val="17"/>
              </w:rPr>
              <w:t>OCG §3.1 is "categorical", expressly covers document reviewers, and requires DGC approval before an invoice is submitted. The EL approves only headcount per review wave.</w:t>
            </w:r>
          </w:p>
        </w:tc>
        <w:tc>
          <w:tcPr>
            <w:tcW w:type="dxa" w:w="1512"/>
          </w:tcPr>
          <w:p>
            <w:r/>
            <w:r>
              <w:rPr>
                <w:sz w:val="17"/>
              </w:rPr>
              <w:t>Depends on H-1</w:t>
            </w:r>
          </w:p>
        </w:tc>
        <w:tc>
          <w:tcPr>
            <w:tcW w:type="dxa" w:w="2448"/>
          </w:tcPr>
          <w:p>
            <w:r/>
            <w:r>
              <w:rPr>
                <w:sz w:val="17"/>
              </w:rPr>
              <w:t>Approve reviewers by name for each wave.</w:t>
            </w:r>
          </w:p>
        </w:tc>
      </w:tr>
      <w:tr>
        <w:tc>
          <w:tcPr>
            <w:tcW w:type="dxa" w:w="576"/>
          </w:tcPr>
          <w:p>
            <w:r/>
            <w:r>
              <w:rPr>
                <w:sz w:val="17"/>
              </w:rPr>
              <w:t>M-5</w:t>
            </w:r>
          </w:p>
        </w:tc>
        <w:tc>
          <w:tcPr>
            <w:tcW w:type="dxa" w:w="936"/>
            <w:shd w:val="clear" w:color="auto" w:fill="FFF2CC"/>
          </w:tcPr>
          <w:p>
            <w:r/>
            <w:r>
              <w:rPr>
                <w:b/>
                <w:sz w:val="17"/>
              </w:rPr>
              <w:t>MEDIUM</w:t>
            </w:r>
          </w:p>
        </w:tc>
        <w:tc>
          <w:tcPr>
            <w:tcW w:type="dxa" w:w="1728"/>
          </w:tcPr>
          <w:p>
            <w:r/>
            <w:r>
              <w:rPr>
                <w:sz w:val="17"/>
              </w:rPr>
              <w:t>Staffing-change approvals conflict</w:t>
            </w:r>
          </w:p>
        </w:tc>
        <w:tc>
          <w:tcPr>
            <w:tcW w:type="dxa" w:w="1872"/>
          </w:tcPr>
          <w:p>
            <w:r/>
            <w:r>
              <w:rPr>
                <w:sz w:val="17"/>
              </w:rPr>
              <w:t>EL §5.2; MP §§5.7(c)–(d), 8.6; OCG §6.1</w:t>
            </w:r>
          </w:p>
        </w:tc>
        <w:tc>
          <w:tcPr>
            <w:tcW w:type="dxa" w:w="4752"/>
          </w:tcPr>
          <w:p>
            <w:r/>
            <w:r>
              <w:rPr>
                <w:sz w:val="17"/>
              </w:rPr>
              <w:t>EL: associate and paralegal changes must be notified to the DGC. MP: junior associate rotation needs no client notice, and senior associate / Of Counsel substitutions are reported only in the next monthly report. OCG: substitutions of senior team members need written approval, and new timekeepers need approval before invoicing.</w:t>
            </w:r>
          </w:p>
        </w:tc>
        <w:tc>
          <w:tcPr>
            <w:tcW w:type="dxa" w:w="1512"/>
          </w:tcPr>
          <w:p>
            <w:r/>
            <w:r>
              <w:rPr>
                <w:sz w:val="17"/>
              </w:rPr>
              <w:t>EL (at least notice to DGC); OCG may require more</w:t>
            </w:r>
          </w:p>
        </w:tc>
        <w:tc>
          <w:tcPr>
            <w:tcW w:type="dxa" w:w="2448"/>
          </w:tcPr>
          <w:p>
            <w:r/>
            <w:r>
              <w:rPr>
                <w:sz w:val="17"/>
              </w:rPr>
              <w:t>Conform MP §5.7 to require notice to the DGC for rotations and approval for substitutions.</w:t>
            </w:r>
          </w:p>
        </w:tc>
      </w:tr>
      <w:tr>
        <w:tc>
          <w:tcPr>
            <w:tcW w:type="dxa" w:w="576"/>
          </w:tcPr>
          <w:p>
            <w:r/>
            <w:r>
              <w:rPr>
                <w:sz w:val="17"/>
              </w:rPr>
              <w:t>M-6</w:t>
            </w:r>
          </w:p>
        </w:tc>
        <w:tc>
          <w:tcPr>
            <w:tcW w:type="dxa" w:w="936"/>
            <w:shd w:val="clear" w:color="auto" w:fill="FFF2CC"/>
          </w:tcPr>
          <w:p>
            <w:r/>
            <w:r>
              <w:rPr>
                <w:b/>
                <w:sz w:val="17"/>
              </w:rPr>
              <w:t>MEDIUM</w:t>
            </w:r>
          </w:p>
        </w:tc>
        <w:tc>
          <w:tcPr>
            <w:tcW w:type="dxa" w:w="1728"/>
          </w:tcPr>
          <w:p>
            <w:r/>
            <w:r>
              <w:rPr>
                <w:sz w:val="17"/>
              </w:rPr>
              <w:t>Adjusting Voss's 40% time cap</w:t>
            </w:r>
          </w:p>
        </w:tc>
        <w:tc>
          <w:tcPr>
            <w:tcW w:type="dxa" w:w="1872"/>
          </w:tcPr>
          <w:p>
            <w:r/>
            <w:r>
              <w:rPr>
                <w:sz w:val="17"/>
              </w:rPr>
              <w:t>EL §5.1; MP §5.1</w:t>
            </w:r>
          </w:p>
        </w:tc>
        <w:tc>
          <w:tcPr>
            <w:tcW w:type="dxa" w:w="4752"/>
          </w:tcPr>
          <w:p>
            <w:r/>
            <w:r>
              <w:rPr>
                <w:sz w:val="17"/>
              </w:rPr>
              <w:t>EL: the GC's prior approval is required. MP: adjustable by mutual agreement of the Billing Partner and the "Client".</w:t>
            </w:r>
          </w:p>
        </w:tc>
        <w:tc>
          <w:tcPr>
            <w:tcW w:type="dxa" w:w="1512"/>
          </w:tcPr>
          <w:p>
            <w:r/>
            <w:r>
              <w:rPr>
                <w:sz w:val="17"/>
              </w:rPr>
              <w:t>EL</w:t>
            </w:r>
          </w:p>
        </w:tc>
        <w:tc>
          <w:tcPr>
            <w:tcW w:type="dxa" w:w="2448"/>
          </w:tcPr>
          <w:p>
            <w:r/>
            <w:r>
              <w:rPr>
                <w:sz w:val="17"/>
              </w:rPr>
              <w:t>Conform the MP.</w:t>
            </w:r>
          </w:p>
        </w:tc>
      </w:tr>
      <w:tr>
        <w:tc>
          <w:tcPr>
            <w:tcW w:type="dxa" w:w="576"/>
          </w:tcPr>
          <w:p>
            <w:r/>
            <w:r>
              <w:rPr>
                <w:sz w:val="17"/>
              </w:rPr>
              <w:t>M-7</w:t>
            </w:r>
          </w:p>
        </w:tc>
        <w:tc>
          <w:tcPr>
            <w:tcW w:type="dxa" w:w="936"/>
            <w:shd w:val="clear" w:color="auto" w:fill="FFF2CC"/>
          </w:tcPr>
          <w:p>
            <w:r/>
            <w:r>
              <w:rPr>
                <w:b/>
                <w:sz w:val="17"/>
              </w:rPr>
              <w:t>MEDIUM</w:t>
            </w:r>
          </w:p>
        </w:tc>
        <w:tc>
          <w:tcPr>
            <w:tcW w:type="dxa" w:w="1728"/>
          </w:tcPr>
          <w:p>
            <w:r/>
            <w:r>
              <w:rPr>
                <w:sz w:val="17"/>
              </w:rPr>
              <w:t>Of Counsel substitution vs partner-rate billing</w:t>
            </w:r>
          </w:p>
        </w:tc>
        <w:tc>
          <w:tcPr>
            <w:tcW w:type="dxa" w:w="1872"/>
          </w:tcPr>
          <w:p>
            <w:r/>
            <w:r>
              <w:rPr>
                <w:sz w:val="17"/>
              </w:rPr>
              <w:t>MP §5.7(c); EL §5.2</w:t>
            </w:r>
          </w:p>
        </w:tc>
        <w:tc>
          <w:tcPr>
            <w:tcW w:type="dxa" w:w="4752"/>
          </w:tcPr>
          <w:p>
            <w:r/>
            <w:r>
              <w:rPr>
                <w:sz w:val="17"/>
              </w:rPr>
              <w:t>Marchetti bills at the Partner rate, but the MP treats Of Counsel substitutions as notice-only. A substitute billing at the Partner rate is arguably a "new partner" addition requiring GC consent.</w:t>
            </w:r>
          </w:p>
        </w:tc>
        <w:tc>
          <w:tcPr>
            <w:tcW w:type="dxa" w:w="1512"/>
          </w:tcPr>
          <w:p>
            <w:r/>
            <w:r>
              <w:rPr>
                <w:sz w:val="17"/>
              </w:rPr>
              <w:t>EL</w:t>
            </w:r>
          </w:p>
        </w:tc>
        <w:tc>
          <w:tcPr>
            <w:tcW w:type="dxa" w:w="2448"/>
          </w:tcPr>
          <w:p>
            <w:r/>
            <w:r>
              <w:rPr>
                <w:sz w:val="17"/>
              </w:rPr>
              <w:t>Clarify.</w:t>
            </w:r>
          </w:p>
        </w:tc>
      </w:tr>
      <w:tr>
        <w:tc>
          <w:tcPr>
            <w:tcW w:type="dxa" w:w="576"/>
          </w:tcPr>
          <w:p>
            <w:r/>
            <w:r>
              <w:rPr>
                <w:sz w:val="17"/>
              </w:rPr>
              <w:t>M-8</w:t>
            </w:r>
          </w:p>
        </w:tc>
        <w:tc>
          <w:tcPr>
            <w:tcW w:type="dxa" w:w="936"/>
            <w:shd w:val="clear" w:color="auto" w:fill="FFF2CC"/>
          </w:tcPr>
          <w:p>
            <w:r/>
            <w:r>
              <w:rPr>
                <w:b/>
                <w:sz w:val="17"/>
              </w:rPr>
              <w:t>MEDIUM</w:t>
            </w:r>
          </w:p>
        </w:tc>
        <w:tc>
          <w:tcPr>
            <w:tcW w:type="dxa" w:w="1728"/>
          </w:tcPr>
          <w:p>
            <w:r/>
            <w:r>
              <w:rPr>
                <w:sz w:val="17"/>
              </w:rPr>
              <w:t>80% monthly-cap early-warning notice omitted</w:t>
            </w:r>
          </w:p>
        </w:tc>
        <w:tc>
          <w:tcPr>
            <w:tcW w:type="dxa" w:w="1872"/>
          </w:tcPr>
          <w:p>
            <w:r/>
            <w:r>
              <w:rPr>
                <w:sz w:val="17"/>
              </w:rPr>
              <w:t>OCG §4.1; EL; MP; XLS</w:t>
            </w:r>
          </w:p>
        </w:tc>
        <w:tc>
          <w:tcPr>
            <w:tcW w:type="dxa" w:w="4752"/>
          </w:tcPr>
          <w:p>
            <w:r/>
            <w:r>
              <w:rPr>
                <w:sz w:val="17"/>
              </w:rPr>
              <w:t>The OCGs require notice by the 20th of any month in which fees are projected to exceed 80% of the cap ($228,000). The XLS forecasts more than $228K in 14 of 16 months, but neither the EL nor the MP mentions the obligation.</w:t>
            </w:r>
          </w:p>
        </w:tc>
        <w:tc>
          <w:tcPr>
            <w:tcW w:type="dxa" w:w="1512"/>
          </w:tcPr>
          <w:p>
            <w:r/>
            <w:r>
              <w:rPr>
                <w:sz w:val="17"/>
              </w:rPr>
              <w:t>OCG (no conflict)</w:t>
            </w:r>
          </w:p>
        </w:tc>
        <w:tc>
          <w:tcPr>
            <w:tcW w:type="dxa" w:w="2448"/>
          </w:tcPr>
          <w:p>
            <w:r/>
            <w:r>
              <w:rPr>
                <w:sz w:val="17"/>
              </w:rPr>
              <w:t>Add it to the reporting calendar.</w:t>
            </w:r>
          </w:p>
        </w:tc>
      </w:tr>
      <w:tr>
        <w:tc>
          <w:tcPr>
            <w:tcW w:type="dxa" w:w="576"/>
          </w:tcPr>
          <w:p>
            <w:r/>
            <w:r>
              <w:rPr>
                <w:sz w:val="17"/>
              </w:rPr>
              <w:t>M-9</w:t>
            </w:r>
          </w:p>
        </w:tc>
        <w:tc>
          <w:tcPr>
            <w:tcW w:type="dxa" w:w="936"/>
            <w:shd w:val="clear" w:color="auto" w:fill="FFF2CC"/>
          </w:tcPr>
          <w:p>
            <w:r/>
            <w:r>
              <w:rPr>
                <w:b/>
                <w:sz w:val="17"/>
              </w:rPr>
              <w:t>MEDIUM</w:t>
            </w:r>
          </w:p>
        </w:tc>
        <w:tc>
          <w:tcPr>
            <w:tcW w:type="dxa" w:w="1728"/>
          </w:tcPr>
          <w:p>
            <w:r/>
            <w:r>
              <w:rPr>
                <w:sz w:val="17"/>
              </w:rPr>
              <w:t>$10K–$25K disbursement notice</w:t>
            </w:r>
          </w:p>
        </w:tc>
        <w:tc>
          <w:tcPr>
            <w:tcW w:type="dxa" w:w="1872"/>
          </w:tcPr>
          <w:p>
            <w:r/>
            <w:r>
              <w:rPr>
                <w:sz w:val="17"/>
              </w:rPr>
              <w:t>OCG §5.2; MP §7.6; EL §4.2</w:t>
            </w:r>
          </w:p>
        </w:tc>
        <w:tc>
          <w:tcPr>
            <w:tcW w:type="dxa" w:w="4752"/>
          </w:tcPr>
          <w:p>
            <w:r/>
            <w:r>
              <w:rPr>
                <w:sz w:val="17"/>
              </w:rPr>
              <w:t>The MP says disbursements under $25K need no pre-approval and are only documented on invoices. The OCGs require advance written notice for $10K–$25K. MP reallocation approval ("any") is also stricter than the EL ("&gt;$25K").</w:t>
            </w:r>
          </w:p>
        </w:tc>
        <w:tc>
          <w:tcPr>
            <w:tcW w:type="dxa" w:w="1512"/>
          </w:tcPr>
          <w:p>
            <w:r/>
            <w:r>
              <w:rPr>
                <w:sz w:val="17"/>
              </w:rPr>
              <w:t>OCG (supplements the EL); EL governs reallocation</w:t>
            </w:r>
          </w:p>
        </w:tc>
        <w:tc>
          <w:tcPr>
            <w:tcW w:type="dxa" w:w="2448"/>
          </w:tcPr>
          <w:p>
            <w:r/>
            <w:r>
              <w:rPr>
                <w:sz w:val="17"/>
              </w:rPr>
              <w:t>Conform the MP.</w:t>
            </w:r>
          </w:p>
        </w:tc>
      </w:tr>
      <w:tr>
        <w:tc>
          <w:tcPr>
            <w:tcW w:type="dxa" w:w="576"/>
          </w:tcPr>
          <w:p>
            <w:r/>
            <w:r>
              <w:rPr>
                <w:sz w:val="17"/>
              </w:rPr>
              <w:t>M-10</w:t>
            </w:r>
          </w:p>
        </w:tc>
        <w:tc>
          <w:tcPr>
            <w:tcW w:type="dxa" w:w="936"/>
            <w:shd w:val="clear" w:color="auto" w:fill="FFF2CC"/>
          </w:tcPr>
          <w:p>
            <w:r/>
            <w:r>
              <w:rPr>
                <w:b/>
                <w:sz w:val="17"/>
              </w:rPr>
              <w:t>MEDIUM</w:t>
            </w:r>
          </w:p>
        </w:tc>
        <w:tc>
          <w:tcPr>
            <w:tcW w:type="dxa" w:w="1728"/>
          </w:tcPr>
          <w:p>
            <w:r/>
            <w:r>
              <w:rPr>
                <w:sz w:val="17"/>
              </w:rPr>
              <w:t>EX-1 / EX-2 numbering reversed</w:t>
            </w:r>
          </w:p>
        </w:tc>
        <w:tc>
          <w:tcPr>
            <w:tcW w:type="dxa" w:w="1872"/>
          </w:tcPr>
          <w:p>
            <w:r/>
            <w:r>
              <w:rPr>
                <w:sz w:val="17"/>
              </w:rPr>
              <w:t>EML Jan. 15 and 16 vs EL §2 and MP §4</w:t>
            </w:r>
          </w:p>
        </w:tc>
        <w:tc>
          <w:tcPr>
            <w:tcW w:type="dxa" w:w="4752"/>
          </w:tcPr>
          <w:p>
            <w:r/>
            <w:r>
              <w:rPr>
                <w:sz w:val="17"/>
              </w:rPr>
              <w:t>In the emails, EX-1 is appellate and EX-2 is class action. The executed documents reverse this. Giles "confirm[ed] EX-1 through EX-6" against the email numbering.</w:t>
            </w:r>
          </w:p>
        </w:tc>
        <w:tc>
          <w:tcPr>
            <w:tcW w:type="dxa" w:w="1512"/>
          </w:tcPr>
          <w:p>
            <w:r/>
            <w:r>
              <w:rPr>
                <w:sz w:val="17"/>
              </w:rPr>
              <w:t>EL</w:t>
            </w:r>
          </w:p>
        </w:tc>
        <w:tc>
          <w:tcPr>
            <w:tcW w:type="dxa" w:w="2448"/>
          </w:tcPr>
          <w:p>
            <w:r/>
            <w:r>
              <w:rPr>
                <w:sz w:val="17"/>
              </w:rPr>
              <w:t>Cite exclusions by name as well as number. Confirm the client accepts the final numbering.</w:t>
            </w:r>
          </w:p>
        </w:tc>
      </w:tr>
      <w:tr>
        <w:tc>
          <w:tcPr>
            <w:tcW w:type="dxa" w:w="576"/>
          </w:tcPr>
          <w:p>
            <w:r/>
            <w:r>
              <w:rPr>
                <w:sz w:val="17"/>
              </w:rPr>
              <w:t>M-11</w:t>
            </w:r>
          </w:p>
        </w:tc>
        <w:tc>
          <w:tcPr>
            <w:tcW w:type="dxa" w:w="936"/>
            <w:shd w:val="clear" w:color="auto" w:fill="FFF2CC"/>
          </w:tcPr>
          <w:p>
            <w:r/>
            <w:r>
              <w:rPr>
                <w:b/>
                <w:sz w:val="17"/>
              </w:rPr>
              <w:t>MEDIUM</w:t>
            </w:r>
          </w:p>
        </w:tc>
        <w:tc>
          <w:tcPr>
            <w:tcW w:type="dxa" w:w="1728"/>
          </w:tcPr>
          <w:p>
            <w:r/>
            <w:r>
              <w:rPr>
                <w:sz w:val="17"/>
              </w:rPr>
              <w:t>Mediation completion deadline</w:t>
            </w:r>
          </w:p>
        </w:tc>
        <w:tc>
          <w:tcPr>
            <w:tcW w:type="dxa" w:w="1872"/>
          </w:tcPr>
          <w:p>
            <w:r/>
            <w:r>
              <w:rPr>
                <w:sz w:val="17"/>
              </w:rPr>
              <w:t>MP §§3.7, 6.1 vs §6.2 chart; XLS</w:t>
            </w:r>
          </w:p>
        </w:tc>
        <w:tc>
          <w:tcPr>
            <w:tcW w:type="dxa" w:w="4752"/>
          </w:tcPr>
          <w:p>
            <w:r/>
            <w:r>
              <w:rPr>
                <w:sz w:val="17"/>
              </w:rPr>
              <w:t>The narrative says Mar. 3, 2026, which is correct (90 days before June 1, 2026). The chart says Feb. 28, 2026 (93 days). The XLS says "Mar. 2026".</w:t>
            </w:r>
          </w:p>
        </w:tc>
        <w:tc>
          <w:tcPr>
            <w:tcW w:type="dxa" w:w="1512"/>
          </w:tcPr>
          <w:p>
            <w:r/>
            <w:r>
              <w:rPr>
                <w:sz w:val="17"/>
              </w:rPr>
              <w:t>MP narrative (formula)</w:t>
            </w:r>
          </w:p>
        </w:tc>
        <w:tc>
          <w:tcPr>
            <w:tcW w:type="dxa" w:w="2448"/>
          </w:tcPr>
          <w:p>
            <w:r/>
            <w:r>
              <w:rPr>
                <w:sz w:val="17"/>
              </w:rPr>
              <w:t>Correct the chart. Diary Feb. 28, 2026 as a conservative internal target.</w:t>
            </w:r>
          </w:p>
        </w:tc>
      </w:tr>
      <w:tr>
        <w:tc>
          <w:tcPr>
            <w:tcW w:type="dxa" w:w="576"/>
          </w:tcPr>
          <w:p>
            <w:r/>
            <w:r>
              <w:rPr>
                <w:sz w:val="17"/>
              </w:rPr>
              <w:t>M-12</w:t>
            </w:r>
          </w:p>
        </w:tc>
        <w:tc>
          <w:tcPr>
            <w:tcW w:type="dxa" w:w="936"/>
            <w:shd w:val="clear" w:color="auto" w:fill="FFF2CC"/>
          </w:tcPr>
          <w:p>
            <w:r/>
            <w:r>
              <w:rPr>
                <w:b/>
                <w:sz w:val="17"/>
              </w:rPr>
              <w:t>MEDIUM</w:t>
            </w:r>
          </w:p>
        </w:tc>
        <w:tc>
          <w:tcPr>
            <w:tcW w:type="dxa" w:w="1728"/>
          </w:tcPr>
          <w:p>
            <w:r/>
            <w:r>
              <w:rPr>
                <w:sz w:val="17"/>
              </w:rPr>
              <w:t>"As currently constituted" also excludes new HX-9000 tag-along actions</w:t>
            </w:r>
          </w:p>
        </w:tc>
        <w:tc>
          <w:tcPr>
            <w:tcW w:type="dxa" w:w="1872"/>
          </w:tcPr>
          <w:p>
            <w:r/>
            <w:r>
              <w:rPr>
                <w:sz w:val="17"/>
              </w:rPr>
              <w:t>MP §3.1; EL §1</w:t>
            </w:r>
          </w:p>
        </w:tc>
        <w:tc>
          <w:tcPr>
            <w:tcW w:type="dxa" w:w="4752"/>
          </w:tcPr>
          <w:p>
            <w:r/>
            <w:r>
              <w:rPr>
                <w:sz w:val="17"/>
              </w:rPr>
              <w:t>WS-1 excludes later tag-alongs and cross-claims even for HX-9000 claims. This sits uneasily with the EL's grant of "comprehensive defense ... through and including trial" in the MDL.</w:t>
            </w:r>
          </w:p>
        </w:tc>
        <w:tc>
          <w:tcPr>
            <w:tcW w:type="dxa" w:w="1512"/>
          </w:tcPr>
          <w:p>
            <w:r/>
            <w:r>
              <w:rPr>
                <w:sz w:val="17"/>
              </w:rPr>
              <w:t>EL</w:t>
            </w:r>
          </w:p>
        </w:tc>
        <w:tc>
          <w:tcPr>
            <w:tcW w:type="dxa" w:w="2448"/>
          </w:tcPr>
          <w:p>
            <w:r/>
            <w:r>
              <w:rPr>
                <w:sz w:val="17"/>
              </w:rPr>
              <w:t>Clarify that later HX-9000 tag-alongs fall within WS-1.</w:t>
            </w:r>
          </w:p>
        </w:tc>
      </w:tr>
      <w:tr>
        <w:tc>
          <w:tcPr>
            <w:tcW w:type="dxa" w:w="576"/>
          </w:tcPr>
          <w:p>
            <w:r/>
            <w:r>
              <w:rPr>
                <w:sz w:val="17"/>
              </w:rPr>
              <w:t>M-13</w:t>
            </w:r>
          </w:p>
        </w:tc>
        <w:tc>
          <w:tcPr>
            <w:tcW w:type="dxa" w:w="936"/>
            <w:shd w:val="clear" w:color="auto" w:fill="FFF2CC"/>
          </w:tcPr>
          <w:p>
            <w:r/>
            <w:r>
              <w:rPr>
                <w:b/>
                <w:sz w:val="17"/>
              </w:rPr>
              <w:t>MEDIUM</w:t>
            </w:r>
          </w:p>
        </w:tc>
        <w:tc>
          <w:tcPr>
            <w:tcW w:type="dxa" w:w="1728"/>
          </w:tcPr>
          <w:p>
            <w:r/>
            <w:r>
              <w:rPr>
                <w:sz w:val="17"/>
              </w:rPr>
              <w:t>QBR attendance vs OCG two-attorney limit</w:t>
            </w:r>
          </w:p>
        </w:tc>
        <w:tc>
          <w:tcPr>
            <w:tcW w:type="dxa" w:w="1872"/>
          </w:tcPr>
          <w:p>
            <w:r/>
            <w:r>
              <w:rPr>
                <w:sz w:val="17"/>
              </w:rPr>
              <w:t>EL §6; MP §8.3; OCG §6.2</w:t>
            </w:r>
          </w:p>
        </w:tc>
        <w:tc>
          <w:tcPr>
            <w:tcW w:type="dxa" w:w="4752"/>
          </w:tcPr>
          <w:p>
            <w:r/>
            <w:r>
              <w:rPr>
                <w:sz w:val="17"/>
              </w:rPr>
              <w:t>The EL and MP require Layton and Voss at every QBR, with Sinclair supporting and, under R1, Marchetti for WS-4. That is three or four attorneys. OCG §6.2 caps attendance at two without the DGC's pre-approval. The OCG diversity metrics are also missing from the MP's QBR content list.</w:t>
            </w:r>
          </w:p>
        </w:tc>
        <w:tc>
          <w:tcPr>
            <w:tcW w:type="dxa" w:w="1512"/>
          </w:tcPr>
          <w:p>
            <w:r/>
            <w:r>
              <w:rPr>
                <w:sz w:val="17"/>
              </w:rPr>
              <w:t>OCG (supplements)</w:t>
            </w:r>
          </w:p>
        </w:tc>
        <w:tc>
          <w:tcPr>
            <w:tcW w:type="dxa" w:w="2448"/>
          </w:tcPr>
          <w:p>
            <w:r/>
            <w:r>
              <w:rPr>
                <w:sz w:val="17"/>
              </w:rPr>
              <w:t>Get standing DGC approval. Add diversity metrics to QBRs.</w:t>
            </w:r>
          </w:p>
        </w:tc>
      </w:tr>
      <w:tr>
        <w:tc>
          <w:tcPr>
            <w:tcW w:type="dxa" w:w="576"/>
          </w:tcPr>
          <w:p>
            <w:r/>
            <w:r>
              <w:rPr>
                <w:sz w:val="17"/>
              </w:rPr>
              <w:t>M-14</w:t>
            </w:r>
          </w:p>
        </w:tc>
        <w:tc>
          <w:tcPr>
            <w:tcW w:type="dxa" w:w="936"/>
            <w:shd w:val="clear" w:color="auto" w:fill="FFF2CC"/>
          </w:tcPr>
          <w:p>
            <w:r/>
            <w:r>
              <w:rPr>
                <w:b/>
                <w:sz w:val="17"/>
              </w:rPr>
              <w:t>MEDIUM</w:t>
            </w:r>
          </w:p>
        </w:tc>
        <w:tc>
          <w:tcPr>
            <w:tcW w:type="dxa" w:w="1728"/>
          </w:tcPr>
          <w:p>
            <w:r/>
            <w:r>
              <w:rPr>
                <w:sz w:val="17"/>
              </w:rPr>
              <w:t>Regulatory scope before WS-4 existed</w:t>
            </w:r>
          </w:p>
        </w:tc>
        <w:tc>
          <w:tcPr>
            <w:tcW w:type="dxa" w:w="1872"/>
          </w:tcPr>
          <w:p>
            <w:r/>
            <w:r>
              <w:rPr>
                <w:sz w:val="17"/>
              </w:rPr>
              <w:t>EL §§1, 5.1; MP §5.6; EML Jan. 15–24</w:t>
            </w:r>
          </w:p>
        </w:tc>
        <w:tc>
          <w:tcPr>
            <w:tcW w:type="dxa" w:w="4752"/>
          </w:tcPr>
          <w:p>
            <w:r/>
            <w:r>
              <w:rPr>
                <w:sz w:val="17"/>
              </w:rPr>
              <w:t>On Feb. 3 the EL authorized Marchetti for a "regulatory response" work stream, but no such work stream or scope category existed until R1. The MP dated Feb. 10 lists WS-4 in her authorization.</w:t>
            </w:r>
          </w:p>
        </w:tc>
        <w:tc>
          <w:tcPr>
            <w:tcW w:type="dxa" w:w="1512"/>
          </w:tcPr>
          <w:p>
            <w:r/>
            <w:r>
              <w:rPr>
                <w:sz w:val="17"/>
              </w:rPr>
              <w:t>EL</w:t>
            </w:r>
          </w:p>
        </w:tc>
        <w:tc>
          <w:tcPr>
            <w:tcW w:type="dxa" w:w="2448"/>
          </w:tcPr>
          <w:p>
            <w:r/>
            <w:r>
              <w:rPr>
                <w:sz w:val="17"/>
              </w:rPr>
              <w:t>Treat R1 as the operative authority for regulatory work; see H-2.</w:t>
            </w:r>
          </w:p>
        </w:tc>
      </w:tr>
      <w:tr>
        <w:tc>
          <w:tcPr>
            <w:tcW w:type="dxa" w:w="576"/>
          </w:tcPr>
          <w:p>
            <w:r/>
            <w:r>
              <w:rPr>
                <w:sz w:val="17"/>
              </w:rPr>
              <w:t>M-15</w:t>
            </w:r>
          </w:p>
        </w:tc>
        <w:tc>
          <w:tcPr>
            <w:tcW w:type="dxa" w:w="936"/>
            <w:shd w:val="clear" w:color="auto" w:fill="FFF2CC"/>
          </w:tcPr>
          <w:p>
            <w:r/>
            <w:r>
              <w:rPr>
                <w:b/>
                <w:sz w:val="17"/>
              </w:rPr>
              <w:t>MEDIUM</w:t>
            </w:r>
          </w:p>
        </w:tc>
        <w:tc>
          <w:tcPr>
            <w:tcW w:type="dxa" w:w="1728"/>
          </w:tcPr>
          <w:p>
            <w:r/>
            <w:r>
              <w:rPr>
                <w:sz w:val="17"/>
              </w:rPr>
              <w:t>Unit of measure for settlement authority not stated</w:t>
            </w:r>
          </w:p>
        </w:tc>
        <w:tc>
          <w:tcPr>
            <w:tcW w:type="dxa" w:w="1872"/>
          </w:tcPr>
          <w:p>
            <w:r/>
            <w:r>
              <w:rPr>
                <w:sz w:val="17"/>
              </w:rPr>
              <w:t>EL §7; MP §§3.7, 8.5</w:t>
            </w:r>
          </w:p>
        </w:tc>
        <w:tc>
          <w:tcPr>
            <w:tcW w:type="dxa" w:w="4752"/>
          </w:tcPr>
          <w:p>
            <w:r/>
            <w:r>
              <w:rPr>
                <w:sz w:val="17"/>
              </w:rPr>
              <w:t>The tiers ($3M / $6M) do not say whether they apply per plaintiff, per incident or in aggregate. With 55 plaintiffs across two forums and an $8.5M target, the answer determines which approver is needed.</w:t>
            </w:r>
          </w:p>
        </w:tc>
        <w:tc>
          <w:tcPr>
            <w:tcW w:type="dxa" w:w="1512"/>
          </w:tcPr>
          <w:p>
            <w:r/>
            <w:r>
              <w:rPr>
                <w:sz w:val="17"/>
              </w:rPr>
              <w:t>EL (ambiguous)</w:t>
            </w:r>
          </w:p>
        </w:tc>
        <w:tc>
          <w:tcPr>
            <w:tcW w:type="dxa" w:w="2448"/>
          </w:tcPr>
          <w:p>
            <w:r/>
            <w:r>
              <w:rPr>
                <w:sz w:val="17"/>
              </w:rPr>
              <w:t>Clarify in writing.</w:t>
            </w:r>
          </w:p>
        </w:tc>
      </w:tr>
      <w:tr>
        <w:tc>
          <w:tcPr>
            <w:tcW w:type="dxa" w:w="576"/>
          </w:tcPr>
          <w:p>
            <w:r/>
            <w:r>
              <w:rPr>
                <w:sz w:val="17"/>
              </w:rPr>
              <w:t>M-16</w:t>
            </w:r>
          </w:p>
        </w:tc>
        <w:tc>
          <w:tcPr>
            <w:tcW w:type="dxa" w:w="936"/>
            <w:shd w:val="clear" w:color="auto" w:fill="FFF2CC"/>
          </w:tcPr>
          <w:p>
            <w:r/>
            <w:r>
              <w:rPr>
                <w:b/>
                <w:sz w:val="17"/>
              </w:rPr>
              <w:t>MEDIUM</w:t>
            </w:r>
          </w:p>
        </w:tc>
        <w:tc>
          <w:tcPr>
            <w:tcW w:type="dxa" w:w="1728"/>
          </w:tcPr>
          <w:p>
            <w:r/>
            <w:r>
              <w:rPr>
                <w:sz w:val="17"/>
              </w:rPr>
              <w:t>Wind-down fee trigger</w:t>
            </w:r>
          </w:p>
        </w:tc>
        <w:tc>
          <w:tcPr>
            <w:tcW w:type="dxa" w:w="1872"/>
          </w:tcPr>
          <w:p>
            <w:r/>
            <w:r>
              <w:rPr>
                <w:sz w:val="17"/>
              </w:rPr>
              <w:t>EL §9; MP §11</w:t>
            </w:r>
          </w:p>
        </w:tc>
        <w:tc>
          <w:tcPr>
            <w:tcW w:type="dxa" w:w="4752"/>
          </w:tcPr>
          <w:p>
            <w:r/>
            <w:r>
              <w:rPr>
                <w:sz w:val="17"/>
              </w:rPr>
              <w:t>EL: fees billed "in excess of" $2,000,000. MP: "$2,000,000 or more". The outcome differs at exactly $2M.</w:t>
            </w:r>
          </w:p>
        </w:tc>
        <w:tc>
          <w:tcPr>
            <w:tcW w:type="dxa" w:w="1512"/>
          </w:tcPr>
          <w:p>
            <w:r/>
            <w:r>
              <w:rPr>
                <w:sz w:val="17"/>
              </w:rPr>
              <w:t>EL</w:t>
            </w:r>
          </w:p>
        </w:tc>
        <w:tc>
          <w:tcPr>
            <w:tcW w:type="dxa" w:w="2448"/>
          </w:tcPr>
          <w:p>
            <w:r/>
            <w:r>
              <w:rPr>
                <w:sz w:val="17"/>
              </w:rPr>
              <w:t>Conform the MP.</w:t>
            </w:r>
          </w:p>
        </w:tc>
      </w:tr>
      <w:tr>
        <w:tc>
          <w:tcPr>
            <w:tcW w:type="dxa" w:w="576"/>
          </w:tcPr>
          <w:p>
            <w:r/>
            <w:r>
              <w:rPr>
                <w:sz w:val="17"/>
              </w:rPr>
              <w:t>M-17</w:t>
            </w:r>
          </w:p>
        </w:tc>
        <w:tc>
          <w:tcPr>
            <w:tcW w:type="dxa" w:w="936"/>
            <w:shd w:val="clear" w:color="auto" w:fill="FFF2CC"/>
          </w:tcPr>
          <w:p>
            <w:r/>
            <w:r>
              <w:rPr>
                <w:b/>
                <w:sz w:val="17"/>
              </w:rPr>
              <w:t>MEDIUM</w:t>
            </w:r>
          </w:p>
        </w:tc>
        <w:tc>
          <w:tcPr>
            <w:tcW w:type="dxa" w:w="1728"/>
          </w:tcPr>
          <w:p>
            <w:r/>
            <w:r>
              <w:rPr>
                <w:sz w:val="17"/>
              </w:rPr>
              <w:t>Success fee on termination without cause</w:t>
            </w:r>
          </w:p>
        </w:tc>
        <w:tc>
          <w:tcPr>
            <w:tcW w:type="dxa" w:w="1872"/>
          </w:tcPr>
          <w:p>
            <w:r/>
            <w:r>
              <w:rPr>
                <w:sz w:val="17"/>
              </w:rPr>
              <w:t>EL §9; MP §11</w:t>
            </w:r>
          </w:p>
        </w:tc>
        <w:tc>
          <w:tcPr>
            <w:tcW w:type="dxa" w:w="4752"/>
          </w:tcPr>
          <w:p>
            <w:r/>
            <w:r>
              <w:rPr>
                <w:sz w:val="17"/>
              </w:rPr>
              <w:t>EL: pro rata share (fees billed ÷ AFB), payable at final resolution. MP: the success fee "remains available", which suggests the full fee.</w:t>
            </w:r>
          </w:p>
        </w:tc>
        <w:tc>
          <w:tcPr>
            <w:tcW w:type="dxa" w:w="1512"/>
          </w:tcPr>
          <w:p>
            <w:r/>
            <w:r>
              <w:rPr>
                <w:sz w:val="17"/>
              </w:rPr>
              <w:t>EL</w:t>
            </w:r>
          </w:p>
        </w:tc>
        <w:tc>
          <w:tcPr>
            <w:tcW w:type="dxa" w:w="2448"/>
          </w:tcPr>
          <w:p>
            <w:r/>
            <w:r>
              <w:rPr>
                <w:sz w:val="17"/>
              </w:rPr>
              <w:t>Conform the MP summary.</w:t>
            </w:r>
          </w:p>
        </w:tc>
      </w:tr>
      <w:tr>
        <w:tc>
          <w:tcPr>
            <w:tcW w:type="dxa" w:w="576"/>
          </w:tcPr>
          <w:p>
            <w:r/>
            <w:r>
              <w:rPr>
                <w:sz w:val="17"/>
              </w:rPr>
              <w:t>L-1</w:t>
            </w:r>
          </w:p>
        </w:tc>
        <w:tc>
          <w:tcPr>
            <w:tcW w:type="dxa" w:w="936"/>
            <w:shd w:val="clear" w:color="auto" w:fill="D9EAD3"/>
          </w:tcPr>
          <w:p>
            <w:r/>
            <w:r>
              <w:rPr>
                <w:b/>
                <w:sz w:val="17"/>
              </w:rPr>
              <w:t>LOW</w:t>
            </w:r>
          </w:p>
        </w:tc>
        <w:tc>
          <w:tcPr>
            <w:tcW w:type="dxa" w:w="1728"/>
          </w:tcPr>
          <w:p>
            <w:r/>
            <w:r>
              <w:rPr>
                <w:sz w:val="17"/>
              </w:rPr>
              <w:t>R1 and XLS cite the wrong EL sections</w:t>
            </w:r>
          </w:p>
        </w:tc>
        <w:tc>
          <w:tcPr>
            <w:tcW w:type="dxa" w:w="1872"/>
          </w:tcPr>
          <w:p>
            <w:r/>
            <w:r>
              <w:rPr>
                <w:sz w:val="17"/>
              </w:rPr>
              <w:t>R1 §§2.2, 3; XLS</w:t>
            </w:r>
          </w:p>
        </w:tc>
        <w:tc>
          <w:tcPr>
            <w:tcW w:type="dxa" w:w="4752"/>
          </w:tcPr>
          <w:p>
            <w:r/>
            <w:r>
              <w:rPr>
                <w:sz w:val="17"/>
              </w:rPr>
              <w:t>R1 cites EL §7.1 (AFB; actually §3.4), §§7.2–7.3 (cap and checkpoints; actually §§3.3–3.4), §8.1 (disbursements; actually §4.1), §8.3 (approval; actually §4.2) and "MP §5.4" for staffing procedures (actually §5.7). The XLS cites "EL §4" for the AFB and "EL §6" for travel.</w:t>
            </w:r>
          </w:p>
        </w:tc>
        <w:tc>
          <w:tcPr>
            <w:tcW w:type="dxa" w:w="1512"/>
          </w:tcPr>
          <w:p>
            <w:r/>
            <w:r>
              <w:rPr>
                <w:sz w:val="17"/>
              </w:rPr>
              <w:t>—</w:t>
            </w:r>
          </w:p>
        </w:tc>
        <w:tc>
          <w:tcPr>
            <w:tcW w:type="dxa" w:w="2448"/>
          </w:tcPr>
          <w:p>
            <w:r/>
            <w:r>
              <w:rPr>
                <w:sz w:val="17"/>
              </w:rPr>
              <w:t>Correct the citations.</w:t>
            </w:r>
          </w:p>
        </w:tc>
      </w:tr>
      <w:tr>
        <w:tc>
          <w:tcPr>
            <w:tcW w:type="dxa" w:w="576"/>
          </w:tcPr>
          <w:p>
            <w:r/>
            <w:r>
              <w:rPr>
                <w:sz w:val="17"/>
              </w:rPr>
              <w:t>L-2</w:t>
            </w:r>
          </w:p>
        </w:tc>
        <w:tc>
          <w:tcPr>
            <w:tcW w:type="dxa" w:w="936"/>
            <w:shd w:val="clear" w:color="auto" w:fill="D9EAD3"/>
          </w:tcPr>
          <w:p>
            <w:r/>
            <w:r>
              <w:rPr>
                <w:b/>
                <w:sz w:val="17"/>
              </w:rPr>
              <w:t>LOW</w:t>
            </w:r>
          </w:p>
        </w:tc>
        <w:tc>
          <w:tcPr>
            <w:tcW w:type="dxa" w:w="1728"/>
          </w:tcPr>
          <w:p>
            <w:r/>
            <w:r>
              <w:rPr>
                <w:sz w:val="17"/>
              </w:rPr>
              <w:t>Exclusion wording differs</w:t>
            </w:r>
          </w:p>
        </w:tc>
        <w:tc>
          <w:tcPr>
            <w:tcW w:type="dxa" w:w="1872"/>
          </w:tcPr>
          <w:p>
            <w:r/>
            <w:r>
              <w:rPr>
                <w:sz w:val="17"/>
              </w:rPr>
              <w:t>EL §2; MP §4</w:t>
            </w:r>
          </w:p>
        </w:tc>
        <w:tc>
          <w:tcPr>
            <w:tcW w:type="dxa" w:w="4752"/>
          </w:tcPr>
          <w:p>
            <w:r/>
            <w:r>
              <w:rPr>
                <w:sz w:val="17"/>
              </w:rPr>
              <w:t>EX-3: the MP adds contribution, indemnity and supplier claims. EX-4: in-house "legal" team (EL) vs "regulatory affairs" team (MP). EX-5: the MP adds CPSC rulemaking. These do not conflict in substance, but the EL controls.</w:t>
            </w:r>
          </w:p>
        </w:tc>
        <w:tc>
          <w:tcPr>
            <w:tcW w:type="dxa" w:w="1512"/>
          </w:tcPr>
          <w:p>
            <w:r/>
            <w:r>
              <w:rPr>
                <w:sz w:val="17"/>
              </w:rPr>
              <w:t>EL</w:t>
            </w:r>
          </w:p>
        </w:tc>
        <w:tc>
          <w:tcPr>
            <w:tcW w:type="dxa" w:w="2448"/>
          </w:tcPr>
          <w:p>
            <w:r/>
            <w:r>
              <w:rPr>
                <w:sz w:val="17"/>
              </w:rPr>
              <w:t>Harmonize.</w:t>
            </w:r>
          </w:p>
        </w:tc>
      </w:tr>
      <w:tr>
        <w:tc>
          <w:tcPr>
            <w:tcW w:type="dxa" w:w="576"/>
          </w:tcPr>
          <w:p>
            <w:r/>
            <w:r>
              <w:rPr>
                <w:sz w:val="17"/>
              </w:rPr>
              <w:t>L-3</w:t>
            </w:r>
          </w:p>
        </w:tc>
        <w:tc>
          <w:tcPr>
            <w:tcW w:type="dxa" w:w="936"/>
            <w:shd w:val="clear" w:color="auto" w:fill="D9EAD3"/>
          </w:tcPr>
          <w:p>
            <w:r/>
            <w:r>
              <w:rPr>
                <w:b/>
                <w:sz w:val="17"/>
              </w:rPr>
              <w:t>LOW</w:t>
            </w:r>
          </w:p>
        </w:tc>
        <w:tc>
          <w:tcPr>
            <w:tcW w:type="dxa" w:w="1728"/>
          </w:tcPr>
          <w:p>
            <w:r/>
            <w:r>
              <w:rPr>
                <w:sz w:val="17"/>
              </w:rPr>
              <w:t>WS-7 name</w:t>
            </w:r>
          </w:p>
        </w:tc>
        <w:tc>
          <w:tcPr>
            <w:tcW w:type="dxa" w:w="1872"/>
          </w:tcPr>
          <w:p>
            <w:r/>
            <w:r>
              <w:rPr>
                <w:sz w:val="17"/>
              </w:rPr>
              <w:t>R1 §6</w:t>
            </w:r>
          </w:p>
        </w:tc>
        <w:tc>
          <w:tcPr>
            <w:tcW w:type="dxa" w:w="4752"/>
          </w:tcPr>
          <w:p>
            <w:r/>
            <w:r>
              <w:rPr>
                <w:sz w:val="17"/>
              </w:rPr>
              <w:t>"Settlement Evaluation and Mediation Preparation" vs "Settlement Strategy and Mediation".</w:t>
            </w:r>
          </w:p>
        </w:tc>
        <w:tc>
          <w:tcPr>
            <w:tcW w:type="dxa" w:w="1512"/>
          </w:tcPr>
          <w:p>
            <w:r/>
            <w:r>
              <w:rPr>
                <w:sz w:val="17"/>
              </w:rPr>
              <w:t>MP</w:t>
            </w:r>
          </w:p>
        </w:tc>
        <w:tc>
          <w:tcPr>
            <w:tcW w:type="dxa" w:w="2448"/>
          </w:tcPr>
          <w:p>
            <w:r/>
            <w:r>
              <w:rPr>
                <w:sz w:val="17"/>
              </w:rPr>
              <w:t>Conform.</w:t>
            </w:r>
          </w:p>
        </w:tc>
      </w:tr>
      <w:tr>
        <w:tc>
          <w:tcPr>
            <w:tcW w:type="dxa" w:w="576"/>
          </w:tcPr>
          <w:p>
            <w:r/>
            <w:r>
              <w:rPr>
                <w:sz w:val="17"/>
              </w:rPr>
              <w:t>L-4</w:t>
            </w:r>
          </w:p>
        </w:tc>
        <w:tc>
          <w:tcPr>
            <w:tcW w:type="dxa" w:w="936"/>
            <w:shd w:val="clear" w:color="auto" w:fill="D9EAD3"/>
          </w:tcPr>
          <w:p>
            <w:r/>
            <w:r>
              <w:rPr>
                <w:b/>
                <w:sz w:val="17"/>
              </w:rPr>
              <w:t>LOW</w:t>
            </w:r>
          </w:p>
        </w:tc>
        <w:tc>
          <w:tcPr>
            <w:tcW w:type="dxa" w:w="1728"/>
          </w:tcPr>
          <w:p>
            <w:r/>
            <w:r>
              <w:rPr>
                <w:sz w:val="17"/>
              </w:rPr>
              <w:t>Meridian address</w:t>
            </w:r>
          </w:p>
        </w:tc>
        <w:tc>
          <w:tcPr>
            <w:tcW w:type="dxa" w:w="1872"/>
          </w:tcPr>
          <w:p>
            <w:r/>
            <w:r>
              <w:rPr>
                <w:sz w:val="17"/>
              </w:rPr>
              <w:t>MP §9.1; R1 §2.1</w:t>
            </w:r>
          </w:p>
        </w:tc>
        <w:tc>
          <w:tcPr>
            <w:tcW w:type="dxa" w:w="4752"/>
          </w:tcPr>
          <w:p>
            <w:r/>
            <w:r>
              <w:rPr>
                <w:sz w:val="17"/>
              </w:rPr>
              <w:t>1325 G Street NW, Ste 900, DC 20005 vs 1100 Connecticut Ave NW, Ste 800, DC 20036.</w:t>
            </w:r>
          </w:p>
        </w:tc>
        <w:tc>
          <w:tcPr>
            <w:tcW w:type="dxa" w:w="1512"/>
          </w:tcPr>
          <w:p>
            <w:r/>
            <w:r>
              <w:rPr>
                <w:sz w:val="17"/>
              </w:rPr>
              <w:t>—</w:t>
            </w:r>
          </w:p>
        </w:tc>
        <w:tc>
          <w:tcPr>
            <w:tcW w:type="dxa" w:w="2448"/>
          </w:tcPr>
          <w:p>
            <w:r/>
            <w:r>
              <w:rPr>
                <w:sz w:val="17"/>
              </w:rPr>
              <w:t>Verify.</w:t>
            </w:r>
          </w:p>
        </w:tc>
      </w:tr>
      <w:tr>
        <w:tc>
          <w:tcPr>
            <w:tcW w:type="dxa" w:w="576"/>
          </w:tcPr>
          <w:p>
            <w:r/>
            <w:r>
              <w:rPr>
                <w:sz w:val="17"/>
              </w:rPr>
              <w:t>L-5</w:t>
            </w:r>
          </w:p>
        </w:tc>
        <w:tc>
          <w:tcPr>
            <w:tcW w:type="dxa" w:w="936"/>
            <w:shd w:val="clear" w:color="auto" w:fill="D9EAD3"/>
          </w:tcPr>
          <w:p>
            <w:r/>
            <w:r>
              <w:rPr>
                <w:b/>
                <w:sz w:val="17"/>
              </w:rPr>
              <w:t>LOW</w:t>
            </w:r>
          </w:p>
        </w:tc>
        <w:tc>
          <w:tcPr>
            <w:tcW w:type="dxa" w:w="1728"/>
          </w:tcPr>
          <w:p>
            <w:r/>
            <w:r>
              <w:rPr>
                <w:sz w:val="17"/>
              </w:rPr>
              <w:t>Rev. 1 says "Comprehensive Engagement Letter"</w:t>
            </w:r>
          </w:p>
        </w:tc>
        <w:tc>
          <w:tcPr>
            <w:tcW w:type="dxa" w:w="1872"/>
          </w:tcPr>
          <w:p>
            <w:r/>
            <w:r>
              <w:rPr>
                <w:sz w:val="17"/>
              </w:rPr>
              <w:t>R1 §1</w:t>
            </w:r>
          </w:p>
        </w:tc>
        <w:tc>
          <w:tcPr>
            <w:tcW w:type="dxa" w:w="4752"/>
          </w:tcPr>
          <w:p>
            <w:r/>
            <w:r>
              <w:rPr>
                <w:sz w:val="17"/>
              </w:rPr>
              <w:t>Not the EL's defined term.</w:t>
            </w:r>
          </w:p>
        </w:tc>
        <w:tc>
          <w:tcPr>
            <w:tcW w:type="dxa" w:w="1512"/>
          </w:tcPr>
          <w:p>
            <w:r/>
            <w:r>
              <w:rPr>
                <w:sz w:val="17"/>
              </w:rPr>
              <w:t>—</w:t>
            </w:r>
          </w:p>
        </w:tc>
        <w:tc>
          <w:tcPr>
            <w:tcW w:type="dxa" w:w="2448"/>
          </w:tcPr>
          <w:p>
            <w:r/>
            <w:r>
              <w:rPr>
                <w:sz w:val="17"/>
              </w:rPr>
              <w:t>Conform.</w:t>
            </w:r>
          </w:p>
        </w:tc>
      </w:tr>
      <w:tr>
        <w:tc>
          <w:tcPr>
            <w:tcW w:type="dxa" w:w="576"/>
          </w:tcPr>
          <w:p>
            <w:r/>
            <w:r>
              <w:rPr>
                <w:sz w:val="17"/>
              </w:rPr>
              <w:t>L-6</w:t>
            </w:r>
          </w:p>
        </w:tc>
        <w:tc>
          <w:tcPr>
            <w:tcW w:type="dxa" w:w="936"/>
            <w:shd w:val="clear" w:color="auto" w:fill="D9EAD3"/>
          </w:tcPr>
          <w:p>
            <w:r/>
            <w:r>
              <w:rPr>
                <w:b/>
                <w:sz w:val="17"/>
              </w:rPr>
              <w:t>LOW</w:t>
            </w:r>
          </w:p>
        </w:tc>
        <w:tc>
          <w:tcPr>
            <w:tcW w:type="dxa" w:w="1728"/>
          </w:tcPr>
          <w:p>
            <w:r/>
            <w:r>
              <w:rPr>
                <w:sz w:val="17"/>
              </w:rPr>
              <w:t>Plaintiff counts</w:t>
            </w:r>
          </w:p>
        </w:tc>
        <w:tc>
          <w:tcPr>
            <w:tcW w:type="dxa" w:w="1872"/>
          </w:tcPr>
          <w:p>
            <w:r/>
            <w:r>
              <w:rPr>
                <w:sz w:val="17"/>
              </w:rPr>
              <w:t>EL §1; MP §§1, 2.1, 2.2</w:t>
            </w:r>
          </w:p>
        </w:tc>
        <w:tc>
          <w:tcPr>
            <w:tcW w:type="dxa" w:w="4752"/>
          </w:tcPr>
          <w:p>
            <w:r/>
            <w:r>
              <w:rPr>
                <w:sz w:val="17"/>
              </w:rPr>
              <w:t>EL: 43 + 7 across "the litigation". MP: 43 + 7 in the MDL plus 5 state-court plaintiffs (55 in total). The incidents injured 7 + 4 = 11 workers, so the 43 individual plaintiffs presumably include derivative claimants. This is not explained.</w:t>
            </w:r>
          </w:p>
        </w:tc>
        <w:tc>
          <w:tcPr>
            <w:tcW w:type="dxa" w:w="1512"/>
          </w:tcPr>
          <w:p>
            <w:r/>
            <w:r>
              <w:rPr>
                <w:sz w:val="17"/>
              </w:rPr>
              <w:t>—</w:t>
            </w:r>
          </w:p>
        </w:tc>
        <w:tc>
          <w:tcPr>
            <w:tcW w:type="dxa" w:w="2448"/>
          </w:tcPr>
          <w:p>
            <w:r/>
            <w:r>
              <w:rPr>
                <w:sz w:val="17"/>
              </w:rPr>
              <w:t>Confirm the plaintiff roster; it affects the success fee and settlement tiers.</w:t>
            </w:r>
          </w:p>
        </w:tc>
      </w:tr>
      <w:tr>
        <w:tc>
          <w:tcPr>
            <w:tcW w:type="dxa" w:w="576"/>
          </w:tcPr>
          <w:p>
            <w:r/>
            <w:r>
              <w:rPr>
                <w:sz w:val="17"/>
              </w:rPr>
              <w:t>L-7</w:t>
            </w:r>
          </w:p>
        </w:tc>
        <w:tc>
          <w:tcPr>
            <w:tcW w:type="dxa" w:w="936"/>
            <w:shd w:val="clear" w:color="auto" w:fill="D9EAD3"/>
          </w:tcPr>
          <w:p>
            <w:r/>
            <w:r>
              <w:rPr>
                <w:b/>
                <w:sz w:val="17"/>
              </w:rPr>
              <w:t>LOW</w:t>
            </w:r>
          </w:p>
        </w:tc>
        <w:tc>
          <w:tcPr>
            <w:tcW w:type="dxa" w:w="1728"/>
          </w:tcPr>
          <w:p>
            <w:r/>
            <w:r>
              <w:rPr>
                <w:sz w:val="17"/>
              </w:rPr>
              <w:t>Giles email domain</w:t>
            </w:r>
          </w:p>
        </w:tc>
        <w:tc>
          <w:tcPr>
            <w:tcW w:type="dxa" w:w="1872"/>
          </w:tcPr>
          <w:p>
            <w:r/>
            <w:r>
              <w:rPr>
                <w:sz w:val="17"/>
              </w:rPr>
              <w:t>EML; MP App. A</w:t>
            </w:r>
          </w:p>
        </w:tc>
        <w:tc>
          <w:tcPr>
            <w:tcW w:type="dxa" w:w="4752"/>
          </w:tcPr>
          <w:p>
            <w:r/>
            <w:r>
              <w:rPr>
                <w:sz w:val="17"/>
              </w:rPr>
              <w:t>rgiles@pinnacleindustrial.com vs rgiles@pinnacleind.com.</w:t>
            </w:r>
          </w:p>
        </w:tc>
        <w:tc>
          <w:tcPr>
            <w:tcW w:type="dxa" w:w="1512"/>
          </w:tcPr>
          <w:p>
            <w:r/>
            <w:r>
              <w:rPr>
                <w:sz w:val="17"/>
              </w:rPr>
              <w:t>—</w:t>
            </w:r>
          </w:p>
        </w:tc>
        <w:tc>
          <w:tcPr>
            <w:tcW w:type="dxa" w:w="2448"/>
          </w:tcPr>
          <w:p>
            <w:r/>
            <w:r>
              <w:rPr>
                <w:sz w:val="17"/>
              </w:rPr>
              <w:t>Verify for notices.</w:t>
            </w:r>
          </w:p>
        </w:tc>
      </w:tr>
      <w:tr>
        <w:tc>
          <w:tcPr>
            <w:tcW w:type="dxa" w:w="576"/>
          </w:tcPr>
          <w:p>
            <w:r/>
            <w:r>
              <w:rPr>
                <w:sz w:val="17"/>
              </w:rPr>
              <w:t>L-8</w:t>
            </w:r>
          </w:p>
        </w:tc>
        <w:tc>
          <w:tcPr>
            <w:tcW w:type="dxa" w:w="936"/>
            <w:shd w:val="clear" w:color="auto" w:fill="D9EAD3"/>
          </w:tcPr>
          <w:p>
            <w:r/>
            <w:r>
              <w:rPr>
                <w:b/>
                <w:sz w:val="17"/>
              </w:rPr>
              <w:t>LOW</w:t>
            </w:r>
          </w:p>
        </w:tc>
        <w:tc>
          <w:tcPr>
            <w:tcW w:type="dxa" w:w="1728"/>
          </w:tcPr>
          <w:p>
            <w:r/>
            <w:r>
              <w:rPr>
                <w:sz w:val="17"/>
              </w:rPr>
              <w:t>Work-stream leads in XLS</w:t>
            </w:r>
          </w:p>
        </w:tc>
        <w:tc>
          <w:tcPr>
            <w:tcW w:type="dxa" w:w="1872"/>
          </w:tcPr>
          <w:p>
            <w:r/>
            <w:r>
              <w:rPr>
                <w:sz w:val="17"/>
              </w:rPr>
              <w:t>XLS vs MP §§3.2, 3.5, 3.6</w:t>
            </w:r>
          </w:p>
        </w:tc>
        <w:tc>
          <w:tcPr>
            <w:tcW w:type="dxa" w:w="4752"/>
          </w:tcPr>
          <w:p>
            <w:r/>
            <w:r>
              <w:rPr>
                <w:sz w:val="17"/>
              </w:rPr>
              <w:t>XLS: WS-2 led by Voss and Sinclair; WS-5 overseen by Layton; WS-6 led by junior associates and Oduya. MP: Sinclair leads WS-2 and WS-6; WS-5 is Marchetti with a junior associate.</w:t>
            </w:r>
          </w:p>
        </w:tc>
        <w:tc>
          <w:tcPr>
            <w:tcW w:type="dxa" w:w="1512"/>
          </w:tcPr>
          <w:p>
            <w:r/>
            <w:r>
              <w:rPr>
                <w:sz w:val="17"/>
              </w:rPr>
              <w:t>MP</w:t>
            </w:r>
          </w:p>
        </w:tc>
        <w:tc>
          <w:tcPr>
            <w:tcW w:type="dxa" w:w="2448"/>
          </w:tcPr>
          <w:p>
            <w:r/>
            <w:r>
              <w:rPr>
                <w:sz w:val="17"/>
              </w:rPr>
              <w:t>Conform the XLS.</w:t>
            </w:r>
          </w:p>
        </w:tc>
      </w:tr>
      <w:tr>
        <w:tc>
          <w:tcPr>
            <w:tcW w:type="dxa" w:w="576"/>
          </w:tcPr>
          <w:p>
            <w:r/>
            <w:r>
              <w:rPr>
                <w:sz w:val="17"/>
              </w:rPr>
              <w:t>L-9</w:t>
            </w:r>
          </w:p>
        </w:tc>
        <w:tc>
          <w:tcPr>
            <w:tcW w:type="dxa" w:w="936"/>
            <w:shd w:val="clear" w:color="auto" w:fill="D9EAD3"/>
          </w:tcPr>
          <w:p>
            <w:r/>
            <w:r>
              <w:rPr>
                <w:b/>
                <w:sz w:val="17"/>
              </w:rPr>
              <w:t>LOW</w:t>
            </w:r>
          </w:p>
        </w:tc>
        <w:tc>
          <w:tcPr>
            <w:tcW w:type="dxa" w:w="1728"/>
          </w:tcPr>
          <w:p>
            <w:r/>
            <w:r>
              <w:rPr>
                <w:sz w:val="17"/>
              </w:rPr>
              <w:t>Checkpoint report contents</w:t>
            </w:r>
          </w:p>
        </w:tc>
        <w:tc>
          <w:tcPr>
            <w:tcW w:type="dxa" w:w="1872"/>
          </w:tcPr>
          <w:p>
            <w:r/>
            <w:r>
              <w:rPr>
                <w:sz w:val="17"/>
              </w:rPr>
              <w:t>EL §3.4; MP §7.4; OCG §4.2(c)</w:t>
            </w:r>
          </w:p>
        </w:tc>
        <w:tc>
          <w:tcPr>
            <w:tcW w:type="dxa" w:w="4752"/>
          </w:tcPr>
          <w:p>
            <w:r/>
            <w:r>
              <w:rPr>
                <w:sz w:val="17"/>
              </w:rPr>
              <w:t>The OCGs also require a written explanation of any work-stream variance over 10%; the EL and MP omit it.</w:t>
            </w:r>
          </w:p>
        </w:tc>
        <w:tc>
          <w:tcPr>
            <w:tcW w:type="dxa" w:w="1512"/>
          </w:tcPr>
          <w:p>
            <w:r/>
            <w:r>
              <w:rPr>
                <w:sz w:val="17"/>
              </w:rPr>
              <w:t>OCG (supplements)</w:t>
            </w:r>
          </w:p>
        </w:tc>
        <w:tc>
          <w:tcPr>
            <w:tcW w:type="dxa" w:w="2448"/>
          </w:tcPr>
          <w:p>
            <w:r/>
            <w:r>
              <w:rPr>
                <w:sz w:val="17"/>
              </w:rPr>
              <w:t>Add to the report template.</w:t>
            </w:r>
          </w:p>
        </w:tc>
      </w:tr>
      <w:tr>
        <w:tc>
          <w:tcPr>
            <w:tcW w:type="dxa" w:w="576"/>
          </w:tcPr>
          <w:p>
            <w:r/>
            <w:r>
              <w:rPr>
                <w:sz w:val="17"/>
              </w:rPr>
              <w:t>L-10</w:t>
            </w:r>
          </w:p>
        </w:tc>
        <w:tc>
          <w:tcPr>
            <w:tcW w:type="dxa" w:w="936"/>
            <w:shd w:val="clear" w:color="auto" w:fill="D9EAD3"/>
          </w:tcPr>
          <w:p>
            <w:r/>
            <w:r>
              <w:rPr>
                <w:b/>
                <w:sz w:val="17"/>
              </w:rPr>
              <w:t>LOW</w:t>
            </w:r>
          </w:p>
        </w:tc>
        <w:tc>
          <w:tcPr>
            <w:tcW w:type="dxa" w:w="1728"/>
          </w:tcPr>
          <w:p>
            <w:r/>
            <w:r>
              <w:rPr>
                <w:sz w:val="17"/>
              </w:rPr>
              <w:t>New-expert procedure details</w:t>
            </w:r>
          </w:p>
        </w:tc>
        <w:tc>
          <w:tcPr>
            <w:tcW w:type="dxa" w:w="1872"/>
          </w:tcPr>
          <w:p>
            <w:r/>
            <w:r>
              <w:rPr>
                <w:sz w:val="17"/>
              </w:rPr>
              <w:t>EL §4.2; MP §8.4; OCG §5.3</w:t>
            </w:r>
          </w:p>
        </w:tc>
        <w:tc>
          <w:tcPr>
            <w:tcW w:type="dxa" w:w="4752"/>
          </w:tcPr>
          <w:p>
            <w:r/>
            <w:r>
              <w:rPr>
                <w:sz w:val="17"/>
              </w:rPr>
              <w:t>The OCGs add 15 business days' advance notice, a CV, and certification of expert invoices.</w:t>
            </w:r>
          </w:p>
        </w:tc>
        <w:tc>
          <w:tcPr>
            <w:tcW w:type="dxa" w:w="1512"/>
          </w:tcPr>
          <w:p>
            <w:r/>
            <w:r>
              <w:rPr>
                <w:sz w:val="17"/>
              </w:rPr>
              <w:t>OCG (supplements)</w:t>
            </w:r>
          </w:p>
        </w:tc>
        <w:tc>
          <w:tcPr>
            <w:tcW w:type="dxa" w:w="2448"/>
          </w:tcPr>
          <w:p>
            <w:r/>
            <w:r>
              <w:rPr>
                <w:sz w:val="17"/>
              </w:rPr>
              <w:t>Add to the WS-3 protocol.</w:t>
            </w:r>
          </w:p>
        </w:tc>
      </w:tr>
      <w:tr>
        <w:tc>
          <w:tcPr>
            <w:tcW w:type="dxa" w:w="576"/>
          </w:tcPr>
          <w:p>
            <w:r/>
            <w:r>
              <w:rPr>
                <w:sz w:val="17"/>
              </w:rPr>
              <w:t>L-11</w:t>
            </w:r>
          </w:p>
        </w:tc>
        <w:tc>
          <w:tcPr>
            <w:tcW w:type="dxa" w:w="936"/>
            <w:shd w:val="clear" w:color="auto" w:fill="D9EAD3"/>
          </w:tcPr>
          <w:p>
            <w:r/>
            <w:r>
              <w:rPr>
                <w:b/>
                <w:sz w:val="17"/>
              </w:rPr>
              <w:t>LOW</w:t>
            </w:r>
          </w:p>
        </w:tc>
        <w:tc>
          <w:tcPr>
            <w:tcW w:type="dxa" w:w="1728"/>
          </w:tcPr>
          <w:p>
            <w:r/>
            <w:r>
              <w:rPr>
                <w:sz w:val="17"/>
              </w:rPr>
              <w:t>Monthly report horizon</w:t>
            </w:r>
          </w:p>
        </w:tc>
        <w:tc>
          <w:tcPr>
            <w:tcW w:type="dxa" w:w="1872"/>
          </w:tcPr>
          <w:p>
            <w:r/>
            <w:r>
              <w:rPr>
                <w:sz w:val="17"/>
              </w:rPr>
              <w:t>MP §8.2(e); OCG §7.1(b)</w:t>
            </w:r>
          </w:p>
        </w:tc>
        <w:tc>
          <w:tcPr>
            <w:tcW w:type="dxa" w:w="4752"/>
          </w:tcPr>
          <w:p>
            <w:r/>
            <w:r>
              <w:rPr>
                <w:sz w:val="17"/>
              </w:rPr>
              <w:t>The MP covers deadlines 30–60 days out; the OCGs require 30, 60 and 90 days.</w:t>
            </w:r>
          </w:p>
        </w:tc>
        <w:tc>
          <w:tcPr>
            <w:tcW w:type="dxa" w:w="1512"/>
          </w:tcPr>
          <w:p>
            <w:r/>
            <w:r>
              <w:rPr>
                <w:sz w:val="17"/>
              </w:rPr>
              <w:t>OCG</w:t>
            </w:r>
          </w:p>
        </w:tc>
        <w:tc>
          <w:tcPr>
            <w:tcW w:type="dxa" w:w="2448"/>
          </w:tcPr>
          <w:p>
            <w:r/>
            <w:r>
              <w:rPr>
                <w:sz w:val="17"/>
              </w:rPr>
              <w:t>Conform.</w:t>
            </w:r>
          </w:p>
        </w:tc>
      </w:tr>
      <w:tr>
        <w:tc>
          <w:tcPr>
            <w:tcW w:type="dxa" w:w="576"/>
          </w:tcPr>
          <w:p>
            <w:r/>
            <w:r>
              <w:rPr>
                <w:sz w:val="17"/>
              </w:rPr>
              <w:t>L-12</w:t>
            </w:r>
          </w:p>
        </w:tc>
        <w:tc>
          <w:tcPr>
            <w:tcW w:type="dxa" w:w="936"/>
            <w:shd w:val="clear" w:color="auto" w:fill="D9EAD3"/>
          </w:tcPr>
          <w:p>
            <w:r/>
            <w:r>
              <w:rPr>
                <w:b/>
                <w:sz w:val="17"/>
              </w:rPr>
              <w:t>LOW</w:t>
            </w:r>
          </w:p>
        </w:tc>
        <w:tc>
          <w:tcPr>
            <w:tcW w:type="dxa" w:w="1728"/>
          </w:tcPr>
          <w:p>
            <w:r/>
            <w:r>
              <w:rPr>
                <w:sz w:val="17"/>
              </w:rPr>
              <w:t>Mediator approval delegation</w:t>
            </w:r>
          </w:p>
        </w:tc>
        <w:tc>
          <w:tcPr>
            <w:tcW w:type="dxa" w:w="1872"/>
          </w:tcPr>
          <w:p>
            <w:r/>
            <w:r>
              <w:rPr>
                <w:sz w:val="17"/>
              </w:rPr>
              <w:t>EL §7; MP §3.7; EML Jan. 20</w:t>
            </w:r>
          </w:p>
        </w:tc>
        <w:tc>
          <w:tcPr>
            <w:tcW w:type="dxa" w:w="4752"/>
          </w:tcPr>
          <w:p>
            <w:r/>
            <w:r>
              <w:rPr>
                <w:sz w:val="17"/>
              </w:rPr>
              <w:t>Giles said he could approve "on [Meg's] behalf". The EL and MP require joint approval by the GC and Voss, with no delegation.</w:t>
            </w:r>
          </w:p>
        </w:tc>
        <w:tc>
          <w:tcPr>
            <w:tcW w:type="dxa" w:w="1512"/>
          </w:tcPr>
          <w:p>
            <w:r/>
            <w:r>
              <w:rPr>
                <w:sz w:val="17"/>
              </w:rPr>
              <w:t>EL</w:t>
            </w:r>
          </w:p>
        </w:tc>
        <w:tc>
          <w:tcPr>
            <w:tcW w:type="dxa" w:w="2448"/>
          </w:tcPr>
          <w:p>
            <w:r/>
            <w:r>
              <w:rPr>
                <w:sz w:val="17"/>
              </w:rPr>
              <w:t>Confirm whether delegation was intended.</w:t>
            </w:r>
          </w:p>
        </w:tc>
      </w:tr>
      <w:tr>
        <w:tc>
          <w:tcPr>
            <w:tcW w:type="dxa" w:w="576"/>
          </w:tcPr>
          <w:p>
            <w:r/>
            <w:r>
              <w:rPr>
                <w:sz w:val="17"/>
              </w:rPr>
              <w:t>L-13</w:t>
            </w:r>
          </w:p>
        </w:tc>
        <w:tc>
          <w:tcPr>
            <w:tcW w:type="dxa" w:w="936"/>
            <w:shd w:val="clear" w:color="auto" w:fill="D9EAD3"/>
          </w:tcPr>
          <w:p>
            <w:r/>
            <w:r>
              <w:rPr>
                <w:b/>
                <w:sz w:val="17"/>
              </w:rPr>
              <w:t>LOW</w:t>
            </w:r>
          </w:p>
        </w:tc>
        <w:tc>
          <w:tcPr>
            <w:tcW w:type="dxa" w:w="1728"/>
          </w:tcPr>
          <w:p>
            <w:r/>
            <w:r>
              <w:rPr>
                <w:sz w:val="17"/>
              </w:rPr>
              <w:t>Budget runs only "through conclusion of trial"</w:t>
            </w:r>
          </w:p>
        </w:tc>
        <w:tc>
          <w:tcPr>
            <w:tcW w:type="dxa" w:w="1872"/>
          </w:tcPr>
          <w:p>
            <w:r/>
            <w:r>
              <w:rPr>
                <w:sz w:val="17"/>
              </w:rPr>
              <w:t>EL §3.4; MP §3.1(f); XLS</w:t>
            </w:r>
          </w:p>
        </w:tc>
        <w:tc>
          <w:tcPr>
            <w:tcW w:type="dxa" w:w="4752"/>
          </w:tcPr>
          <w:p>
            <w:r/>
            <w:r>
              <w:rPr>
                <w:sz w:val="17"/>
              </w:rPr>
              <w:t>WS-1 includes post-trial motions, but the AFB runs only to the end of trial. The XLS allots just $140K to the trial month.</w:t>
            </w:r>
          </w:p>
        </w:tc>
        <w:tc>
          <w:tcPr>
            <w:tcW w:type="dxa" w:w="1512"/>
          </w:tcPr>
          <w:p>
            <w:r/>
            <w:r>
              <w:rPr>
                <w:sz w:val="17"/>
              </w:rPr>
              <w:t>EL</w:t>
            </w:r>
          </w:p>
        </w:tc>
        <w:tc>
          <w:tcPr>
            <w:tcW w:type="dxa" w:w="2448"/>
          </w:tcPr>
          <w:p>
            <w:r/>
            <w:r>
              <w:rPr>
                <w:sz w:val="17"/>
              </w:rPr>
              <w:t>Plan a post-trial budget amendment.</w:t>
            </w:r>
          </w:p>
        </w:tc>
      </w:tr>
    </w:tbl>
    <w:p/>
    <w:p>
      <w:pPr>
        <w:pStyle w:val="Heading1"/>
      </w:pPr>
      <w:r>
        <w:t>5. Budget Reconciliation Detail</w:t>
      </w:r>
    </w:p>
    <w:p>
      <w:pPr>
        <w:pStyle w:val="Heading2"/>
      </w:pPr>
      <w:r>
        <w:t>5.1 Fee budget by work stream</w:t>
      </w:r>
    </w:p>
    <w:tbl>
      <w:tblPr>
        <w:tblStyle w:val="TableGrid"/>
        <w:tblW w:type="auto" w:w="0"/>
        <w:tblLook w:firstColumn="1" w:firstRow="1" w:lastColumn="0" w:lastRow="0" w:noHBand="0" w:noVBand="1" w:val="04A0"/>
      </w:tblPr>
      <w:tblGrid>
        <w:gridCol w:w="2304"/>
        <w:gridCol w:w="2304"/>
        <w:gridCol w:w="2304"/>
        <w:gridCol w:w="2304"/>
        <w:gridCol w:w="2304"/>
        <w:gridCol w:w="2304"/>
      </w:tblGrid>
      <w:tr>
        <w:tc>
          <w:tcPr>
            <w:tcW w:type="dxa" w:w="2592"/>
            <w:shd w:val="clear" w:color="auto" w:fill="1F3864"/>
          </w:tcPr>
          <w:p>
            <w:r/>
            <w:r>
              <w:rPr>
                <w:b/>
                <w:color w:val="FFFFFF"/>
                <w:sz w:val="18"/>
              </w:rPr>
              <w:t>Work stream</w:t>
            </w:r>
          </w:p>
        </w:tc>
        <w:tc>
          <w:tcPr>
            <w:tcW w:type="dxa" w:w="1872"/>
            <w:shd w:val="clear" w:color="auto" w:fill="1F3864"/>
          </w:tcPr>
          <w:p>
            <w:r/>
            <w:r>
              <w:rPr>
                <w:b/>
                <w:color w:val="FFFFFF"/>
                <w:sz w:val="18"/>
              </w:rPr>
              <w:t>MP §7.1</w:t>
            </w:r>
          </w:p>
        </w:tc>
        <w:tc>
          <w:tcPr>
            <w:tcW w:type="dxa" w:w="1872"/>
            <w:shd w:val="clear" w:color="auto" w:fill="1F3864"/>
          </w:tcPr>
          <w:p>
            <w:r/>
            <w:r>
              <w:rPr>
                <w:b/>
                <w:color w:val="FFFFFF"/>
                <w:sz w:val="18"/>
              </w:rPr>
              <w:t>XLS Fee tab</w:t>
            </w:r>
          </w:p>
        </w:tc>
        <w:tc>
          <w:tcPr>
            <w:tcW w:type="dxa" w:w="2304"/>
            <w:shd w:val="clear" w:color="auto" w:fill="1F3864"/>
          </w:tcPr>
          <w:p>
            <w:r/>
            <w:r>
              <w:rPr>
                <w:b/>
                <w:color w:val="FFFFFF"/>
                <w:sz w:val="18"/>
              </w:rPr>
              <w:t>XLS Forecast (column sum)</w:t>
            </w:r>
          </w:p>
        </w:tc>
        <w:tc>
          <w:tcPr>
            <w:tcW w:type="dxa" w:w="2304"/>
            <w:shd w:val="clear" w:color="auto" w:fill="1F3864"/>
          </w:tcPr>
          <w:p>
            <w:r/>
            <w:r>
              <w:rPr>
                <w:b/>
                <w:color w:val="FFFFFF"/>
                <w:sz w:val="18"/>
              </w:rPr>
              <w:t>XLS Forecast (stated TOTAL)</w:t>
            </w:r>
          </w:p>
        </w:tc>
        <w:tc>
          <w:tcPr>
            <w:tcW w:type="dxa" w:w="2016"/>
            <w:shd w:val="clear" w:color="auto" w:fill="1F3864"/>
          </w:tcPr>
          <w:p>
            <w:r/>
            <w:r>
              <w:rPr>
                <w:b/>
                <w:color w:val="FFFFFF"/>
                <w:sz w:val="18"/>
              </w:rPr>
              <w:t>Variance MP vs XLS</w:t>
            </w:r>
          </w:p>
        </w:tc>
      </w:tr>
      <w:tr>
        <w:tc>
          <w:tcPr>
            <w:tcW w:type="dxa" w:w="2592"/>
          </w:tcPr>
          <w:p>
            <w:r/>
            <w:r>
              <w:rPr>
                <w:sz w:val="17"/>
              </w:rPr>
              <w:t>WS-1 Federal MDL</w:t>
            </w:r>
          </w:p>
        </w:tc>
        <w:tc>
          <w:tcPr>
            <w:tcW w:type="dxa" w:w="1872"/>
          </w:tcPr>
          <w:p>
            <w:r/>
            <w:r>
              <w:rPr>
                <w:sz w:val="17"/>
              </w:rPr>
              <w:t>$1,850,000</w:t>
            </w:r>
          </w:p>
        </w:tc>
        <w:tc>
          <w:tcPr>
            <w:tcW w:type="dxa" w:w="1872"/>
          </w:tcPr>
          <w:p>
            <w:r/>
            <w:r>
              <w:rPr>
                <w:sz w:val="17"/>
              </w:rPr>
              <w:t>$1,650,000</w:t>
            </w:r>
          </w:p>
        </w:tc>
        <w:tc>
          <w:tcPr>
            <w:tcW w:type="dxa" w:w="2304"/>
          </w:tcPr>
          <w:p>
            <w:r/>
            <w:r>
              <w:rPr>
                <w:sz w:val="17"/>
              </w:rPr>
              <w:t>$1,750,000</w:t>
            </w:r>
          </w:p>
        </w:tc>
        <w:tc>
          <w:tcPr>
            <w:tcW w:type="dxa" w:w="2304"/>
          </w:tcPr>
          <w:p>
            <w:r/>
            <w:r>
              <w:rPr>
                <w:sz w:val="17"/>
              </w:rPr>
              <w:t>$1,650,000</w:t>
            </w:r>
          </w:p>
        </w:tc>
        <w:tc>
          <w:tcPr>
            <w:tcW w:type="dxa" w:w="2016"/>
          </w:tcPr>
          <w:p>
            <w:r/>
            <w:r>
              <w:rPr>
                <w:sz w:val="17"/>
              </w:rPr>
              <w:t>($200,000)</w:t>
            </w:r>
          </w:p>
        </w:tc>
      </w:tr>
      <w:tr>
        <w:tc>
          <w:tcPr>
            <w:tcW w:type="dxa" w:w="2592"/>
          </w:tcPr>
          <w:p>
            <w:r/>
            <w:r>
              <w:rPr>
                <w:sz w:val="17"/>
              </w:rPr>
              <w:t>WS-2 State Court</w:t>
            </w:r>
          </w:p>
        </w:tc>
        <w:tc>
          <w:tcPr>
            <w:tcW w:type="dxa" w:w="1872"/>
          </w:tcPr>
          <w:p>
            <w:r/>
            <w:r>
              <w:rPr>
                <w:sz w:val="17"/>
              </w:rPr>
              <w:t>$475,000</w:t>
            </w:r>
          </w:p>
        </w:tc>
        <w:tc>
          <w:tcPr>
            <w:tcW w:type="dxa" w:w="1872"/>
          </w:tcPr>
          <w:p>
            <w:r/>
            <w:r>
              <w:rPr>
                <w:sz w:val="17"/>
              </w:rPr>
              <w:t>$480,000</w:t>
            </w:r>
          </w:p>
        </w:tc>
        <w:tc>
          <w:tcPr>
            <w:tcW w:type="dxa" w:w="2304"/>
          </w:tcPr>
          <w:p>
            <w:r/>
            <w:r>
              <w:rPr>
                <w:sz w:val="17"/>
              </w:rPr>
              <w:t>$460,000</w:t>
            </w:r>
          </w:p>
        </w:tc>
        <w:tc>
          <w:tcPr>
            <w:tcW w:type="dxa" w:w="2304"/>
          </w:tcPr>
          <w:p>
            <w:r/>
            <w:r>
              <w:rPr>
                <w:sz w:val="17"/>
              </w:rPr>
              <w:t>$480,000</w:t>
            </w:r>
          </w:p>
        </w:tc>
        <w:tc>
          <w:tcPr>
            <w:tcW w:type="dxa" w:w="2016"/>
          </w:tcPr>
          <w:p>
            <w:r/>
            <w:r>
              <w:rPr>
                <w:sz w:val="17"/>
              </w:rPr>
              <w:t>$5,000</w:t>
            </w:r>
          </w:p>
        </w:tc>
      </w:tr>
      <w:tr>
        <w:tc>
          <w:tcPr>
            <w:tcW w:type="dxa" w:w="2592"/>
          </w:tcPr>
          <w:p>
            <w:r/>
            <w:r>
              <w:rPr>
                <w:sz w:val="17"/>
              </w:rPr>
              <w:t>WS-3 Expert Mgmt</w:t>
            </w:r>
          </w:p>
        </w:tc>
        <w:tc>
          <w:tcPr>
            <w:tcW w:type="dxa" w:w="1872"/>
          </w:tcPr>
          <w:p>
            <w:r/>
            <w:r>
              <w:rPr>
                <w:sz w:val="17"/>
              </w:rPr>
              <w:t>$385,000</w:t>
            </w:r>
          </w:p>
        </w:tc>
        <w:tc>
          <w:tcPr>
            <w:tcW w:type="dxa" w:w="1872"/>
          </w:tcPr>
          <w:p>
            <w:r/>
            <w:r>
              <w:rPr>
                <w:sz w:val="17"/>
              </w:rPr>
              <w:t>$385,000</w:t>
            </w:r>
          </w:p>
        </w:tc>
        <w:tc>
          <w:tcPr>
            <w:tcW w:type="dxa" w:w="2304"/>
          </w:tcPr>
          <w:p>
            <w:r/>
            <w:r>
              <w:rPr>
                <w:sz w:val="17"/>
              </w:rPr>
              <w:t>$385,000</w:t>
            </w:r>
          </w:p>
        </w:tc>
        <w:tc>
          <w:tcPr>
            <w:tcW w:type="dxa" w:w="2304"/>
          </w:tcPr>
          <w:p>
            <w:r/>
            <w:r>
              <w:rPr>
                <w:sz w:val="17"/>
              </w:rPr>
              <w:t>$385,000</w:t>
            </w:r>
          </w:p>
        </w:tc>
        <w:tc>
          <w:tcPr>
            <w:tcW w:type="dxa" w:w="2016"/>
          </w:tcPr>
          <w:p>
            <w:r/>
            <w:r>
              <w:rPr>
                <w:sz w:val="17"/>
              </w:rPr>
              <w:t>—</w:t>
            </w:r>
          </w:p>
        </w:tc>
      </w:tr>
      <w:tr>
        <w:tc>
          <w:tcPr>
            <w:tcW w:type="dxa" w:w="2592"/>
          </w:tcPr>
          <w:p>
            <w:r/>
            <w:r>
              <w:rPr>
                <w:sz w:val="17"/>
              </w:rPr>
              <w:t>WS-4 CPSC</w:t>
            </w:r>
          </w:p>
        </w:tc>
        <w:tc>
          <w:tcPr>
            <w:tcW w:type="dxa" w:w="1872"/>
          </w:tcPr>
          <w:p>
            <w:r/>
            <w:r>
              <w:rPr>
                <w:sz w:val="17"/>
              </w:rPr>
              <w:t>$320,000</w:t>
            </w:r>
          </w:p>
        </w:tc>
        <w:tc>
          <w:tcPr>
            <w:tcW w:type="dxa" w:w="1872"/>
          </w:tcPr>
          <w:p>
            <w:r/>
            <w:r>
              <w:rPr>
                <w:sz w:val="17"/>
              </w:rPr>
              <w:t>$320,000</w:t>
            </w:r>
          </w:p>
        </w:tc>
        <w:tc>
          <w:tcPr>
            <w:tcW w:type="dxa" w:w="2304"/>
          </w:tcPr>
          <w:p>
            <w:r/>
            <w:r>
              <w:rPr>
                <w:sz w:val="17"/>
              </w:rPr>
              <w:t>$300,000</w:t>
            </w:r>
          </w:p>
        </w:tc>
        <w:tc>
          <w:tcPr>
            <w:tcW w:type="dxa" w:w="2304"/>
          </w:tcPr>
          <w:p>
            <w:r/>
            <w:r>
              <w:rPr>
                <w:sz w:val="17"/>
              </w:rPr>
              <w:t>$320,000</w:t>
            </w:r>
          </w:p>
        </w:tc>
        <w:tc>
          <w:tcPr>
            <w:tcW w:type="dxa" w:w="2016"/>
          </w:tcPr>
          <w:p>
            <w:r/>
            <w:r>
              <w:rPr>
                <w:sz w:val="17"/>
              </w:rPr>
              <w:t>—</w:t>
            </w:r>
          </w:p>
        </w:tc>
      </w:tr>
      <w:tr>
        <w:tc>
          <w:tcPr>
            <w:tcW w:type="dxa" w:w="2592"/>
          </w:tcPr>
          <w:p>
            <w:r/>
            <w:r>
              <w:rPr>
                <w:sz w:val="17"/>
              </w:rPr>
              <w:t>WS-5 Insurance</w:t>
            </w:r>
          </w:p>
        </w:tc>
        <w:tc>
          <w:tcPr>
            <w:tcW w:type="dxa" w:w="1872"/>
          </w:tcPr>
          <w:p>
            <w:r/>
            <w:r>
              <w:rPr>
                <w:sz w:val="17"/>
              </w:rPr>
              <w:t>$95,000</w:t>
            </w:r>
          </w:p>
        </w:tc>
        <w:tc>
          <w:tcPr>
            <w:tcW w:type="dxa" w:w="1872"/>
          </w:tcPr>
          <w:p>
            <w:r/>
            <w:r>
              <w:rPr>
                <w:sz w:val="17"/>
              </w:rPr>
              <w:t>$95,000</w:t>
            </w:r>
          </w:p>
        </w:tc>
        <w:tc>
          <w:tcPr>
            <w:tcW w:type="dxa" w:w="2304"/>
          </w:tcPr>
          <w:p>
            <w:r/>
            <w:r>
              <w:rPr>
                <w:sz w:val="17"/>
              </w:rPr>
              <w:t>$95,000</w:t>
            </w:r>
          </w:p>
        </w:tc>
        <w:tc>
          <w:tcPr>
            <w:tcW w:type="dxa" w:w="2304"/>
          </w:tcPr>
          <w:p>
            <w:r/>
            <w:r>
              <w:rPr>
                <w:sz w:val="17"/>
              </w:rPr>
              <w:t>$95,000</w:t>
            </w:r>
          </w:p>
        </w:tc>
        <w:tc>
          <w:tcPr>
            <w:tcW w:type="dxa" w:w="2016"/>
          </w:tcPr>
          <w:p>
            <w:r/>
            <w:r>
              <w:rPr>
                <w:sz w:val="17"/>
              </w:rPr>
              <w:t>—</w:t>
            </w:r>
          </w:p>
        </w:tc>
      </w:tr>
      <w:tr>
        <w:tc>
          <w:tcPr>
            <w:tcW w:type="dxa" w:w="2592"/>
          </w:tcPr>
          <w:p>
            <w:r/>
            <w:r>
              <w:rPr>
                <w:sz w:val="17"/>
              </w:rPr>
              <w:t>WS-6 E-Discovery</w:t>
            </w:r>
          </w:p>
        </w:tc>
        <w:tc>
          <w:tcPr>
            <w:tcW w:type="dxa" w:w="1872"/>
          </w:tcPr>
          <w:p>
            <w:r/>
            <w:r>
              <w:rPr>
                <w:sz w:val="17"/>
              </w:rPr>
              <w:t>$420,000</w:t>
            </w:r>
          </w:p>
        </w:tc>
        <w:tc>
          <w:tcPr>
            <w:tcW w:type="dxa" w:w="1872"/>
          </w:tcPr>
          <w:p>
            <w:r/>
            <w:r>
              <w:rPr>
                <w:sz w:val="17"/>
              </w:rPr>
              <w:t>$870,000</w:t>
            </w:r>
          </w:p>
        </w:tc>
        <w:tc>
          <w:tcPr>
            <w:tcW w:type="dxa" w:w="2304"/>
          </w:tcPr>
          <w:p>
            <w:r/>
            <w:r>
              <w:rPr>
                <w:sz w:val="17"/>
              </w:rPr>
              <w:t>$770,000</w:t>
            </w:r>
          </w:p>
        </w:tc>
        <w:tc>
          <w:tcPr>
            <w:tcW w:type="dxa" w:w="2304"/>
          </w:tcPr>
          <w:p>
            <w:r/>
            <w:r>
              <w:rPr>
                <w:sz w:val="17"/>
              </w:rPr>
              <w:t>$870,000</w:t>
            </w:r>
          </w:p>
        </w:tc>
        <w:tc>
          <w:tcPr>
            <w:tcW w:type="dxa" w:w="2016"/>
          </w:tcPr>
          <w:p>
            <w:r/>
            <w:r>
              <w:rPr>
                <w:sz w:val="17"/>
              </w:rPr>
              <w:t>$450,000</w:t>
            </w:r>
          </w:p>
        </w:tc>
      </w:tr>
      <w:tr>
        <w:tc>
          <w:tcPr>
            <w:tcW w:type="dxa" w:w="2592"/>
          </w:tcPr>
          <w:p>
            <w:r/>
            <w:r>
              <w:rPr>
                <w:sz w:val="17"/>
              </w:rPr>
              <w:t>WS-7 Settlement</w:t>
            </w:r>
          </w:p>
        </w:tc>
        <w:tc>
          <w:tcPr>
            <w:tcW w:type="dxa" w:w="1872"/>
          </w:tcPr>
          <w:p>
            <w:r/>
            <w:r>
              <w:rPr>
                <w:sz w:val="17"/>
              </w:rPr>
              <w:t>$345,000</w:t>
            </w:r>
          </w:p>
        </w:tc>
        <w:tc>
          <w:tcPr>
            <w:tcW w:type="dxa" w:w="1872"/>
          </w:tcPr>
          <w:p>
            <w:r/>
            <w:r>
              <w:rPr>
                <w:sz w:val="17"/>
              </w:rPr>
              <w:t>$450,000</w:t>
            </w:r>
          </w:p>
        </w:tc>
        <w:tc>
          <w:tcPr>
            <w:tcW w:type="dxa" w:w="2304"/>
          </w:tcPr>
          <w:p>
            <w:r/>
            <w:r>
              <w:rPr>
                <w:sz w:val="17"/>
              </w:rPr>
              <w:t>$490,000</w:t>
            </w:r>
          </w:p>
        </w:tc>
        <w:tc>
          <w:tcPr>
            <w:tcW w:type="dxa" w:w="2304"/>
          </w:tcPr>
          <w:p>
            <w:r/>
            <w:r>
              <w:rPr>
                <w:sz w:val="17"/>
              </w:rPr>
              <w:t>$450,000</w:t>
            </w:r>
          </w:p>
        </w:tc>
        <w:tc>
          <w:tcPr>
            <w:tcW w:type="dxa" w:w="2016"/>
          </w:tcPr>
          <w:p>
            <w:r/>
            <w:r>
              <w:rPr>
                <w:sz w:val="17"/>
              </w:rPr>
              <w:t>$105,000</w:t>
            </w:r>
          </w:p>
        </w:tc>
      </w:tr>
      <w:tr>
        <w:tc>
          <w:tcPr>
            <w:tcW w:type="dxa" w:w="2592"/>
          </w:tcPr>
          <w:p>
            <w:r/>
            <w:r>
              <w:rPr>
                <w:sz w:val="17"/>
              </w:rPr>
              <w:t>Contingency</w:t>
            </w:r>
          </w:p>
        </w:tc>
        <w:tc>
          <w:tcPr>
            <w:tcW w:type="dxa" w:w="1872"/>
          </w:tcPr>
          <w:p>
            <w:r/>
            <w:r>
              <w:rPr>
                <w:sz w:val="17"/>
              </w:rPr>
              <w:t>$360,000</w:t>
            </w:r>
          </w:p>
        </w:tc>
        <w:tc>
          <w:tcPr>
            <w:tcW w:type="dxa" w:w="1872"/>
          </w:tcPr>
          <w:p>
            <w:r/>
            <w:r>
              <w:rPr>
                <w:sz w:val="17"/>
              </w:rPr>
              <w:t>—</w:t>
            </w:r>
          </w:p>
        </w:tc>
        <w:tc>
          <w:tcPr>
            <w:tcW w:type="dxa" w:w="2304"/>
          </w:tcPr>
          <w:p>
            <w:r/>
            <w:r>
              <w:rPr>
                <w:sz w:val="17"/>
              </w:rPr>
              <w:t>—</w:t>
            </w:r>
          </w:p>
        </w:tc>
        <w:tc>
          <w:tcPr>
            <w:tcW w:type="dxa" w:w="2304"/>
          </w:tcPr>
          <w:p>
            <w:r/>
            <w:r>
              <w:rPr>
                <w:sz w:val="17"/>
              </w:rPr>
              <w:t>—</w:t>
            </w:r>
          </w:p>
        </w:tc>
        <w:tc>
          <w:tcPr>
            <w:tcW w:type="dxa" w:w="2016"/>
          </w:tcPr>
          <w:p>
            <w:r/>
            <w:r>
              <w:rPr>
                <w:sz w:val="17"/>
              </w:rPr>
              <w:t>($360,000)</w:t>
            </w:r>
          </w:p>
        </w:tc>
      </w:tr>
      <w:tr>
        <w:tc>
          <w:tcPr>
            <w:tcW w:type="dxa" w:w="2592"/>
          </w:tcPr>
          <w:p>
            <w:r/>
            <w:r>
              <w:rPr>
                <w:sz w:val="17"/>
              </w:rPr>
              <w:t>Total</w:t>
            </w:r>
          </w:p>
        </w:tc>
        <w:tc>
          <w:tcPr>
            <w:tcW w:type="dxa" w:w="1872"/>
          </w:tcPr>
          <w:p>
            <w:r/>
            <w:r>
              <w:rPr>
                <w:sz w:val="17"/>
              </w:rPr>
              <w:t>$4,250,000</w:t>
            </w:r>
          </w:p>
        </w:tc>
        <w:tc>
          <w:tcPr>
            <w:tcW w:type="dxa" w:w="1872"/>
          </w:tcPr>
          <w:p>
            <w:r/>
            <w:r>
              <w:rPr>
                <w:sz w:val="17"/>
              </w:rPr>
              <w:t>$4,250,000</w:t>
            </w:r>
          </w:p>
        </w:tc>
        <w:tc>
          <w:tcPr>
            <w:tcW w:type="dxa" w:w="2304"/>
          </w:tcPr>
          <w:p>
            <w:r/>
            <w:r>
              <w:rPr>
                <w:sz w:val="17"/>
              </w:rPr>
              <w:t>$4,250,000</w:t>
            </w:r>
          </w:p>
        </w:tc>
        <w:tc>
          <w:tcPr>
            <w:tcW w:type="dxa" w:w="2304"/>
          </w:tcPr>
          <w:p>
            <w:r/>
            <w:r>
              <w:rPr>
                <w:sz w:val="17"/>
              </w:rPr>
              <w:t>$4,250,000</w:t>
            </w:r>
          </w:p>
        </w:tc>
        <w:tc>
          <w:tcPr>
            <w:tcW w:type="dxa" w:w="2016"/>
          </w:tcPr>
          <w:p>
            <w:r/>
            <w:r>
              <w:rPr>
                <w:sz w:val="17"/>
              </w:rPr>
              <w:t>—</w:t>
            </w:r>
          </w:p>
        </w:tc>
      </w:tr>
    </w:tbl>
    <w:p/>
    <w:p>
      <w:pPr>
        <w:pStyle w:val="Heading2"/>
      </w:pPr>
      <w:r>
        <w:t>5.2 Disbursement budget</w:t>
      </w:r>
    </w:p>
    <w:tbl>
      <w:tblPr>
        <w:tblStyle w:val="TableGrid"/>
        <w:tblW w:type="auto" w:w="0"/>
        <w:tblLook w:firstColumn="1" w:firstRow="1" w:lastColumn="0" w:lastRow="0" w:noHBand="0" w:noVBand="1" w:val="04A0"/>
      </w:tblPr>
      <w:tblGrid>
        <w:gridCol w:w="2765"/>
        <w:gridCol w:w="2765"/>
        <w:gridCol w:w="2765"/>
        <w:gridCol w:w="2765"/>
        <w:gridCol w:w="2765"/>
      </w:tblGrid>
      <w:tr>
        <w:tc>
          <w:tcPr>
            <w:tcW w:type="dxa" w:w="2592"/>
            <w:shd w:val="clear" w:color="auto" w:fill="1F3864"/>
          </w:tcPr>
          <w:p>
            <w:r/>
            <w:r>
              <w:rPr>
                <w:b/>
                <w:color w:val="FFFFFF"/>
                <w:sz w:val="18"/>
              </w:rPr>
              <w:t>Category</w:t>
            </w:r>
          </w:p>
        </w:tc>
        <w:tc>
          <w:tcPr>
            <w:tcW w:type="dxa" w:w="2304"/>
            <w:shd w:val="clear" w:color="auto" w:fill="1F3864"/>
          </w:tcPr>
          <w:p>
            <w:r/>
            <w:r>
              <w:rPr>
                <w:b/>
                <w:color w:val="FFFFFF"/>
                <w:sz w:val="18"/>
              </w:rPr>
              <w:t>EL §4.1 / Ex. B</w:t>
            </w:r>
          </w:p>
        </w:tc>
        <w:tc>
          <w:tcPr>
            <w:tcW w:type="dxa" w:w="3312"/>
            <w:shd w:val="clear" w:color="auto" w:fill="1F3864"/>
          </w:tcPr>
          <w:p>
            <w:r/>
            <w:r>
              <w:rPr>
                <w:b/>
                <w:color w:val="FFFFFF"/>
                <w:sz w:val="18"/>
              </w:rPr>
              <w:t>MP §3.3 text</w:t>
            </w:r>
          </w:p>
        </w:tc>
        <w:tc>
          <w:tcPr>
            <w:tcW w:type="dxa" w:w="2304"/>
            <w:shd w:val="clear" w:color="auto" w:fill="1F3864"/>
          </w:tcPr>
          <w:p>
            <w:r/>
            <w:r>
              <w:rPr>
                <w:b/>
                <w:color w:val="FFFFFF"/>
                <w:sz w:val="18"/>
              </w:rPr>
              <w:t>MP §7.2 table</w:t>
            </w:r>
          </w:p>
        </w:tc>
        <w:tc>
          <w:tcPr>
            <w:tcW w:type="dxa" w:w="2880"/>
            <w:shd w:val="clear" w:color="auto" w:fill="1F3864"/>
          </w:tcPr>
          <w:p>
            <w:r/>
            <w:r>
              <w:rPr>
                <w:b/>
                <w:color w:val="FFFFFF"/>
                <w:sz w:val="18"/>
              </w:rPr>
              <w:t>XLS</w:t>
            </w:r>
          </w:p>
        </w:tc>
      </w:tr>
      <w:tr>
        <w:tc>
          <w:tcPr>
            <w:tcW w:type="dxa" w:w="2592"/>
          </w:tcPr>
          <w:p>
            <w:r/>
            <w:r>
              <w:rPr>
                <w:sz w:val="17"/>
              </w:rPr>
              <w:t>Expert witness fees</w:t>
            </w:r>
          </w:p>
        </w:tc>
        <w:tc>
          <w:tcPr>
            <w:tcW w:type="dxa" w:w="2304"/>
          </w:tcPr>
          <w:p>
            <w:r/>
            <w:r>
              <w:rPr>
                <w:sz w:val="17"/>
              </w:rPr>
              <w:t>$780,000</w:t>
            </w:r>
          </w:p>
        </w:tc>
        <w:tc>
          <w:tcPr>
            <w:tcW w:type="dxa" w:w="3312"/>
          </w:tcPr>
          <w:p>
            <w:r/>
            <w:r>
              <w:rPr>
                <w:sz w:val="17"/>
              </w:rPr>
              <w:t>$780,000 ($550K named + $230K reserve)</w:t>
            </w:r>
          </w:p>
        </w:tc>
        <w:tc>
          <w:tcPr>
            <w:tcW w:type="dxa" w:w="2304"/>
          </w:tcPr>
          <w:p>
            <w:r/>
            <w:r>
              <w:rPr>
                <w:sz w:val="17"/>
              </w:rPr>
              <w:t>$760,000</w:t>
            </w:r>
          </w:p>
        </w:tc>
        <w:tc>
          <w:tcPr>
            <w:tcW w:type="dxa" w:w="2880"/>
          </w:tcPr>
          <w:p>
            <w:r/>
            <w:r>
              <w:rPr>
                <w:sz w:val="17"/>
              </w:rPr>
              <w:t>$760,000 ($550K + $210K reserve)</w:t>
            </w:r>
          </w:p>
        </w:tc>
      </w:tr>
      <w:tr>
        <w:tc>
          <w:tcPr>
            <w:tcW w:type="dxa" w:w="2592"/>
          </w:tcPr>
          <w:p>
            <w:r/>
            <w:r>
              <w:rPr>
                <w:sz w:val="17"/>
              </w:rPr>
              <w:t>E-discovery (Precept)</w:t>
            </w:r>
          </w:p>
        </w:tc>
        <w:tc>
          <w:tcPr>
            <w:tcW w:type="dxa" w:w="2304"/>
          </w:tcPr>
          <w:p>
            <w:r/>
            <w:r>
              <w:rPr>
                <w:sz w:val="17"/>
              </w:rPr>
              <w:t>$340,000</w:t>
            </w:r>
          </w:p>
        </w:tc>
        <w:tc>
          <w:tcPr>
            <w:tcW w:type="dxa" w:w="3312"/>
          </w:tcPr>
          <w:p>
            <w:r/>
            <w:r>
              <w:rPr>
                <w:sz w:val="17"/>
              </w:rPr>
              <w:t>—</w:t>
            </w:r>
          </w:p>
        </w:tc>
        <w:tc>
          <w:tcPr>
            <w:tcW w:type="dxa" w:w="2304"/>
          </w:tcPr>
          <w:p>
            <w:r/>
            <w:r>
              <w:rPr>
                <w:sz w:val="17"/>
              </w:rPr>
              <w:t>$340,000</w:t>
            </w:r>
          </w:p>
        </w:tc>
        <w:tc>
          <w:tcPr>
            <w:tcW w:type="dxa" w:w="2880"/>
          </w:tcPr>
          <w:p>
            <w:r/>
            <w:r>
              <w:rPr>
                <w:sz w:val="17"/>
              </w:rPr>
              <w:t>$340,000</w:t>
            </w:r>
          </w:p>
        </w:tc>
      </w:tr>
      <w:tr>
        <w:tc>
          <w:tcPr>
            <w:tcW w:type="dxa" w:w="2592"/>
          </w:tcPr>
          <w:p>
            <w:r/>
            <w:r>
              <w:rPr>
                <w:sz w:val="17"/>
              </w:rPr>
              <w:t>Travel and deposition</w:t>
            </w:r>
          </w:p>
        </w:tc>
        <w:tc>
          <w:tcPr>
            <w:tcW w:type="dxa" w:w="2304"/>
          </w:tcPr>
          <w:p>
            <w:r/>
            <w:r>
              <w:rPr>
                <w:sz w:val="17"/>
              </w:rPr>
              <w:t>$155,000</w:t>
            </w:r>
          </w:p>
        </w:tc>
        <w:tc>
          <w:tcPr>
            <w:tcW w:type="dxa" w:w="3312"/>
          </w:tcPr>
          <w:p>
            <w:r/>
            <w:r>
              <w:rPr>
                <w:sz w:val="17"/>
              </w:rPr>
              <w:t>—</w:t>
            </w:r>
          </w:p>
        </w:tc>
        <w:tc>
          <w:tcPr>
            <w:tcW w:type="dxa" w:w="2304"/>
          </w:tcPr>
          <w:p>
            <w:r/>
            <w:r>
              <w:rPr>
                <w:sz w:val="17"/>
              </w:rPr>
              <w:t>$155,000</w:t>
            </w:r>
          </w:p>
        </w:tc>
        <w:tc>
          <w:tcPr>
            <w:tcW w:type="dxa" w:w="2880"/>
          </w:tcPr>
          <w:p>
            <w:r/>
            <w:r>
              <w:rPr>
                <w:sz w:val="17"/>
              </w:rPr>
              <w:t>$155,000</w:t>
            </w:r>
          </w:p>
        </w:tc>
      </w:tr>
      <w:tr>
        <w:tc>
          <w:tcPr>
            <w:tcW w:type="dxa" w:w="2592"/>
          </w:tcPr>
          <w:p>
            <w:r/>
            <w:r>
              <w:rPr>
                <w:sz w:val="17"/>
              </w:rPr>
              <w:t>Court reporting</w:t>
            </w:r>
          </w:p>
        </w:tc>
        <w:tc>
          <w:tcPr>
            <w:tcW w:type="dxa" w:w="2304"/>
          </w:tcPr>
          <w:p>
            <w:r/>
            <w:r>
              <w:rPr>
                <w:sz w:val="17"/>
              </w:rPr>
              <w:t>$75,000</w:t>
            </w:r>
          </w:p>
        </w:tc>
        <w:tc>
          <w:tcPr>
            <w:tcW w:type="dxa" w:w="3312"/>
          </w:tcPr>
          <w:p>
            <w:r/>
            <w:r>
              <w:rPr>
                <w:sz w:val="17"/>
              </w:rPr>
              <w:t>—</w:t>
            </w:r>
          </w:p>
        </w:tc>
        <w:tc>
          <w:tcPr>
            <w:tcW w:type="dxa" w:w="2304"/>
          </w:tcPr>
          <w:p>
            <w:r/>
            <w:r>
              <w:rPr>
                <w:sz w:val="17"/>
              </w:rPr>
              <w:t>$75,000</w:t>
            </w:r>
          </w:p>
        </w:tc>
        <w:tc>
          <w:tcPr>
            <w:tcW w:type="dxa" w:w="2880"/>
          </w:tcPr>
          <w:p>
            <w:r/>
            <w:r>
              <w:rPr>
                <w:sz w:val="17"/>
              </w:rPr>
              <w:t>$75,000</w:t>
            </w:r>
          </w:p>
        </w:tc>
      </w:tr>
      <w:tr>
        <w:tc>
          <w:tcPr>
            <w:tcW w:type="dxa" w:w="2592"/>
          </w:tcPr>
          <w:p>
            <w:r/>
            <w:r>
              <w:rPr>
                <w:sz w:val="17"/>
              </w:rPr>
              <w:t>Contract reviewers</w:t>
            </w:r>
          </w:p>
        </w:tc>
        <w:tc>
          <w:tcPr>
            <w:tcW w:type="dxa" w:w="2304"/>
          </w:tcPr>
          <w:p>
            <w:r/>
            <w:r>
              <w:rPr>
                <w:sz w:val="17"/>
              </w:rPr>
              <w:t>Separate line item (no amount)</w:t>
            </w:r>
          </w:p>
        </w:tc>
        <w:tc>
          <w:tcPr>
            <w:tcW w:type="dxa" w:w="3312"/>
          </w:tcPr>
          <w:p>
            <w:r/>
            <w:r>
              <w:rPr>
                <w:sz w:val="17"/>
              </w:rPr>
              <w:t>—</w:t>
            </w:r>
          </w:p>
        </w:tc>
        <w:tc>
          <w:tcPr>
            <w:tcW w:type="dxa" w:w="2304"/>
          </w:tcPr>
          <w:p>
            <w:r/>
            <w:r>
              <w:rPr>
                <w:sz w:val="17"/>
              </w:rPr>
              <w:t>"Within the disbursement framework" (no amount)</w:t>
            </w:r>
          </w:p>
        </w:tc>
        <w:tc>
          <w:tcPr>
            <w:tcW w:type="dxa" w:w="2880"/>
          </w:tcPr>
          <w:p>
            <w:r/>
            <w:r>
              <w:rPr>
                <w:sz w:val="17"/>
              </w:rPr>
              <w:t>Inside WS-6 fees</w:t>
            </w:r>
          </w:p>
        </w:tc>
      </w:tr>
      <w:tr>
        <w:tc>
          <w:tcPr>
            <w:tcW w:type="dxa" w:w="2592"/>
          </w:tcPr>
          <w:p>
            <w:r/>
            <w:r>
              <w:rPr>
                <w:sz w:val="17"/>
              </w:rPr>
              <w:t>Total</w:t>
            </w:r>
          </w:p>
        </w:tc>
        <w:tc>
          <w:tcPr>
            <w:tcW w:type="dxa" w:w="2304"/>
          </w:tcPr>
          <w:p>
            <w:r/>
            <w:r>
              <w:rPr>
                <w:sz w:val="17"/>
              </w:rPr>
              <w:t>$1,350,000</w:t>
            </w:r>
          </w:p>
        </w:tc>
        <w:tc>
          <w:tcPr>
            <w:tcW w:type="dxa" w:w="3312"/>
          </w:tcPr>
          <w:p>
            <w:r/>
            <w:r>
              <w:rPr>
                <w:sz w:val="17"/>
              </w:rPr>
              <w:t>—</w:t>
            </w:r>
          </w:p>
        </w:tc>
        <w:tc>
          <w:tcPr>
            <w:tcW w:type="dxa" w:w="2304"/>
          </w:tcPr>
          <w:p>
            <w:r/>
            <w:r>
              <w:rPr>
                <w:sz w:val="17"/>
              </w:rPr>
              <w:t>$1,330,000</w:t>
            </w:r>
          </w:p>
        </w:tc>
        <w:tc>
          <w:tcPr>
            <w:tcW w:type="dxa" w:w="2880"/>
          </w:tcPr>
          <w:p>
            <w:r/>
            <w:r>
              <w:rPr>
                <w:sz w:val="17"/>
              </w:rPr>
              <w:t>$1,330,000</w:t>
            </w:r>
          </w:p>
        </w:tc>
      </w:tr>
    </w:tbl>
    <w:p/>
    <w:p>
      <w:pPr>
        <w:pStyle w:val="Heading2"/>
      </w:pPr>
      <w:r>
        <w:t>5.3 Figures checked and consistent</w:t>
      </w:r>
    </w:p>
    <w:p>
      <w:r>
        <w:rPr>
          <w:b w:val="0"/>
          <w:i w:val="0"/>
        </w:rPr>
        <w:t>The following were recomputed and agree across every document that states them: 5% of AFB = $212,500; 50% and 75% checkpoints = $2,125,000 and $3,187,500; monthly cap overage ceiling = $313,500 (10% = $28,500); success fee example = 7.5% × $2.5M = $187,500; wind-down fee example = 2% × $2.5M = $50,000; EL Ex. B total $4.25M + $1.35M = $5.6M; named experts = $550,000; MP §7.1 and XLS fee totals = $4,250,000; XLS monthly totals and cumulative figures (50% reached Oct. 2025 at $2,142,000; 75% reached Feb. 2026 at $3,268,000); WS-4 internal allocation ($120K + $80K + $70K + $50K = $320K).</w:t>
      </w:r>
    </w:p>
    <w:p>
      <w:pPr>
        <w:pStyle w:val="Heading1"/>
      </w:pPr>
      <w:r>
        <w:t>6. Recommended Priority Actions</w:t>
      </w:r>
    </w:p>
    <w:p>
      <w:r>
        <w:rPr>
          <w:b w:val="0"/>
          <w:i w:val="0"/>
        </w:rPr>
        <w:t>1. Get the GC's written re-approval ratifying WS-4 ($320K &gt; $212,500), and confirm no WS-4 fees were billed before it (H-2).</w:t>
      </w:r>
    </w:p>
    <w:p>
      <w:r>
        <w:rPr>
          <w:b w:val="0"/>
          <w:i w:val="0"/>
        </w:rPr>
        <w:t>2. Sign an EL amendment or side letter that (a) defines "aggregate payments" (H-9); (b) lists each OCG provision the EL overrides by section number (H-1, H-5, M-3 to M-5); (c) sets a protocol for non-HX-9000 and tag-along consolidation (H-6, M-12); and (d) states the unit of measure for settlement authority (M-15).</w:t>
      </w:r>
    </w:p>
    <w:p>
      <w:r>
        <w:rPr>
          <w:b w:val="0"/>
          <w:i w:val="0"/>
        </w:rPr>
        <w:t>3. Reissue a conformed MP (Revision 2) that: corrects §7.2 to $780K / $1.35M; fixes the WS-5 carrier-communication language, the mediation chart date, staffing-change rules, the Voss cap, and the termination summaries; adds a contract reviewer budget line; and corrects citations.</w:t>
      </w:r>
    </w:p>
    <w:p>
      <w:r>
        <w:rPr>
          <w:b w:val="0"/>
          <w:i w:val="0"/>
        </w:rPr>
        <w:t>4. Rebuild the budget workbook from MP §7.1 using live formulas, and document any DGC-approved transfers or contingency draws (H-3, H-4, H-7, H-8).</w:t>
      </w:r>
    </w:p>
    <w:p>
      <w:r>
        <w:rPr>
          <w:b w:val="0"/>
          <w:i w:val="0"/>
        </w:rPr>
        <w:t>5. Obtain the fully executed originals of the EL, the original Feb. 10 MP and R1, and file them in the matter records (H-12).</w:t>
      </w:r>
    </w:p>
    <w:p>
      <w:r>
        <w:rPr>
          <w:b w:val="0"/>
          <w:i w:val="0"/>
        </w:rPr>
        <w:t>6. Update the compliance calendar for OCG-only obligations: the 80% cap notice by the 20th, $10K–$25K disbursement notices, 30/60/90-day reporting, diversity metrics, and QBR attendance approval (M-8, M-9, M-13, L-9 to L-11).</w:t>
      </w:r>
    </w:p>
    <w:p>
      <w:r>
        <w:rPr>
          <w:b w:val="0"/>
          <w:i/>
        </w:rPr>
        <w:t>This report reflects only the six documents provided. Where the report says a document "controls", that is our reading of the hierarchy clauses, not a legal opinion on enforceability.</w:t>
      </w:r>
    </w:p>
    <w:sectPr w:rsidR="00FC693F" w:rsidRPr="0006063C" w:rsidSect="00034616">
      <w:pgSz w:w="15840" w:h="12240" w:orient="landscape"/>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