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PRIVILEGED &amp; CONFIDENTIAL — ATTORNEY WORK PRODUCT — PREPARED IN ANTICIPATION OF LITIGATION</w:t>
      </w:r>
    </w:p>
    <w:p>
      <w:pPr>
        <w:jc w:val="center"/>
      </w:pPr>
      <w:r>
        <w:rPr>
          <w:b/>
          <w:i w:val="0"/>
          <w:sz w:val="32"/>
        </w:rPr>
        <w:t>MEMORANDUM</w:t>
      </w:r>
    </w:p>
    <w:tbl>
      <w:tblPr>
        <w:tblStyle w:val="TableGrid"/>
        <w:tblW w:type="auto" w:w="0"/>
        <w:tblLook w:firstColumn="1" w:firstRow="1" w:lastColumn="0" w:lastRow="0" w:noHBand="0" w:noVBand="1" w:val="04A0"/>
      </w:tblPr>
      <w:tblGrid>
        <w:gridCol w:w="4680"/>
        <w:gridCol w:w="4680"/>
      </w:tblGrid>
      <w:tr>
        <w:tc>
          <w:tcPr>
            <w:tcW w:type="dxa" w:w="2304"/>
            <w:shd w:val="clear" w:color="auto" w:fill="D9E2F3"/>
          </w:tcPr>
          <w:p>
            <w:r/>
            <w:r>
              <w:rPr>
                <w:b/>
                <w:sz w:val="19"/>
              </w:rPr>
            </w:r>
          </w:p>
        </w:tc>
        <w:tc>
          <w:tcPr>
            <w:tcW w:type="dxa" w:w="7056"/>
            <w:shd w:val="clear" w:color="auto" w:fill="D9E2F3"/>
          </w:tcPr>
          <w:p>
            <w:r/>
            <w:r>
              <w:rPr>
                <w:b/>
                <w:sz w:val="19"/>
              </w:rPr>
            </w:r>
          </w:p>
        </w:tc>
      </w:tr>
      <w:tr>
        <w:tc>
          <w:tcPr>
            <w:tcW w:type="dxa" w:w="2304"/>
          </w:tcPr>
          <w:p>
            <w:r/>
            <w:r>
              <w:rPr>
                <w:sz w:val="19"/>
              </w:rPr>
              <w:t>TO:</w:t>
            </w:r>
          </w:p>
        </w:tc>
        <w:tc>
          <w:tcPr>
            <w:tcW w:type="dxa" w:w="7056"/>
          </w:tcPr>
          <w:p>
            <w:r/>
            <w:r>
              <w:rPr>
                <w:sz w:val="19"/>
              </w:rPr>
              <w:t>Eastbrook Manufacturing, Inc. Litigation Team</w:t>
            </w:r>
          </w:p>
        </w:tc>
      </w:tr>
      <w:tr>
        <w:tc>
          <w:tcPr>
            <w:tcW w:type="dxa" w:w="2304"/>
          </w:tcPr>
          <w:p>
            <w:r/>
            <w:r>
              <w:rPr>
                <w:sz w:val="19"/>
              </w:rPr>
              <w:t>FROM:</w:t>
            </w:r>
          </w:p>
        </w:tc>
        <w:tc>
          <w:tcPr>
            <w:tcW w:type="dxa" w:w="7056"/>
          </w:tcPr>
          <w:p>
            <w:r/>
            <w:r>
              <w:rPr>
                <w:sz w:val="19"/>
              </w:rPr>
              <w:t>[Drafting Attorney]</w:t>
            </w:r>
          </w:p>
        </w:tc>
      </w:tr>
      <w:tr>
        <w:tc>
          <w:tcPr>
            <w:tcW w:type="dxa" w:w="2304"/>
          </w:tcPr>
          <w:p>
            <w:r/>
            <w:r>
              <w:rPr>
                <w:sz w:val="19"/>
              </w:rPr>
              <w:t>RE:</w:t>
            </w:r>
          </w:p>
        </w:tc>
        <w:tc>
          <w:tcPr>
            <w:tcW w:type="dxa" w:w="7056"/>
          </w:tcPr>
          <w:p>
            <w:r/>
            <w:r>
              <w:rPr>
                <w:sz w:val="19"/>
              </w:rPr>
              <w:t>Crescent Ridge Distribution LLC v. Eastbrook Manufacturing, Inc., No. 1:24-cv-02187 (N.D. Ohio) — Issue Identification and Prioritized Defense Assessment</w:t>
            </w:r>
          </w:p>
        </w:tc>
      </w:tr>
      <w:tr>
        <w:tc>
          <w:tcPr>
            <w:tcW w:type="dxa" w:w="2304"/>
          </w:tcPr>
          <w:p>
            <w:r/>
            <w:r>
              <w:rPr>
                <w:sz w:val="19"/>
              </w:rPr>
              <w:t>DOCUMENTS REVIEWED:</w:t>
            </w:r>
          </w:p>
        </w:tc>
        <w:tc>
          <w:tcPr>
            <w:tcW w:type="dxa" w:w="7056"/>
          </w:tcPr>
          <w:p>
            <w:r/>
            <w:r>
              <w:rPr>
                <w:sz w:val="19"/>
              </w:rPr>
              <w:t>Verified Complaint (June 3, 2024); Exclusive Distribution Agreement (June 1, 2016) ("EDA"); First Amendment (Apr. 14, 2021) ("Amendment"); Tannick email (Sept. 8, 2023); Notice of Termination for Convenience (Oct. 2, 2023); Winslow Falk objection letter (Nov. 15, 2023); Notice of Termination for Cause (Jan. 10, 2024); Notice of Lis Pendens (Summit County, June 3, 2024)</w:t>
            </w:r>
          </w:p>
        </w:tc>
      </w:tr>
    </w:tbl>
    <w:p/>
    <w:p>
      <w:pPr>
        <w:pStyle w:val="Heading1"/>
      </w:pPr>
      <w:r>
        <w:t>I. Bottom Line</w:t>
      </w:r>
    </w:p>
    <w:p>
      <w:r>
        <w:rPr>
          <w:b w:val="0"/>
          <w:i w:val="0"/>
        </w:rPr>
        <w:t>The complaint asks for $62,951,750. Our realistic exposure is much smaller, but the pleading does contain real risk, concentrated in two places. The recommended priorities are:</w:t>
      </w:r>
    </w:p>
    <w:p>
      <w:pPr>
        <w:pStyle w:val="ListBullet"/>
      </w:pPr>
      <w:r>
        <w:rPr>
          <w:b/>
        </w:rPr>
        <w:t>1. Compel arbitration first.</w:t>
      </w:r>
      <w:r>
        <w:t xml:space="preserve"> EDA § 10.1 requires every dispute to go to mediation and then to binding Keystone arbitration in Cleveland. Crescent Ridge skipped both steps. We should move to compel arbitration and stay the case (9 U.S.C. §§ 3–4) before filing anything on the merits. On the dates stated in the lis pendens, the responsive-pleading deadline appears to be July 1, 2024 (21 days after service on June 10, 2024; confirm the actual service date).</w:t>
      </w:r>
    </w:p>
    <w:p>
      <w:pPr>
        <w:pStyle w:val="ListBullet"/>
      </w:pPr>
      <w:r>
        <w:rPr>
          <w:b/>
        </w:rPr>
        <w:t>2. Get the lis pendens removed.</w:t>
      </w:r>
      <w:r>
        <w:t xml:space="preserve"> This is only a claim for money. It does not affect title to or possession of Parcel No. 67-04421, so Ohio's lis pendens statute (O.R.C. § 2703.26) should not apply. The recorded notice also misdescribes the complaint. We should demand withdrawal and, if Crescent Ridge refuses, move to cancel it.</w:t>
      </w:r>
    </w:p>
    <w:p>
      <w:pPr>
        <w:pStyle w:val="ListBullet"/>
      </w:pPr>
      <w:r>
        <w:rPr>
          <w:b/>
        </w:rPr>
        <w:t>3. Attack the inflated damages.</w:t>
      </w:r>
      <w:r>
        <w:t xml:space="preserve"> Crescent Ridge claims $4,836,000 for 77 days of lost commissions. That is more than its entire annual compensation of $4,431,500. Pro rata, the figure is about $934,864. The complaint also seeks both the § 4.2 termination fee and commissions through May 31, 2024, which is double counting. Exemplary damages are counted at the "up to" maximum, and the trade secret, interference and unjust enrichment damages overlap.</w:t>
      </w:r>
    </w:p>
    <w:p>
      <w:pPr>
        <w:pStyle w:val="ListBullet"/>
      </w:pPr>
      <w:r>
        <w:rPr>
          <w:b/>
        </w:rPr>
        <w:t>4. Enforce the contractual limits.</w:t>
      </w:r>
      <w:r>
        <w:t xml:space="preserve"> Crescent Ridge's paragraph 34 misquotes EDA § 9.1. It leaves out the Liability Cap (all liability limited to 12 months of commissions, about $4.43M) and the bar on exemplary damages. Crescent Ridge will try to get around the cap by alleging "willful misconduct" or a breach of § 7.1. That is why the trade secret claims are the real battleground.</w:t>
      </w:r>
    </w:p>
    <w:p>
      <w:pPr>
        <w:pStyle w:val="ListBullet"/>
      </w:pPr>
      <w:r>
        <w:rPr>
          <w:b/>
        </w:rPr>
        <w:t>5. Be realistic about our weak point.</w:t>
      </w:r>
      <w:r>
        <w:t xml:space="preserve"> The January 10, 2024 for-cause notice relied on annualizing two quarters of sales. The EDA definition, EDA § 6.4 and Amendment § 4 all expressly prohibit that method, and actual 2023 sales were $24.3M. The October 2 notice also admitted in writing that the termination fee was owed. We should expect to lose the termination-fee issue unless we can prove the service-deficiency grounds. Any settlement position should account for that.</w:t>
      </w:r>
    </w:p>
    <w:p>
      <w:pPr>
        <w:pStyle w:val="ListBullet"/>
      </w:pPr>
      <w:r>
        <w:rPr>
          <w:b/>
        </w:rPr>
        <w:t>6. Investigate the trade secret facts now.</w:t>
      </w:r>
      <w:r>
        <w:t xml:space="preserve"> Crescent Ridge alleges that on December 22, 2023 Eastbrook downloaded 14,000+ CRM records and that its hires brought over Crescent Ridge material. Eastbrook's exposure depends mainly on facts we do not yet know. We need an immediate litigation hold and a privileged forensic investigation.</w:t>
      </w:r>
    </w:p>
    <w:p>
      <w:pPr>
        <w:pStyle w:val="Heading1"/>
      </w:pPr>
      <w:r>
        <w:t>II. Critical Deadlines and Immediate Actions</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color="auto" w:fill="D9E2F3"/>
          </w:tcPr>
          <w:p>
            <w:r/>
            <w:r>
              <w:rPr>
                <w:b/>
                <w:sz w:val="19"/>
              </w:rPr>
              <w:t>#</w:t>
            </w:r>
          </w:p>
        </w:tc>
        <w:tc>
          <w:tcPr>
            <w:tcW w:type="dxa" w:w="4320"/>
            <w:shd w:val="clear" w:color="auto" w:fill="D9E2F3"/>
          </w:tcPr>
          <w:p>
            <w:r/>
            <w:r>
              <w:rPr>
                <w:b/>
                <w:sz w:val="19"/>
              </w:rPr>
              <w:t>Action</w:t>
            </w:r>
          </w:p>
        </w:tc>
        <w:tc>
          <w:tcPr>
            <w:tcW w:type="dxa" w:w="2160"/>
            <w:shd w:val="clear" w:color="auto" w:fill="D9E2F3"/>
          </w:tcPr>
          <w:p>
            <w:r/>
            <w:r>
              <w:rPr>
                <w:b/>
                <w:sz w:val="19"/>
              </w:rPr>
              <w:t>Timing</w:t>
            </w:r>
          </w:p>
        </w:tc>
        <w:tc>
          <w:tcPr>
            <w:tcW w:type="dxa" w:w="2448"/>
            <w:shd w:val="clear" w:color="auto" w:fill="D9E2F3"/>
          </w:tcPr>
          <w:p>
            <w:r/>
            <w:r>
              <w:rPr>
                <w:b/>
                <w:sz w:val="19"/>
              </w:rPr>
              <w:t>Basis</w:t>
            </w:r>
          </w:p>
        </w:tc>
      </w:tr>
      <w:tr>
        <w:tc>
          <w:tcPr>
            <w:tcW w:type="dxa" w:w="432"/>
          </w:tcPr>
          <w:p>
            <w:r/>
            <w:r>
              <w:rPr>
                <w:sz w:val="19"/>
              </w:rPr>
              <w:t>1</w:t>
            </w:r>
          </w:p>
        </w:tc>
        <w:tc>
          <w:tcPr>
            <w:tcW w:type="dxa" w:w="4320"/>
          </w:tcPr>
          <w:p>
            <w:r/>
            <w:r>
              <w:rPr>
                <w:sz w:val="19"/>
              </w:rPr>
              <w:t>Confirm service date and method; calendar the Rule 12 deadline. Seek a stipulated extension if needed, without waiving arbitration.</w:t>
            </w:r>
          </w:p>
        </w:tc>
        <w:tc>
          <w:tcPr>
            <w:tcW w:type="dxa" w:w="2160"/>
          </w:tcPr>
          <w:p>
            <w:r/>
            <w:r>
              <w:rPr>
                <w:sz w:val="19"/>
              </w:rPr>
              <w:t>Immediately (deadline appears to be July 1, 2024)</w:t>
            </w:r>
          </w:p>
        </w:tc>
        <w:tc>
          <w:tcPr>
            <w:tcW w:type="dxa" w:w="2448"/>
          </w:tcPr>
          <w:p>
            <w:r/>
            <w:r>
              <w:rPr>
                <w:sz w:val="19"/>
              </w:rPr>
              <w:t>FRCP 4(h), 12(a); Lis Pendens (service June 10, 2024)</w:t>
            </w:r>
          </w:p>
        </w:tc>
      </w:tr>
      <w:tr>
        <w:tc>
          <w:tcPr>
            <w:tcW w:type="dxa" w:w="432"/>
          </w:tcPr>
          <w:p>
            <w:r/>
            <w:r>
              <w:rPr>
                <w:sz w:val="19"/>
              </w:rPr>
              <w:t>2</w:t>
            </w:r>
          </w:p>
        </w:tc>
        <w:tc>
          <w:tcPr>
            <w:tcW w:type="dxa" w:w="4320"/>
          </w:tcPr>
          <w:p>
            <w:r/>
            <w:r>
              <w:rPr>
                <w:sz w:val="19"/>
              </w:rPr>
              <w:t>Issue a litigation hold covering Tannick, senior management, IT, sales, and Webb, Ortiz and Hamdi (including personal devices and cloud accounts); preserve VaultSync access credentials and logs.</w:t>
            </w:r>
          </w:p>
        </w:tc>
        <w:tc>
          <w:tcPr>
            <w:tcW w:type="dxa" w:w="2160"/>
          </w:tcPr>
          <w:p>
            <w:r/>
            <w:r>
              <w:rPr>
                <w:sz w:val="19"/>
              </w:rPr>
              <w:t>Immediately</w:t>
            </w:r>
          </w:p>
        </w:tc>
        <w:tc>
          <w:tcPr>
            <w:tcW w:type="dxa" w:w="2448"/>
          </w:tcPr>
          <w:p>
            <w:r/>
            <w:r>
              <w:rPr>
                <w:sz w:val="19"/>
              </w:rPr>
              <w:t>Spoliation risk; complaint ¶¶ 78, 81, 93–95</w:t>
            </w:r>
          </w:p>
        </w:tc>
      </w:tr>
      <w:tr>
        <w:tc>
          <w:tcPr>
            <w:tcW w:type="dxa" w:w="432"/>
          </w:tcPr>
          <w:p>
            <w:r/>
            <w:r>
              <w:rPr>
                <w:sz w:val="19"/>
              </w:rPr>
              <w:t>3</w:t>
            </w:r>
          </w:p>
        </w:tc>
        <w:tc>
          <w:tcPr>
            <w:tcW w:type="dxa" w:w="4320"/>
          </w:tcPr>
          <w:p>
            <w:r/>
            <w:r>
              <w:rPr>
                <w:sz w:val="19"/>
              </w:rPr>
              <w:t>Retain a forensic vendor through counsel. Find out who ran the Dec. 22, 2023 download, under what credentials and at whose direction, and where the data went.</w:t>
            </w:r>
          </w:p>
        </w:tc>
        <w:tc>
          <w:tcPr>
            <w:tcW w:type="dxa" w:w="2160"/>
          </w:tcPr>
          <w:p>
            <w:r/>
            <w:r>
              <w:rPr>
                <w:sz w:val="19"/>
              </w:rPr>
              <w:t>Within 7 days</w:t>
            </w:r>
          </w:p>
        </w:tc>
        <w:tc>
          <w:tcPr>
            <w:tcW w:type="dxa" w:w="2448"/>
          </w:tcPr>
          <w:p>
            <w:r/>
            <w:r>
              <w:rPr>
                <w:sz w:val="19"/>
              </w:rPr>
              <w:t>Complaint ¶¶ 93–95, 102</w:t>
            </w:r>
          </w:p>
        </w:tc>
      </w:tr>
      <w:tr>
        <w:tc>
          <w:tcPr>
            <w:tcW w:type="dxa" w:w="432"/>
          </w:tcPr>
          <w:p>
            <w:r/>
            <w:r>
              <w:rPr>
                <w:sz w:val="19"/>
              </w:rPr>
              <w:t>4</w:t>
            </w:r>
          </w:p>
        </w:tc>
        <w:tc>
          <w:tcPr>
            <w:tcW w:type="dxa" w:w="4320"/>
          </w:tcPr>
          <w:p>
            <w:r/>
            <w:r>
              <w:rPr>
                <w:sz w:val="19"/>
              </w:rPr>
              <w:t>Get sworn interviews and certifications from Webb, Ortiz and Hamdi on any Crescent Ridge material they kept. Collect their Crescent Ridge agreements.</w:t>
            </w:r>
          </w:p>
        </w:tc>
        <w:tc>
          <w:tcPr>
            <w:tcW w:type="dxa" w:w="2160"/>
          </w:tcPr>
          <w:p>
            <w:r/>
            <w:r>
              <w:rPr>
                <w:sz w:val="19"/>
              </w:rPr>
              <w:t>Within 14 days</w:t>
            </w:r>
          </w:p>
        </w:tc>
        <w:tc>
          <w:tcPr>
            <w:tcW w:type="dxa" w:w="2448"/>
          </w:tcPr>
          <w:p>
            <w:r/>
            <w:r>
              <w:rPr>
                <w:sz w:val="19"/>
              </w:rPr>
              <w:t>Complaint ¶¶ 78, 81–83, 103</w:t>
            </w:r>
          </w:p>
        </w:tc>
      </w:tr>
      <w:tr>
        <w:tc>
          <w:tcPr>
            <w:tcW w:type="dxa" w:w="432"/>
          </w:tcPr>
          <w:p>
            <w:r/>
            <w:r>
              <w:rPr>
                <w:sz w:val="19"/>
              </w:rPr>
              <w:t>5</w:t>
            </w:r>
          </w:p>
        </w:tc>
        <w:tc>
          <w:tcPr>
            <w:tcW w:type="dxa" w:w="4320"/>
          </w:tcPr>
          <w:p>
            <w:r/>
            <w:r>
              <w:rPr>
                <w:sz w:val="19"/>
              </w:rPr>
              <w:t>Send Crescent Ridge written notice invoking EDA § 10.1, demand mediation with Keystone, and ask it to stipulate to a stay.</w:t>
            </w:r>
          </w:p>
        </w:tc>
        <w:tc>
          <w:tcPr>
            <w:tcW w:type="dxa" w:w="2160"/>
          </w:tcPr>
          <w:p>
            <w:r/>
            <w:r>
              <w:rPr>
                <w:sz w:val="19"/>
              </w:rPr>
              <w:t>Before the responsive pleading</w:t>
            </w:r>
          </w:p>
        </w:tc>
        <w:tc>
          <w:tcPr>
            <w:tcW w:type="dxa" w:w="2448"/>
          </w:tcPr>
          <w:p>
            <w:r/>
            <w:r>
              <w:rPr>
                <w:sz w:val="19"/>
              </w:rPr>
              <w:t>EDA § 10.1(a)–(b), (d)</w:t>
            </w:r>
          </w:p>
        </w:tc>
      </w:tr>
      <w:tr>
        <w:tc>
          <w:tcPr>
            <w:tcW w:type="dxa" w:w="432"/>
          </w:tcPr>
          <w:p>
            <w:r/>
            <w:r>
              <w:rPr>
                <w:sz w:val="19"/>
              </w:rPr>
              <w:t>6</w:t>
            </w:r>
          </w:p>
        </w:tc>
        <w:tc>
          <w:tcPr>
            <w:tcW w:type="dxa" w:w="4320"/>
          </w:tcPr>
          <w:p>
            <w:r/>
            <w:r>
              <w:rPr>
                <w:sz w:val="19"/>
              </w:rPr>
              <w:t>File a motion to compel arbitration and stay the case. Do not answer, counterclaim, or seek merits discovery first.</w:t>
            </w:r>
          </w:p>
        </w:tc>
        <w:tc>
          <w:tcPr>
            <w:tcW w:type="dxa" w:w="2160"/>
          </w:tcPr>
          <w:p>
            <w:r/>
            <w:r>
              <w:rPr>
                <w:sz w:val="19"/>
              </w:rPr>
              <w:t>By the responsive-pleading deadline</w:t>
            </w:r>
          </w:p>
        </w:tc>
        <w:tc>
          <w:tcPr>
            <w:tcW w:type="dxa" w:w="2448"/>
          </w:tcPr>
          <w:p>
            <w:r/>
            <w:r>
              <w:rPr>
                <w:sz w:val="19"/>
              </w:rPr>
              <w:t>9 U.S.C. §§ 3–4; Smith v. Spizzirri (U.S. May 16, 2024) (a stay is required when a party asks for one); Morgan v. Sundance (2022) (waiver)</w:t>
            </w:r>
          </w:p>
        </w:tc>
      </w:tr>
      <w:tr>
        <w:tc>
          <w:tcPr>
            <w:tcW w:type="dxa" w:w="432"/>
          </w:tcPr>
          <w:p>
            <w:r/>
            <w:r>
              <w:rPr>
                <w:sz w:val="19"/>
              </w:rPr>
              <w:t>7</w:t>
            </w:r>
          </w:p>
        </w:tc>
        <w:tc>
          <w:tcPr>
            <w:tcW w:type="dxa" w:w="4320"/>
          </w:tcPr>
          <w:p>
            <w:r/>
            <w:r>
              <w:rPr>
                <w:sz w:val="19"/>
              </w:rPr>
              <w:t>Send a letter demanding withdrawal of the lis pendens; prepare a motion to cancel it.</w:t>
            </w:r>
          </w:p>
        </w:tc>
        <w:tc>
          <w:tcPr>
            <w:tcW w:type="dxa" w:w="2160"/>
          </w:tcPr>
          <w:p>
            <w:r/>
            <w:r>
              <w:rPr>
                <w:sz w:val="19"/>
              </w:rPr>
              <w:t>Within 7–10 days</w:t>
            </w:r>
          </w:p>
        </w:tc>
        <w:tc>
          <w:tcPr>
            <w:tcW w:type="dxa" w:w="2448"/>
          </w:tcPr>
          <w:p>
            <w:r/>
            <w:r>
              <w:rPr>
                <w:sz w:val="19"/>
              </w:rPr>
              <w:t>O.R.C. § 2703.26</w:t>
            </w:r>
          </w:p>
        </w:tc>
      </w:tr>
      <w:tr>
        <w:tc>
          <w:tcPr>
            <w:tcW w:type="dxa" w:w="432"/>
          </w:tcPr>
          <w:p>
            <w:r/>
            <w:r>
              <w:rPr>
                <w:sz w:val="19"/>
              </w:rPr>
              <w:t>8</w:t>
            </w:r>
          </w:p>
        </w:tc>
        <w:tc>
          <w:tcPr>
            <w:tcW w:type="dxa" w:w="4320"/>
          </w:tcPr>
          <w:p>
            <w:r/>
            <w:r>
              <w:rPr>
                <w:sz w:val="19"/>
              </w:rPr>
              <w:t>Collect and preserve documents supporting the Jan. 10 "customer complaints" and "market coverage" grounds; pull 2023 and Q1 2024 Net Sales and commission ledgers.</w:t>
            </w:r>
          </w:p>
        </w:tc>
        <w:tc>
          <w:tcPr>
            <w:tcW w:type="dxa" w:w="2160"/>
          </w:tcPr>
          <w:p>
            <w:r/>
            <w:r>
              <w:rPr>
                <w:sz w:val="19"/>
              </w:rPr>
              <w:t>Within 14 days</w:t>
            </w:r>
          </w:p>
        </w:tc>
        <w:tc>
          <w:tcPr>
            <w:tcW w:type="dxa" w:w="2448"/>
          </w:tcPr>
          <w:p>
            <w:r/>
            <w:r>
              <w:rPr>
                <w:sz w:val="19"/>
              </w:rPr>
              <w:t>Jan. 10 Notice; EDA §§ 4.2, 4.3(a); Amendment § 3.4</w:t>
            </w:r>
          </w:p>
        </w:tc>
      </w:tr>
      <w:tr>
        <w:tc>
          <w:tcPr>
            <w:tcW w:type="dxa" w:w="432"/>
          </w:tcPr>
          <w:p>
            <w:r/>
            <w:r>
              <w:rPr>
                <w:sz w:val="19"/>
              </w:rPr>
              <w:t>9</w:t>
            </w:r>
          </w:p>
        </w:tc>
        <w:tc>
          <w:tcPr>
            <w:tcW w:type="dxa" w:w="4320"/>
          </w:tcPr>
          <w:p>
            <w:r/>
            <w:r>
              <w:rPr>
                <w:sz w:val="19"/>
              </w:rPr>
              <w:t>Audit Eastbrook's compliance with § 7.3 since March 15, 2024. Consider a "no direct solicitation" protocol for Restricted Customers through at least Sept. 15, 2025 (or Nov. 30, 2025 if the termination date is later found to be May 31, 2024).</w:t>
            </w:r>
          </w:p>
        </w:tc>
        <w:tc>
          <w:tcPr>
            <w:tcW w:type="dxa" w:w="2160"/>
          </w:tcPr>
          <w:p>
            <w:r/>
            <w:r>
              <w:rPr>
                <w:sz w:val="19"/>
              </w:rPr>
              <w:t>Immediately</w:t>
            </w:r>
          </w:p>
        </w:tc>
        <w:tc>
          <w:tcPr>
            <w:tcW w:type="dxa" w:w="2448"/>
          </w:tcPr>
          <w:p>
            <w:r/>
            <w:r>
              <w:rPr>
                <w:sz w:val="19"/>
              </w:rPr>
              <w:t>EDA § 7.3; Count III injunction request</w:t>
            </w:r>
          </w:p>
        </w:tc>
      </w:tr>
    </w:tbl>
    <w:p/>
    <w:p>
      <w:pPr>
        <w:pStyle w:val="Heading1"/>
      </w:pPr>
      <w:r>
        <w:t>III. Priority 1 — Threshold and Procedural Defenses</w:t>
      </w:r>
    </w:p>
    <w:p>
      <w:pPr>
        <w:pStyle w:val="Heading2"/>
      </w:pPr>
      <w:r>
        <w:t>A. Mandatory Mediation and Arbitration (EDA § 10.1) — Highest Priority</w:t>
      </w:r>
    </w:p>
    <w:p>
      <w:r>
        <w:rPr>
          <w:b/>
        </w:rPr>
        <w:t xml:space="preserve">Issue. </w:t>
      </w:r>
      <w:r>
        <w:rPr>
          <w:b w:val="0"/>
        </w:rPr>
        <w:t>Section 10.1(a) sends "any dispute, controversy, or claim arising out of or relating to this Agreement, or the breach, termination, or validity thereof" first to non-binding mediation with Keystone Arbitration Services in Cleveland. If mediation does not resolve the dispute within 60 days, § 10.1(b) provides for binding arbitration before a single Keystone arbitrator. The arbitrator may award court-equivalent relief, "subject to the limitations set forth in Section 9.1." The complaint never mentions § 10.1. Paragraph 21 cites only the governing-law clause, and paragraph 36 cites integration.</w:t>
      </w:r>
    </w:p>
    <w:p>
      <w:r>
        <w:rPr>
          <w:b/>
        </w:rPr>
        <w:t xml:space="preserve">Analysis. </w:t>
      </w:r>
      <w:r>
        <w:rPr>
          <w:b w:val="0"/>
        </w:rPr>
        <w:t>All seven counts arise from the termination, the parties' confidentiality and non-solicitation covenants, and the relationship itself. That includes the tort, trade secret and unjust enrichment counts, which "relate to" the Agreement under the broad clause. The only carve-out is § 10.1(d), which allows a party to seek provisional or injunctive relief in court. Even then, the party must simultaneously start mediation. Crescent Ridge has not moved for a TRO or preliminary injunction, and nothing indicates it started mediation. It sued for $62.9M in damages and a permanent injunction, which goes well beyond "provisional" relief. Section 10.2 consents to N.D. Ohio jurisdiction only "subject to Section 10.1" and for non-arbitrable proceedings, so it gives Crescent Ridge no independent route into court.</w:t>
      </w:r>
    </w:p>
    <w:p>
      <w:r>
        <w:rPr>
          <w:b/>
        </w:rPr>
        <w:t xml:space="preserve">Why it matters. </w:t>
      </w:r>
      <w:r>
        <w:rPr>
          <w:b w:val="0"/>
        </w:rPr>
        <w:t>Arbitration (i) eliminates the jury demand; (ii) keeps the § 9.1 limitations front and center, because the arbitrator's remedial power is expressly subject to them; (iii) is confidential, which limits the reputational effect of the pretext allegations; and (iv) brings in the § 10.1(c) prevailing-party fee clause. That clause cuts both ways, but it is a strong lever given how inflated the demand is.</w:t>
      </w:r>
    </w:p>
    <w:p>
      <w:r>
        <w:rPr>
          <w:b/>
        </w:rPr>
        <w:t xml:space="preserve">Recommendation. </w:t>
      </w:r>
      <w:r>
        <w:rPr>
          <w:b w:val="0"/>
        </w:rPr>
        <w:t>Move to compel arbitration and for a mandatory stay under FAA § 3 (Smith v. Spizzirri, 2024). In the alternative, move to dismiss for failure to satisfy the mediation condition precedent. Avoid any merits litigation that could support a waiver argument. Under Morgan v. Sundance (2022), prejudice is no longer required to find waiver. We can pursue cancellation of the lis pendens in parallel because it is ancillary and defensive, but we should frame it expressly as without waiver of arbitration.</w:t>
      </w:r>
    </w:p>
    <w:p>
      <w:pPr>
        <w:pStyle w:val="Heading2"/>
      </w:pPr>
      <w:r>
        <w:t>B. Improper Lis Pendens on Eastbrook's Headquarters</w:t>
      </w:r>
    </w:p>
    <w:p>
      <w:pPr>
        <w:pStyle w:val="ListBullet"/>
      </w:pPr>
      <w:r>
        <w:rPr>
          <w:b/>
        </w:rPr>
        <w:t>No statutory basis.</w:t>
      </w:r>
      <w:r>
        <w:t xml:space="preserve"> O.R.C. § 2703.26 covers actions that concern title to or an interest in specific real property. None of the seven counts seeks any interest in Parcel No. 67-04421. The claims are purely for money and injunctive relief about data and solicitation. Under Ohio law, a general money claim does not support a lis pendens. Complaint ¶ 22 recites the filing but alleges no connection to the real property.</w:t>
      </w:r>
    </w:p>
    <w:p>
      <w:pPr>
        <w:pStyle w:val="ListBullet"/>
      </w:pPr>
      <w:r>
        <w:rPr>
          <w:b/>
        </w:rPr>
        <w:t>Defects on the face of the notice.</w:t>
      </w:r>
      <w:r>
        <w:t xml:space="preserve"> The recorded notice lists claims that do not match the complaint. It includes "tortious interference with contractual relations," which the complaint does not plead, and it leaves out the separate termination-fee count. It describes the $62,951,750 total, which includes $25M in exemplary damages, as "compensatory damages." It is verified as of June 3, 2024, yet states that service "was effected" on June 10, 2024, a date that had not yet occurred. The notice and the complaint also give three different addresses and phone numbers for Winslow Falk (One PPG Place; One Allegheny Center; One Oxford Centre). This goes to credibility and to the reliability of Calder's verifications.</w:t>
      </w:r>
    </w:p>
    <w:p>
      <w:pPr>
        <w:pStyle w:val="ListBullet"/>
      </w:pPr>
      <w:r>
        <w:rPr>
          <w:b/>
        </w:rPr>
        <w:t>Harm and remedy.</w:t>
      </w:r>
      <w:r>
        <w:t xml:space="preserve"> A cloud on the title to Eastbrook's main plant can disrupt financing and refinancing. Demand withdrawal; move to cancel; reserve claims for slander of title and abuse of process and a Rule 11 motion; seek fees where available. Tell Eastbrook's lenders and title insurer if needed.</w:t>
      </w:r>
    </w:p>
    <w:p>
      <w:pPr>
        <w:pStyle w:val="Heading2"/>
      </w:pPr>
      <w:r>
        <w:t>C. Subject-Matter Jurisdiction</w:t>
      </w:r>
    </w:p>
    <w:p>
      <w:pPr>
        <w:pStyle w:val="ListBullet"/>
      </w:pPr>
      <w:r>
        <w:rPr>
          <w:b/>
        </w:rPr>
        <w:t>Diversity is defectively pleaded.</w:t>
      </w:r>
      <w:r>
        <w:t xml:space="preserve"> Paragraphs 6 and 17 plead Crescent Ridge's citizenship as "Delaware and Pennsylvania" based on where it was organized and where it has its principal place of business. For an LLC, citizenship is the citizenship of each member (Delay v. Rosenthal Collins Grp., 585 F.3d 1003 (6th Cir. 2009)). The complaint identifies only a "Managing Member," Calder, and mentions his spouse. It does not identify all members. Diversity is therefore not properly pleaded. Use the FRCP 7.1(a)(2) disclosure requirement to learn who the members are. If any member is an Ohio citizen, § 1332 jurisdiction fails.</w:t>
      </w:r>
    </w:p>
    <w:p>
      <w:pPr>
        <w:pStyle w:val="ListBullet"/>
      </w:pPr>
      <w:r>
        <w:rPr>
          <w:b/>
        </w:rPr>
        <w:t>The DTSA count is the jurisdictional anchor.</w:t>
      </w:r>
      <w:r>
        <w:t xml:space="preserve"> Federal-question jurisdiction depends entirely on Count V (DTSA). The complaint itself pleads that count "in the alternative." If the DTSA claim is dismissed early and diversity fails, the court may decline supplemental jurisdiction under 28 U.S.C. § 1367(c). This is mainly leverage, since arbitration is the primary path.</w:t>
      </w:r>
    </w:p>
    <w:p>
      <w:pPr>
        <w:pStyle w:val="ListBullet"/>
      </w:pPr>
      <w:r>
        <w:rPr>
          <w:b/>
        </w:rPr>
        <w:t>Venue.</w:t>
      </w:r>
      <w:r>
        <w:t xml:space="preserve"> Venue in N.D. Ohio is proper (§ 1391(b)(1)–(2); EDA § 10.2), so there is no venue challenge to make.</w:t>
      </w:r>
    </w:p>
    <w:p>
      <w:pPr>
        <w:pStyle w:val="Heading1"/>
      </w:pPr>
      <w:r>
        <w:t>IV. Priority 2 — Contractual Damage Limits and Damages Errors</w:t>
      </w:r>
    </w:p>
    <w:p>
      <w:pPr>
        <w:pStyle w:val="Heading2"/>
      </w:pPr>
      <w:r>
        <w:t>A. Section 9.1 Is Misquoted in the Complaint</w:t>
      </w:r>
    </w:p>
    <w:p>
      <w:r>
        <w:rPr>
          <w:b w:val="0"/>
          <w:i w:val="0"/>
        </w:rPr>
        <w:t>Paragraph 34 of the complaint says § 9.1 bars only consequential, incidental, special and punitive damages, "except in cases of willful misconduct or breach of Section 7.1." The actual text differs in three important ways:</w:t>
      </w:r>
    </w:p>
    <w:p>
      <w:pPr>
        <w:pStyle w:val="ListBullet"/>
      </w:pPr>
      <w:r>
        <w:rPr>
          <w:b/>
        </w:rPr>
        <w:t>The complaint omits the Liability Cap entirely.</w:t>
      </w:r>
      <w:r>
        <w:t xml:space="preserve"> The second paragraph of § 9.1 caps total aggregate liability "whether arising from contract, tort, or any other theory" at the total commissions paid or payable in the 12 months before the event giving rise to liability. On Crescent Ridge's own numbers, that is about $4,431,500. The exceptions are indemnity, willful misconduct or fraud, and breach of § 7.1.</w:t>
      </w:r>
    </w:p>
    <w:p>
      <w:pPr>
        <w:pStyle w:val="ListBullet"/>
      </w:pPr>
      <w:r>
        <w:rPr>
          <w:b/>
        </w:rPr>
        <w:t>Exemplary and "indirect" damages are also barred.</w:t>
      </w:r>
      <w:r>
        <w:t xml:space="preserve"> The first paragraph of § 9.1 bars EXEMPLARY and punitive damages, as well as consequential, incidental, indirect and special damages. The bar covers contract, tort and "any other legal or equitable theory." That reaches the $8.2M lost-profits claim (Count III), the $6.4M lost-revenue and punitive claims (Count VI), and the alleged harm to goodwill, the lender relationship and reputation (¶¶ 69–71, 125, 142).</w:t>
      </w:r>
    </w:p>
    <w:p>
      <w:pPr>
        <w:pStyle w:val="ListBullet"/>
      </w:pPr>
      <w:r>
        <w:rPr>
          <w:b/>
        </w:rPr>
        <w:t>This is the battleground.</w:t>
      </w:r>
      <w:r>
        <w:t xml:space="preserve"> The cap and the exclusions fall away only on proof of willful misconduct, fraud or breach of § 7.1. That is why the complaint repeats "willful and malicious" (¶¶ 115, 177, 191) and ties everything to § 7.1 (¶¶ 171, 203). Our defense strategy should focus on keeping the case within the cap. That means (a) contesting the § 7.1 theory (see Part V.A) and (b) contesting any finding of willfulness.</w:t>
      </w:r>
    </w:p>
    <w:p>
      <w:r>
        <w:rPr>
          <w:b w:val="0"/>
          <w:i/>
        </w:rPr>
        <w:t>Caveat: whether a contractual cap limits statutory trade secret remedies (OUTSA and DTSA) is an open question. Ohio generally enforces limitation clauses between sophisticated commercial parties. The willful-misconduct and § 7.1 carve-outs, however, will likely overlap with any trade secret finding. The cap is a strong defense on the contract counts and a weaker one on the trade secret counts.</w:t>
      </w:r>
    </w:p>
    <w:p>
      <w:pPr>
        <w:pStyle w:val="Heading2"/>
      </w:pPr>
      <w:r>
        <w:t>B. Damages Computation Errors</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D9E2F3"/>
          </w:tcPr>
          <w:p>
            <w:r/>
            <w:r>
              <w:rPr>
                <w:b/>
                <w:sz w:val="19"/>
              </w:rPr>
              <w:t>Item</w:t>
            </w:r>
          </w:p>
        </w:tc>
        <w:tc>
          <w:tcPr>
            <w:tcW w:type="dxa" w:w="1728"/>
            <w:shd w:val="clear" w:color="auto" w:fill="D9E2F3"/>
          </w:tcPr>
          <w:p>
            <w:r/>
            <w:r>
              <w:rPr>
                <w:b/>
                <w:sz w:val="19"/>
              </w:rPr>
              <w:t>Complaint</w:t>
            </w:r>
          </w:p>
        </w:tc>
        <w:tc>
          <w:tcPr>
            <w:tcW w:type="dxa" w:w="2448"/>
            <w:shd w:val="clear" w:color="auto" w:fill="D9E2F3"/>
          </w:tcPr>
          <w:p>
            <w:r/>
            <w:r>
              <w:rPr>
                <w:b/>
                <w:sz w:val="19"/>
              </w:rPr>
              <w:t>Correct / Defense Figure</w:t>
            </w:r>
          </w:p>
        </w:tc>
        <w:tc>
          <w:tcPr>
            <w:tcW w:type="dxa" w:w="3312"/>
            <w:shd w:val="clear" w:color="auto" w:fill="D9E2F3"/>
          </w:tcPr>
          <w:p>
            <w:r/>
            <w:r>
              <w:rPr>
                <w:b/>
                <w:sz w:val="19"/>
              </w:rPr>
              <w:t>Issue</w:t>
            </w:r>
          </w:p>
        </w:tc>
      </w:tr>
      <w:tr>
        <w:tc>
          <w:tcPr>
            <w:tcW w:type="dxa" w:w="1872"/>
          </w:tcPr>
          <w:p>
            <w:r/>
            <w:r>
              <w:rPr>
                <w:sz w:val="19"/>
              </w:rPr>
              <w:t>Annual compensation (FY2023)</w:t>
            </w:r>
          </w:p>
        </w:tc>
        <w:tc>
          <w:tcPr>
            <w:tcW w:type="dxa" w:w="1728"/>
          </w:tcPr>
          <w:p>
            <w:r/>
            <w:r>
              <w:rPr>
                <w:sz w:val="19"/>
              </w:rPr>
              <w:t>$4,431,500 (¶¶ 60, 117)</w:t>
            </w:r>
          </w:p>
        </w:tc>
        <w:tc>
          <w:tcPr>
            <w:tcW w:type="dxa" w:w="2448"/>
          </w:tcPr>
          <w:p>
            <w:r/>
            <w:r>
              <w:rPr>
                <w:sz w:val="19"/>
              </w:rPr>
              <w:t>$4,431,500 (arithmetic checks: $4,374,000 + $57,500)</w:t>
            </w:r>
          </w:p>
        </w:tc>
        <w:tc>
          <w:tcPr>
            <w:tcW w:type="dxa" w:w="3312"/>
          </w:tcPr>
          <w:p>
            <w:r/>
            <w:r>
              <w:rPr>
                <w:sz w:val="19"/>
              </w:rPr>
              <w:t>Math is correct, but it assumes the $24.3M is "Net Sales." The Amendment uses "Net Sales (as defined herein)" and never defines it. Verify against Eastbrook's ledgers.</w:t>
            </w:r>
          </w:p>
        </w:tc>
      </w:tr>
      <w:tr>
        <w:tc>
          <w:tcPr>
            <w:tcW w:type="dxa" w:w="1872"/>
          </w:tcPr>
          <w:p>
            <w:r/>
            <w:r>
              <w:rPr>
                <w:sz w:val="19"/>
              </w:rPr>
              <w:t>Lost commissions, 77 days (Count I)</w:t>
            </w:r>
          </w:p>
        </w:tc>
        <w:tc>
          <w:tcPr>
            <w:tcW w:type="dxa" w:w="1728"/>
          </w:tcPr>
          <w:p>
            <w:r/>
            <w:r>
              <w:rPr>
                <w:sz w:val="19"/>
              </w:rPr>
              <w:t>$4,836,000 (¶¶ 117, 141)</w:t>
            </w:r>
          </w:p>
        </w:tc>
        <w:tc>
          <w:tcPr>
            <w:tcW w:type="dxa" w:w="2448"/>
          </w:tcPr>
          <w:p>
            <w:r/>
            <w:r>
              <w:rPr>
                <w:sz w:val="19"/>
              </w:rPr>
              <w:t>About $934,864 pro rata ($4,431,500 × 77/365); about $922,734 on base commission only</w:t>
            </w:r>
          </w:p>
        </w:tc>
        <w:tc>
          <w:tcPr>
            <w:tcW w:type="dxa" w:w="3312"/>
          </w:tcPr>
          <w:p>
            <w:r/>
            <w:r>
              <w:rPr>
                <w:sz w:val="19"/>
              </w:rPr>
              <w:t>The claimed figure is 109% of a full year's compensation for 21% of a year. It has no stated derivation. The 2024 bonus depends on full calendar-year 2024 Net Sales above $22M and was unlikely to be earned by May 31. This is a gross overstatement in a verified pleading.</w:t>
            </w:r>
          </w:p>
        </w:tc>
      </w:tr>
      <w:tr>
        <w:tc>
          <w:tcPr>
            <w:tcW w:type="dxa" w:w="1872"/>
          </w:tcPr>
          <w:p>
            <w:r/>
            <w:r>
              <w:rPr>
                <w:sz w:val="19"/>
              </w:rPr>
              <w:t>Termination fee (Count II)</w:t>
            </w:r>
          </w:p>
        </w:tc>
        <w:tc>
          <w:tcPr>
            <w:tcW w:type="dxa" w:w="1728"/>
          </w:tcPr>
          <w:p>
            <w:r/>
            <w:r>
              <w:rPr>
                <w:sz w:val="19"/>
              </w:rPr>
              <w:t>$2,215,750 (¶¶ 60, 118, 149)</w:t>
            </w:r>
          </w:p>
        </w:tc>
        <w:tc>
          <w:tcPr>
            <w:tcW w:type="dxa" w:w="2448"/>
          </w:tcPr>
          <w:p>
            <w:r/>
            <w:r>
              <w:rPr>
                <w:sz w:val="19"/>
              </w:rPr>
              <w:t>≤ $2,215,750; must be recalculated on the trailing 12 months before the effective termination date (Apr. 2, 2024), not on FY2023</w:t>
            </w:r>
          </w:p>
        </w:tc>
        <w:tc>
          <w:tcPr>
            <w:tcW w:type="dxa" w:w="3312"/>
          </w:tcPr>
          <w:p>
            <w:r/>
            <w:r>
              <w:rPr>
                <w:sz w:val="19"/>
              </w:rPr>
              <w:t>EDA § 4.2 and Amendment § 3.4 measure commissions "earned" in the 12 months before the effective date. Q4 2023 ($4.2M) and Q1 2024 may pull the figure down. Whether the 2023 bonus falls inside that window is arguable.</w:t>
            </w:r>
          </w:p>
        </w:tc>
      </w:tr>
      <w:tr>
        <w:tc>
          <w:tcPr>
            <w:tcW w:type="dxa" w:w="1872"/>
          </w:tcPr>
          <w:p>
            <w:r/>
            <w:r>
              <w:rPr>
                <w:sz w:val="19"/>
              </w:rPr>
              <w:t>Count I + Count II together</w:t>
            </w:r>
          </w:p>
        </w:tc>
        <w:tc>
          <w:tcPr>
            <w:tcW w:type="dxa" w:w="1728"/>
          </w:tcPr>
          <w:p>
            <w:r/>
            <w:r>
              <w:rPr>
                <w:sz w:val="19"/>
              </w:rPr>
              <w:t>Both claimed ($7.05M)</w:t>
            </w:r>
          </w:p>
        </w:tc>
        <w:tc>
          <w:tcPr>
            <w:tcW w:type="dxa" w:w="2448"/>
          </w:tcPr>
          <w:p>
            <w:r/>
            <w:r>
              <w:rPr>
                <w:sz w:val="19"/>
              </w:rPr>
              <w:t>Mutually exclusive</w:t>
            </w:r>
          </w:p>
        </w:tc>
        <w:tc>
          <w:tcPr>
            <w:tcW w:type="dxa" w:w="3312"/>
          </w:tcPr>
          <w:p>
            <w:r/>
            <w:r>
              <w:rPr>
                <w:sz w:val="19"/>
              </w:rPr>
              <w:t>If the convenience termination stood, the Agreement ended April 2, 2024: Crescent Ridge gets the fee plus commissions for March 15–April 2 (18 days, about $218,540), not commissions through May 31. If the convenience notice was validly withdrawn, no fee is owed. Either way, the fee and 77 days of commissions cannot both be recovered.</w:t>
            </w:r>
          </w:p>
        </w:tc>
      </w:tr>
      <w:tr>
        <w:tc>
          <w:tcPr>
            <w:tcW w:type="dxa" w:w="1872"/>
          </w:tcPr>
          <w:p>
            <w:r/>
            <w:r>
              <w:rPr>
                <w:sz w:val="19"/>
              </w:rPr>
              <w:t>Exemplary damages</w:t>
            </w:r>
          </w:p>
        </w:tc>
        <w:tc>
          <w:tcPr>
            <w:tcW w:type="dxa" w:w="1728"/>
          </w:tcPr>
          <w:p>
            <w:r/>
            <w:r>
              <w:rPr>
                <w:sz w:val="19"/>
              </w:rPr>
              <w:t>$25,000,000 counted in total (¶ 124)</w:t>
            </w:r>
          </w:p>
        </w:tc>
        <w:tc>
          <w:tcPr>
            <w:tcW w:type="dxa" w:w="2448"/>
          </w:tcPr>
          <w:p>
            <w:r/>
            <w:r>
              <w:rPr>
                <w:sz w:val="19"/>
              </w:rPr>
              <w:t>$0 under § 9.1 absent willfulness; otherwise discretionary</w:t>
            </w:r>
          </w:p>
        </w:tc>
        <w:tc>
          <w:tcPr>
            <w:tcW w:type="dxa" w:w="3312"/>
          </w:tcPr>
          <w:p>
            <w:r/>
            <w:r>
              <w:rPr>
                <w:sz w:val="19"/>
              </w:rPr>
              <w:t>The complaint counts the "up to" maximum as a definite amount. Note: our reading is that O.R.C. § 1333.63(B) allows up to three times, not two times as ¶ 121 pleads; confirm before arguing statutory limits.</w:t>
            </w:r>
          </w:p>
        </w:tc>
      </w:tr>
      <w:tr>
        <w:tc>
          <w:tcPr>
            <w:tcW w:type="dxa" w:w="1872"/>
          </w:tcPr>
          <w:p>
            <w:r/>
            <w:r>
              <w:rPr>
                <w:sz w:val="19"/>
              </w:rPr>
              <w:t>Trade secret compensatory</w:t>
            </w:r>
          </w:p>
        </w:tc>
        <w:tc>
          <w:tcPr>
            <w:tcW w:type="dxa" w:w="1728"/>
          </w:tcPr>
          <w:p>
            <w:r/>
            <w:r>
              <w:rPr>
                <w:sz w:val="19"/>
              </w:rPr>
              <w:t>$12.5M (¶ 120)</w:t>
            </w:r>
          </w:p>
        </w:tc>
        <w:tc>
          <w:tcPr>
            <w:tcW w:type="dxa" w:w="2448"/>
          </w:tcPr>
          <w:p>
            <w:r/>
            <w:r>
              <w:rPr>
                <w:sz w:val="19"/>
              </w:rPr>
              <w:t>Overlapping</w:t>
            </w:r>
          </w:p>
        </w:tc>
        <w:tc>
          <w:tcPr>
            <w:tcW w:type="dxa" w:w="3312"/>
          </w:tcPr>
          <w:p>
            <w:r/>
            <w:r>
              <w:rPr>
                <w:sz w:val="19"/>
              </w:rPr>
              <w:t>The figure expressly includes "lost profits" and "unjust competitive advantage." It duplicates Count III ($8.2M), Count VI ($6.4M) and Count VII ($3.8M).</w:t>
            </w:r>
          </w:p>
        </w:tc>
      </w:tr>
      <w:tr>
        <w:tc>
          <w:tcPr>
            <w:tcW w:type="dxa" w:w="1872"/>
          </w:tcPr>
          <w:p>
            <w:r/>
            <w:r>
              <w:rPr>
                <w:sz w:val="19"/>
              </w:rPr>
              <w:t>Unjust enrichment</w:t>
            </w:r>
          </w:p>
        </w:tc>
        <w:tc>
          <w:tcPr>
            <w:tcW w:type="dxa" w:w="1728"/>
          </w:tcPr>
          <w:p>
            <w:r/>
            <w:r>
              <w:rPr>
                <w:sz w:val="19"/>
              </w:rPr>
              <w:t>$3.8M added to total</w:t>
            </w:r>
          </w:p>
        </w:tc>
        <w:tc>
          <w:tcPr>
            <w:tcW w:type="dxa" w:w="2448"/>
          </w:tcPr>
          <w:p>
            <w:r/>
            <w:r>
              <w:rPr>
                <w:sz w:val="19"/>
              </w:rPr>
              <w:t>Pleaded in the alternative (¶ 212), yet added to the total anyway</w:t>
            </w:r>
          </w:p>
        </w:tc>
        <w:tc>
          <w:tcPr>
            <w:tcW w:type="dxa" w:w="3312"/>
          </w:tcPr>
          <w:p>
            <w:r/>
            <w:r>
              <w:rPr>
                <w:sz w:val="19"/>
              </w:rPr>
              <w:t>Alternative theories cannot be added together.</w:t>
            </w:r>
          </w:p>
        </w:tc>
      </w:tr>
      <w:tr>
        <w:tc>
          <w:tcPr>
            <w:tcW w:type="dxa" w:w="1872"/>
          </w:tcPr>
          <w:p>
            <w:r/>
            <w:r>
              <w:rPr>
                <w:sz w:val="19"/>
              </w:rPr>
              <w:t>Total</w:t>
            </w:r>
          </w:p>
        </w:tc>
        <w:tc>
          <w:tcPr>
            <w:tcW w:type="dxa" w:w="1728"/>
          </w:tcPr>
          <w:p>
            <w:r/>
            <w:r>
              <w:rPr>
                <w:sz w:val="19"/>
              </w:rPr>
              <w:t>$62,951,750</w:t>
            </w:r>
          </w:p>
        </w:tc>
        <w:tc>
          <w:tcPr>
            <w:tcW w:type="dxa" w:w="2448"/>
          </w:tcPr>
          <w:p>
            <w:r/>
            <w:r>
              <w:rPr>
                <w:sz w:val="19"/>
              </w:rPr>
              <w:t>Arithmetic is correct, but the total is legally inflated</w:t>
            </w:r>
          </w:p>
        </w:tc>
        <w:tc>
          <w:tcPr>
            <w:tcW w:type="dxa" w:w="3312"/>
          </w:tcPr>
          <w:p>
            <w:r/>
            <w:r>
              <w:rPr>
                <w:sz w:val="19"/>
              </w:rPr>
              <w:t>Counts IV/V are alternatives; Count VII is an alternative; exemplary damages are counted at the maximum; there is overlap and double counting throughout.</w:t>
            </w:r>
          </w:p>
        </w:tc>
      </w:tr>
    </w:tbl>
    <w:p/>
    <w:p>
      <w:r>
        <w:rPr>
          <w:b/>
          <w:i w:val="0"/>
        </w:rPr>
        <w:t>Illustrative contract exposure (before defenses): Scenario A (convenience termination stands) = fee of about $2.2M or less plus about $0.22M. Scenario B (withdrawal valid, for-cause notice invalid) = about $0.93M in lost commissions and no fee. The maximum is roughly $2.4M, which is well within the § 9.1 cap. Everything above that depends on the trade secret, solicitation and willfulness theories.</w:t>
      </w:r>
    </w:p>
    <w:p>
      <w:pPr>
        <w:pStyle w:val="Heading1"/>
      </w:pPr>
      <w:r>
        <w:t>V. Priority 3 — Merits Defenses by Count</w:t>
      </w:r>
    </w:p>
    <w:p>
      <w:pPr>
        <w:pStyle w:val="Heading2"/>
      </w:pPr>
      <w:r>
        <w:t>Counts IV &amp; V — Trade Secret Misappropriation (Highest Dollar Risk)</w:t>
      </w:r>
    </w:p>
    <w:p>
      <w:pPr>
        <w:pStyle w:val="ListBullet"/>
      </w:pPr>
      <w:r>
        <w:rPr>
          <w:b/>
        </w:rPr>
        <w:t>Authorized access.</w:t>
      </w:r>
      <w:r>
        <w:t xml:space="preserve"> Paragraphs 40, 89 and 92 admit the CRM "was configured for joint use." Paragraph 101 admits that "approved Eastbrook users" had access through role-based controls. A download by an authorized Eastbrook user during the Term (December 22, 2023 was before March 15, 2024) is not acquisition by "improper means" unless Crescent Ridge proves that the use exceeded defined limits. The allegation that Eastbrook acted "without authorization and in excess of any access privileges" (¶ 93) is conclusory. We need the access terms, VaultSync role settings and any written use restrictions.</w:t>
      </w:r>
    </w:p>
    <w:p>
      <w:pPr>
        <w:pStyle w:val="ListBullet"/>
      </w:pPr>
      <w:r>
        <w:rPr>
          <w:b/>
        </w:rPr>
        <w:t>Ownership, secrecy and "already known."</w:t>
      </w:r>
      <w:r>
        <w:t xml:space="preserve"> Much of the "customer data" is Eastbrook's own information: purchase histories, order volumes and pricing of Eastbrook Products invoiced by Eastbrook, on which commissions were calculated (EDA § 5.1). The Confidential Information definition excludes information "already known to the Receiving Party" and information independently developed ((b), (c)). Customer identities in a niche industrial market may be readily ascertainable. The EDA does not assign ownership of CRM data to Crescent Ridge. By contrast, § 7.2 allocates Eastbrook's IP and says goodwill from the Eastbrook marks benefits Eastbrook.</w:t>
      </w:r>
    </w:p>
    <w:p>
      <w:pPr>
        <w:pStyle w:val="ListBullet"/>
      </w:pPr>
      <w:r>
        <w:rPr>
          <w:b/>
        </w:rPr>
        <w:t>Pleading deficiencies.</w:t>
      </w:r>
      <w:r>
        <w:t xml:space="preserve"> The key exhibits (I, the access log; J, the playbooks; K, the diverted accounts; L, the Ridgeline report) are all within Crescent Ridge's control, yet are "to be produced in discovery." Use and disclosure by the former employees (¶¶ 78, 81–84, 103–107) are pleaded entirely "upon information and belief." Calder's verification is expressly on "information and belief," which weakens it as support for any injunction. Consider a Twombly/Iqbal challenge in the arbitration, or in court if arbitration is denied.</w:t>
      </w:r>
    </w:p>
    <w:p>
      <w:pPr>
        <w:pStyle w:val="ListBullet"/>
      </w:pPr>
      <w:r>
        <w:rPr>
          <w:b/>
        </w:rPr>
        <w:t>Hiring is not misappropriation.</w:t>
      </w:r>
      <w:r>
        <w:t xml:space="preserve"> The EDA contains no employee non-solicitation or no-hire clause. Hiring at-will employees is lawful competition. The complaint alleges no non-compete for Webb, Ortiz or Hamdi, only confidentiality agreements (¶ 101). The employees are not named as defendants.</w:t>
      </w:r>
    </w:p>
    <w:p>
      <w:pPr>
        <w:pStyle w:val="ListBullet"/>
      </w:pPr>
      <w:r>
        <w:rPr>
          <w:b/>
        </w:rPr>
        <w:t>Risk: the timeline.</w:t>
      </w:r>
      <w:r>
        <w:t xml:space="preserve"> The dates are bad optics: Webb was hired November 20, Ortiz December 5, the download occurred December 22, Hamdi was hired January 8, and the for-cause notice issued January 10. A factfinder may infer a coordinated plan, and Crescent Ridge's November 15 letter put Eastbrook on specific notice about exactly these concerns. If the investigation confirms a bulk export directed by management, willfulness (and with it, escape from the cap and exemplary damages and fees) becomes a serious risk. Consider early remediation: sequester or return the data, obtain employee certifications and adopt a clean-room protocol. That limits injunction exposure and undercuts "willful and malicious."</w:t>
      </w:r>
    </w:p>
    <w:p>
      <w:pPr>
        <w:pStyle w:val="Heading2"/>
      </w:pPr>
      <w:r>
        <w:t>Count III — Non-Solicitation (§ 7.3)</w:t>
      </w:r>
    </w:p>
    <w:p>
      <w:pPr>
        <w:pStyle w:val="ListBullet"/>
      </w:pPr>
      <w:r>
        <w:rPr>
          <w:b/>
        </w:rPr>
        <w:t>The complaint misquotes the covenant.</w:t>
      </w:r>
      <w:r>
        <w:t xml:space="preserve"> Paragraph 33 leaves out § 7.3's definition of "directly solicit" ("affirmatively initiating contact ... for the specific purpose of selling Products"). It also leaves out the express carve-outs for unsolicited inquiries, general advertising and trade shows, and customers who independently seek out Eastbrook.</w:t>
      </w:r>
    </w:p>
    <w:p>
      <w:pPr>
        <w:pStyle w:val="ListBullet"/>
      </w:pPr>
      <w:r>
        <w:rPr>
          <w:b/>
        </w:rPr>
        <w:t>No coverage of employees or pre-termination conduct.</w:t>
      </w:r>
      <w:r>
        <w:t xml:space="preserve"> Section 7.3 restricts only customer solicitation "following the termination or expiration." It says nothing about employees. The theory that "hiring the Former Employees" breached § 7.3 (¶¶ 80, 157) has no textual basis, and conduct before March 15, 2024 falls outside the covenant.</w:t>
      </w:r>
    </w:p>
    <w:p>
      <w:pPr>
        <w:pStyle w:val="ListBullet"/>
      </w:pPr>
      <w:r>
        <w:rPr>
          <w:b/>
        </w:rPr>
        <w:t>Condition precedent.</w:t>
      </w:r>
      <w:r>
        <w:t xml:space="preserve"> Crescent Ridge had to deliver a written Restricted Customer list within 30 days after termination (by about April 14, 2024). Confirm whether it did. If not, rebut the boilerplate allegation in ¶ 164 that all conditions precedent were satisfied. Diversion of customers to the three new distributors (Apex Valley, Tri-State, Great Lakes) is not a direct solicitation by Eastbrook unless Eastbrook directed it.</w:t>
      </w:r>
    </w:p>
    <w:p>
      <w:pPr>
        <w:pStyle w:val="ListBullet"/>
      </w:pPr>
      <w:r>
        <w:rPr>
          <w:b/>
        </w:rPr>
        <w:t>Damages and injunction.</w:t>
      </w:r>
      <w:r>
        <w:t xml:space="preserve"> The $8.2M claim rests on the unattached Ridgeline report and is consequential lost profits barred by § 9.1 absent willfulness. The injunction window ends about September 15, 2025. Section 7.4 waives the bond requirement "to the extent permitted by applicable law," so resist any waiver of the FRCP 65(c) bond.</w:t>
      </w:r>
    </w:p>
    <w:p>
      <w:pPr>
        <w:pStyle w:val="ListBullet"/>
      </w:pPr>
      <w:r>
        <w:rPr>
          <w:b/>
        </w:rPr>
        <w:t>Latent risk.</w:t>
      </w:r>
      <w:r>
        <w:t xml:space="preserve"> During the Term, § 2.2 barred Eastbrook from direct Territory sales, and § 6.2(d) barred unreasonable interference with Crescent Ridge's customer relationships. Crescent Ridge has not pleaded these provisions. Any pre-March 15 customer contact by Webb or others could support an amended claim. Include this in the internal audit.</w:t>
      </w:r>
    </w:p>
    <w:p>
      <w:pPr>
        <w:pStyle w:val="Heading2"/>
      </w:pPr>
      <w:r>
        <w:t>Count I — Wrongful Termination (For-Cause Notice)</w:t>
      </w:r>
    </w:p>
    <w:p>
      <w:r>
        <w:rPr>
          <w:b/>
          <w:i w:val="0"/>
        </w:rPr>
        <w:t>Candid assessment: the sales-based ground in the January 10, 2024 notice is very unlikely to hold up.</w:t>
      </w:r>
    </w:p>
    <w:p>
      <w:pPr>
        <w:pStyle w:val="ListBullet"/>
      </w:pPr>
      <w:r>
        <w:rPr>
          <w:b/>
        </w:rPr>
        <w:t>The Agreement prohibits extrapolation.</w:t>
      </w:r>
      <w:r>
        <w:t xml:space="preserve"> The definition of Minimum Sales Target states that it "shall not be pro-rated or extrapolated on a quarterly, semi-annual, or other partial-year basis." Amendment § 4 confirms "no quarterly measurement mechanism." Actual CY2023 sales were $24.3M. Eastbrook's own Q3 and Q4 figures ($9.3M) imply a strong first half ($15.0M).</w:t>
      </w:r>
    </w:p>
    <w:p>
      <w:pPr>
        <w:pStyle w:val="ListBullet"/>
      </w:pPr>
      <w:r>
        <w:rPr>
          <w:b/>
        </w:rPr>
        <w:t>Exclusive remedy.</w:t>
      </w:r>
      <w:r>
        <w:t xml:space="preserve"> Under EDA § 6.4, a shortfall is governed "exclusively" by § 4.3(b)(iii). That provision requires an actual calendar-year shortfall, written notice within 90 days, and the chance to submit a remediation plan. None of those conditions applies. Paragraph 31 of the complaint also leaves out § 4.3(b)(iii).</w:t>
      </w:r>
    </w:p>
    <w:p>
      <w:pPr>
        <w:pStyle w:val="ListBullet"/>
      </w:pPr>
      <w:r>
        <w:rPr>
          <w:b/>
        </w:rPr>
        <w:t>Causation risk.</w:t>
      </w:r>
      <w:r>
        <w:t xml:space="preserve"> The Q3 and Q4 decline followed Eastbrook's September 8 email and October 2 notice, and Eastbrook's hiring of Webb and Ortiz. Crescent Ridge will argue that Eastbrook caused the shortfall it relied on (prevention doctrine).</w:t>
      </w:r>
    </w:p>
    <w:p>
      <w:pPr>
        <w:pStyle w:val="ListBullet"/>
      </w:pPr>
      <w:r>
        <w:rPr>
          <w:b/>
        </w:rPr>
        <w:t>Best defense.</w:t>
      </w:r>
      <w:r>
        <w:t xml:space="preserve"> Eastbrook can defend the notice on its alternative ground under § 4.3(a): customer complaints, fulfillment delays and deteriorating market coverage in Q4 2023, which would be a breach of §§ 2.1, 6.1(a) and 6.1(e). The notice described these grounds only generally, and § 4.3(a) requires "reasonable detail." This ground is viable only with contemporaneous documentation. On the cure issue, Crescent Ridge's argument (¶¶ 61–63) is weak. The notice gave 65 days and expressly invited "material improvement," which satisfies the 60-day cure window in § 4.3(a).</w:t>
      </w:r>
    </w:p>
    <w:p>
      <w:pPr>
        <w:pStyle w:val="ListBullet"/>
      </w:pPr>
      <w:r>
        <w:rPr>
          <w:b/>
        </w:rPr>
        <w:t>Motive is irrelevant to a convenience termination.</w:t>
      </w:r>
      <w:r>
        <w:t xml:space="preserve"> Section 4.2 lets either party terminate for convenience for any reason. The September 8 email shows a legitimate strategic reason (moving to direct sales) and advance transparency. Ohio does not allow the implied covenant of good faith to override express contract terms. Crescent Ridge has not pleaded an implied covenant count, although its letter reserved one.</w:t>
      </w:r>
    </w:p>
    <w:p>
      <w:pPr>
        <w:pStyle w:val="Heading2"/>
      </w:pPr>
      <w:r>
        <w:t>Count II — Termination Fee (Weakest Defensive Position)</w:t>
      </w:r>
    </w:p>
    <w:p>
      <w:pPr>
        <w:pStyle w:val="ListBullet"/>
      </w:pPr>
      <w:r>
        <w:rPr>
          <w:b/>
        </w:rPr>
        <w:t>Bad documents.</w:t>
      </w:r>
      <w:r>
        <w:t xml:space="preserve"> Amendment § 2 expressly makes the Extended Term a "renewal term" for § 4.2 purposes. The October 2 notice stated: "Eastbrook shall pay to Crescent Ridge a termination fee ... Eastbrook will calculate and remit such termination fee." These are damaging admissions.</w:t>
      </w:r>
    </w:p>
    <w:p>
      <w:pPr>
        <w:pStyle w:val="ListBullet"/>
      </w:pPr>
      <w:r>
        <w:rPr>
          <w:b/>
        </w:rPr>
        <w:t>Withdrawal.</w:t>
      </w:r>
      <w:r>
        <w:t xml:space="preserve"> Nothing in the EDA authorizes unilateral withdrawal of a termination notice. It is also silent on whether withdrawal is prohibited. Arguments that the withdrawal was effective: (i) the effective date (April 2) had not yet occurred, so no fee had accrued (the fee is payable 60 days after the effective date); (ii) Crescent Ridge itself formally demanded that Eastbrook "immediately withdraw the Termination Notice" (Nov. 15 letter, demand (a)), which supports waiver or estoppel against its current position that the notice was irrevocable; (iii) § 4.3(c) says no fee is due on a for-cause termination. Weakness: if the for-cause ground fails, a court may treat the substitution as a bad-faith device to avoid the fee (¶¶ 59, 148) and enforce the fee.</w:t>
      </w:r>
    </w:p>
    <w:p>
      <w:pPr>
        <w:pStyle w:val="ListBullet"/>
      </w:pPr>
      <w:r>
        <w:rPr>
          <w:b/>
        </w:rPr>
        <w:t>Quantum and strategy.</w:t>
      </w:r>
      <w:r>
        <w:t xml:space="preserve"> If liability is found, the fee must be recalculated on the actual trailing-12-month commissions before April 2, 2024 (see Part IV.B). Consider an early settlement or tender strategy on Count II. In arbitration, that would also shrink the "prevailing party" leverage Crescent Ridge has under § 10.1(c).</w:t>
      </w:r>
    </w:p>
    <w:p>
      <w:pPr>
        <w:pStyle w:val="Heading2"/>
      </w:pPr>
      <w:r>
        <w:t>Counts VI &amp; VII — Tortious Interference and Unjust Enrichment</w:t>
      </w:r>
    </w:p>
    <w:p>
      <w:pPr>
        <w:pStyle w:val="ListBullet"/>
      </w:pPr>
      <w:r>
        <w:rPr>
          <w:b/>
        </w:rPr>
        <w:t>OUTSA displacement.</w:t>
      </w:r>
      <w:r>
        <w:t xml:space="preserve"> O.R.C. § 1333.67 displaces conflicting tort, restitutionary and other civil claims based on misappropriation of trade secrets. Counts VI and VII rest largely on the same "misappropriated" data (¶¶ 200(b), 215).</w:t>
      </w:r>
    </w:p>
    <w:p>
      <w:pPr>
        <w:pStyle w:val="ListBullet"/>
      </w:pPr>
      <w:r>
        <w:rPr>
          <w:b/>
        </w:rPr>
        <w:t>Unjust enrichment is barred by the express contract.</w:t>
      </w:r>
      <w:r>
        <w:t xml:space="preserve"> Under Ohio law, unjust enrichment is unavailable where an express contract covers the same subject. The EDA covers compensation, termination, confidentiality and solicitation, and both parties admit it is valid (¶ 132). Pleading in the alternative does not save the claim where the contract is undisputed.</w:t>
      </w:r>
    </w:p>
    <w:p>
      <w:pPr>
        <w:pStyle w:val="ListBullet"/>
      </w:pPr>
      <w:r>
        <w:rPr>
          <w:b/>
        </w:rPr>
        <w:t>Tortious interference.</w:t>
      </w:r>
      <w:r>
        <w:t xml:space="preserve"> Tortious interference cannot repackage a breach of §§ 7.1 or 7.3; Ohio requires a duty independent of the contract. Competitor's privilege: after March 15, 2024, Eastbrook was free to sell its own products, subject only to the narrow § 7.3 limits. The complaint identifies no specific lost customer; Exhibit K is withheld. Punitive damages are barred by § 9.1 absent willful misconduct and are subject to the O.R.C. § 2315.21 limits.</w:t>
      </w:r>
    </w:p>
    <w:p>
      <w:pPr>
        <w:pStyle w:val="Heading1"/>
      </w:pPr>
      <w:r>
        <w:t>VI. Priority 4 — Contract Drafting Anomalies (Use With Caution)</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D9E2F3"/>
          </w:tcPr>
          <w:p>
            <w:r/>
            <w:r>
              <w:rPr>
                <w:b/>
                <w:sz w:val="19"/>
              </w:rPr>
              <w:t>Anomaly</w:t>
            </w:r>
          </w:p>
        </w:tc>
        <w:tc>
          <w:tcPr>
            <w:tcW w:type="dxa" w:w="3744"/>
            <w:shd w:val="clear" w:color="auto" w:fill="D9E2F3"/>
          </w:tcPr>
          <w:p>
            <w:r/>
            <w:r>
              <w:rPr>
                <w:b/>
                <w:sz w:val="19"/>
              </w:rPr>
              <w:t>Detail</w:t>
            </w:r>
          </w:p>
        </w:tc>
        <w:tc>
          <w:tcPr>
            <w:tcW w:type="dxa" w:w="3600"/>
            <w:shd w:val="clear" w:color="auto" w:fill="D9E2F3"/>
          </w:tcPr>
          <w:p>
            <w:r/>
            <w:r>
              <w:rPr>
                <w:b/>
                <w:sz w:val="19"/>
              </w:rPr>
              <w:t>Assessment</w:t>
            </w:r>
          </w:p>
        </w:tc>
      </w:tr>
      <w:tr>
        <w:tc>
          <w:tcPr>
            <w:tcW w:type="dxa" w:w="2016"/>
          </w:tcPr>
          <w:p>
            <w:r/>
            <w:r>
              <w:rPr>
                <w:sz w:val="19"/>
              </w:rPr>
              <w:t>Renewal executed late</w:t>
            </w:r>
          </w:p>
        </w:tc>
        <w:tc>
          <w:tcPr>
            <w:tcW w:type="dxa" w:w="3744"/>
          </w:tcPr>
          <w:p>
            <w:r/>
            <w:r>
              <w:rPr>
                <w:sz w:val="19"/>
              </w:rPr>
              <w:t>EDA § 3.2 requires any renewal to be executed at least 90 days before expiration. The Amendment was signed April 14, 2021, only 47 days before May 31, 2021.</w:t>
            </w:r>
          </w:p>
        </w:tc>
        <w:tc>
          <w:tcPr>
            <w:tcW w:type="dxa" w:w="3600"/>
          </w:tcPr>
          <w:p>
            <w:r/>
            <w:r>
              <w:rPr>
                <w:sz w:val="19"/>
              </w:rPr>
              <w:t>NOT recommended as a defense. Both parties performed for three years, and § 11.4 allows written amendments signed by both parties. Pressing this could jeopardize the confidentiality, non-solicitation, § 9.1 cap and arbitration protections that Eastbrook needs. Note only.</w:t>
            </w:r>
          </w:p>
        </w:tc>
      </w:tr>
      <w:tr>
        <w:tc>
          <w:tcPr>
            <w:tcW w:type="dxa" w:w="2016"/>
          </w:tcPr>
          <w:p>
            <w:r/>
            <w:r>
              <w:rPr>
                <w:sz w:val="19"/>
              </w:rPr>
              <w:t>Wrong section amended</w:t>
            </w:r>
          </w:p>
        </w:tc>
        <w:tc>
          <w:tcPr>
            <w:tcW w:type="dxa" w:w="3744"/>
          </w:tcPr>
          <w:p>
            <w:r/>
            <w:r>
              <w:rPr>
                <w:sz w:val="19"/>
              </w:rPr>
              <w:t>Amendment § 2 "amends and restates" EDA § 2.1 (Appointment) with the term language. The term actually appears in § 3.1.</w:t>
            </w:r>
          </w:p>
        </w:tc>
        <w:tc>
          <w:tcPr>
            <w:tcW w:type="dxa" w:w="3600"/>
          </w:tcPr>
          <w:p>
            <w:r/>
            <w:r>
              <w:rPr>
                <w:sz w:val="19"/>
              </w:rPr>
              <w:t>Scrivener's error. Intent is clear. No substantive use.</w:t>
            </w:r>
          </w:p>
        </w:tc>
      </w:tr>
      <w:tr>
        <w:tc>
          <w:tcPr>
            <w:tcW w:type="dxa" w:w="2016"/>
          </w:tcPr>
          <w:p>
            <w:r/>
            <w:r>
              <w:rPr>
                <w:sz w:val="19"/>
              </w:rPr>
              <w:t>Faulty cross-references</w:t>
            </w:r>
          </w:p>
        </w:tc>
        <w:tc>
          <w:tcPr>
            <w:tcW w:type="dxa" w:w="3744"/>
          </w:tcPr>
          <w:p>
            <w:r/>
            <w:r>
              <w:rPr>
                <w:sz w:val="19"/>
              </w:rPr>
              <w:t>Amendment § 3.3 cites "Section 5.3" for payment timing (§ 5.3 is the Performance Bonus, and § 5.1 provides monthly, not quarterly, payment). Amendment § 4 cites "Section 6.2" for the MST (it is actually the Article 1 definition and § 6.4). Amendment § 5 cites "Section 1.12."</w:t>
            </w:r>
          </w:p>
        </w:tc>
        <w:tc>
          <w:tcPr>
            <w:tcW w:type="dxa" w:w="3600"/>
          </w:tcPr>
          <w:p>
            <w:r/>
            <w:r>
              <w:rPr>
                <w:sz w:val="19"/>
              </w:rPr>
              <w:t>Minor. Relevant to calculating commission timing and the trailing-12-month window.</w:t>
            </w:r>
          </w:p>
        </w:tc>
      </w:tr>
      <w:tr>
        <w:tc>
          <w:tcPr>
            <w:tcW w:type="dxa" w:w="2016"/>
          </w:tcPr>
          <w:p>
            <w:r/>
            <w:r>
              <w:rPr>
                <w:sz w:val="19"/>
              </w:rPr>
              <w:t>"Net Sales" undefined</w:t>
            </w:r>
          </w:p>
        </w:tc>
        <w:tc>
          <w:tcPr>
            <w:tcW w:type="dxa" w:w="3744"/>
          </w:tcPr>
          <w:p>
            <w:r/>
            <w:r>
              <w:rPr>
                <w:sz w:val="19"/>
              </w:rPr>
              <w:t>Amendment § 3.1 applies 18% to "Net Sales (as defined herein)" but never defines the term. The original § 5.1 used "net invoice price" limited to sales "through Distributor's efforts."</w:t>
            </w:r>
          </w:p>
        </w:tc>
        <w:tc>
          <w:tcPr>
            <w:tcW w:type="dxa" w:w="3600"/>
          </w:tcPr>
          <w:p>
            <w:r/>
            <w:r>
              <w:rPr>
                <w:sz w:val="19"/>
              </w:rPr>
              <w:t>Useful for the damages quantum. Argue that returns, allowances, freight and taxes are excluded from the commission base.</w:t>
            </w:r>
          </w:p>
        </w:tc>
      </w:tr>
      <w:tr>
        <w:tc>
          <w:tcPr>
            <w:tcW w:type="dxa" w:w="2016"/>
          </w:tcPr>
          <w:p>
            <w:r/>
            <w:r>
              <w:rPr>
                <w:sz w:val="19"/>
              </w:rPr>
              <w:t>Complaint misstatements</w:t>
            </w:r>
          </w:p>
        </w:tc>
        <w:tc>
          <w:tcPr>
            <w:tcW w:type="dxa" w:w="3744"/>
          </w:tcPr>
          <w:p>
            <w:r/>
            <w:r>
              <w:rPr>
                <w:sz w:val="19"/>
              </w:rPr>
              <w:t>¶ 41 says Crescent Ridge exceeded the "$22M performance bonus threshold" starting in FY2018, but that threshold dates from June 2021 (the original was $18M at 2%). ¶ 29 says "contract year," but the Agreement uses calendar years. ¶ 37 paraphrases § 11.6 and omits the affiliate and successor exceptions.</w:t>
            </w:r>
          </w:p>
        </w:tc>
        <w:tc>
          <w:tcPr>
            <w:tcW w:type="dxa" w:w="3600"/>
          </w:tcPr>
          <w:p>
            <w:r/>
            <w:r>
              <w:rPr>
                <w:sz w:val="19"/>
              </w:rPr>
              <w:t>Credibility points for the answer or statement of defense.</w:t>
            </w:r>
          </w:p>
        </w:tc>
      </w:tr>
      <w:tr>
        <w:tc>
          <w:tcPr>
            <w:tcW w:type="dxa" w:w="2016"/>
          </w:tcPr>
          <w:p>
            <w:r/>
            <w:r>
              <w:rPr>
                <w:sz w:val="19"/>
              </w:rPr>
              <w:t>Inconsistent Eastbrook contact details</w:t>
            </w:r>
          </w:p>
        </w:tc>
        <w:tc>
          <w:tcPr>
            <w:tcW w:type="dxa" w:w="3744"/>
          </w:tcPr>
          <w:p>
            <w:r/>
            <w:r>
              <w:rPr>
                <w:sz w:val="19"/>
              </w:rPr>
              <w:t>Tannick's email and phone differ between the Sept. 8 email (gtannick@; 555-4180), the Oct. 2 notice (g.tannick@; 555-8212/8200) and the Jan. 10 notice (555-4800).</w:t>
            </w:r>
          </w:p>
        </w:tc>
        <w:tc>
          <w:tcPr>
            <w:tcW w:type="dxa" w:w="3600"/>
          </w:tcPr>
          <w:p>
            <w:r/>
            <w:r>
              <w:rPr>
                <w:sz w:val="19"/>
              </w:rPr>
              <w:t>Confirm authenticity and delivery of Eastbrook's own documents before they are authenticated in discovery.</w:t>
            </w:r>
          </w:p>
        </w:tc>
      </w:tr>
    </w:tbl>
    <w:p/>
    <w:p>
      <w:pPr>
        <w:pStyle w:val="Heading1"/>
      </w:pPr>
      <w:r>
        <w:t>VII. Potential Affirmative Defenses and Counterclaims</w:t>
      </w:r>
    </w:p>
    <w:p>
      <w:pPr>
        <w:pStyle w:val="ListBullet"/>
      </w:pPr>
      <w:r>
        <w:t>Mandatory arbitration and failure of the mediation condition precedent (EDA § 10.1).</w:t>
      </w:r>
    </w:p>
    <w:p>
      <w:pPr>
        <w:pStyle w:val="ListBullet"/>
      </w:pPr>
      <w:r>
        <w:t>Contractual limitation of liability and exclusion of damages (EDA § 9.1).</w:t>
      </w:r>
    </w:p>
    <w:p>
      <w:pPr>
        <w:pStyle w:val="ListBullet"/>
      </w:pPr>
      <w:r>
        <w:t>Failure to state a claim; OUTSA displacement (§ 1333.67); express contract bars unjust enrichment.</w:t>
      </w:r>
    </w:p>
    <w:p>
      <w:pPr>
        <w:pStyle w:val="ListBullet"/>
      </w:pPr>
      <w:r>
        <w:t>Information "already known," independently developed or readily ascertainable; authorized access; no improper means.</w:t>
      </w:r>
    </w:p>
    <w:p>
      <w:pPr>
        <w:pStyle w:val="ListBullet"/>
      </w:pPr>
      <w:r>
        <w:t>Failure to satisfy the § 7.3 Restricted Customer list condition; § 7.3 safe harbors.</w:t>
      </w:r>
    </w:p>
    <w:p>
      <w:pPr>
        <w:pStyle w:val="ListBullet"/>
      </w:pPr>
      <w:r>
        <w:t>Waiver and estoppel (Crescent Ridge demanded withdrawal of the convenience notice); failure to mitigate; offset of any amounts Crescent Ridge owes.</w:t>
      </w:r>
    </w:p>
    <w:p>
      <w:pPr>
        <w:pStyle w:val="ListBullet"/>
      </w:pPr>
      <w:r>
        <w:t>Prior material breach by Crescent Ridge (service deficiencies; §§ 2.1, 6.1). This depends on documentation.</w:t>
      </w:r>
    </w:p>
    <w:p>
      <w:pPr>
        <w:pStyle w:val="ListBullet"/>
      </w:pPr>
      <w:r>
        <w:t>Counterclaim candidates, to be asserted in arbitration: wrongful lis pendens and slander of title; Crescent Ridge's failure to return Eastbrook Confidential Information under §§ 4.4(a) and 7.1; breach of § 6.1 obligations; prevailing-party fees under § 10.1(c).</w:t>
      </w:r>
    </w:p>
    <w:p>
      <w:pPr>
        <w:pStyle w:val="Heading1"/>
      </w:pPr>
      <w:r>
        <w:t>VIII. Discovery and Investigation Priorities</w:t>
      </w:r>
    </w:p>
    <w:p>
      <w:pPr>
        <w:pStyle w:val="ListBullet"/>
      </w:pPr>
      <w:r>
        <w:t>The VaultSync contract, user roles, Eastbrook credentials, audit logs and any written access or use restrictions (to test the "unauthorized access" allegation).</w:t>
      </w:r>
    </w:p>
    <w:p>
      <w:pPr>
        <w:pStyle w:val="ListBullet"/>
      </w:pPr>
      <w:r>
        <w:t>Exhibits I–L, which are in Crescent Ridge's control; demand them early. Also Exhibit G (the "representative customer correspondence"), which is referenced as attached but was not in our set.</w:t>
      </w:r>
    </w:p>
    <w:p>
      <w:pPr>
        <w:pStyle w:val="ListBullet"/>
      </w:pPr>
      <w:r>
        <w:t>The Webb, Ortiz and Hamdi employment and confidentiality agreements with Crescent Ridge; how each was recruited and what they were onboarded with; their personal devices.</w:t>
      </w:r>
    </w:p>
    <w:p>
      <w:pPr>
        <w:pStyle w:val="ListBullet"/>
      </w:pPr>
      <w:r>
        <w:t>Eastbrook board materials, including the June 2023 presentation Crescent Ridge alleges called it "a model for distributor engagement" (¶ 44), and all internal planning documents on moving to a direct-sales model (privilege review).</w:t>
      </w:r>
    </w:p>
    <w:p>
      <w:pPr>
        <w:pStyle w:val="ListBullet"/>
      </w:pPr>
      <w:r>
        <w:t>Monthly Net Sales and commission statements for 2023 and Q1 2024; the enclosure to the Jan. 10 notice; the Q4 2023 customer complaint files.</w:t>
      </w:r>
    </w:p>
    <w:p>
      <w:pPr>
        <w:pStyle w:val="ListBullet"/>
      </w:pPr>
      <w:r>
        <w:t>Crescent Ridge's LLC membership (for jurisdiction), the Allegheny National Bank notice of default, and records of its mitigation efforts.</w:t>
      </w:r>
    </w:p>
    <w:p>
      <w:pPr>
        <w:pStyle w:val="Heading1"/>
      </w:pPr>
      <w:r>
        <w:t>IX. Priority Summary</w:t>
      </w:r>
    </w:p>
    <w:tbl>
      <w:tblPr>
        <w:tblStyle w:val="TableGrid"/>
        <w:tblW w:type="auto" w:w="0"/>
        <w:tblLook w:firstColumn="1" w:firstRow="1" w:lastColumn="0" w:lastRow="0" w:noHBand="0" w:noVBand="1" w:val="04A0"/>
      </w:tblPr>
      <w:tblGrid>
        <w:gridCol w:w="2340"/>
        <w:gridCol w:w="2340"/>
        <w:gridCol w:w="2340"/>
        <w:gridCol w:w="2340"/>
      </w:tblGrid>
      <w:tr>
        <w:tc>
          <w:tcPr>
            <w:tcW w:type="dxa" w:w="720"/>
            <w:shd w:val="clear" w:color="auto" w:fill="D9E2F3"/>
          </w:tcPr>
          <w:p>
            <w:r/>
            <w:r>
              <w:rPr>
                <w:b/>
                <w:sz w:val="19"/>
              </w:rPr>
              <w:t>Rank</w:t>
            </w:r>
          </w:p>
        </w:tc>
        <w:tc>
          <w:tcPr>
            <w:tcW w:type="dxa" w:w="3168"/>
            <w:shd w:val="clear" w:color="auto" w:fill="D9E2F3"/>
          </w:tcPr>
          <w:p>
            <w:r/>
            <w:r>
              <w:rPr>
                <w:b/>
                <w:sz w:val="19"/>
              </w:rPr>
              <w:t>Issue</w:t>
            </w:r>
          </w:p>
        </w:tc>
        <w:tc>
          <w:tcPr>
            <w:tcW w:type="dxa" w:w="2304"/>
            <w:shd w:val="clear" w:color="auto" w:fill="D9E2F3"/>
          </w:tcPr>
          <w:p>
            <w:r/>
            <w:r>
              <w:rPr>
                <w:b/>
                <w:sz w:val="19"/>
              </w:rPr>
              <w:t>Strength for Eastbrook</w:t>
            </w:r>
          </w:p>
        </w:tc>
        <w:tc>
          <w:tcPr>
            <w:tcW w:type="dxa" w:w="3168"/>
            <w:shd w:val="clear" w:color="auto" w:fill="D9E2F3"/>
          </w:tcPr>
          <w:p>
            <w:r/>
            <w:r>
              <w:rPr>
                <w:b/>
                <w:sz w:val="19"/>
              </w:rPr>
              <w:t>Value / Effect</w:t>
            </w:r>
          </w:p>
        </w:tc>
      </w:tr>
      <w:tr>
        <w:tc>
          <w:tcPr>
            <w:tcW w:type="dxa" w:w="720"/>
          </w:tcPr>
          <w:p>
            <w:r/>
            <w:r>
              <w:rPr>
                <w:sz w:val="19"/>
              </w:rPr>
              <w:t>1</w:t>
            </w:r>
          </w:p>
        </w:tc>
        <w:tc>
          <w:tcPr>
            <w:tcW w:type="dxa" w:w="3168"/>
          </w:tcPr>
          <w:p>
            <w:r/>
            <w:r>
              <w:rPr>
                <w:sz w:val="19"/>
              </w:rPr>
              <w:t>Compel arbitration / stay (§ 10.1)</w:t>
            </w:r>
          </w:p>
        </w:tc>
        <w:tc>
          <w:tcPr>
            <w:tcW w:type="dxa" w:w="2304"/>
          </w:tcPr>
          <w:p>
            <w:r/>
            <w:r>
              <w:rPr>
                <w:sz w:val="19"/>
              </w:rPr>
              <w:t>Strong</w:t>
            </w:r>
          </w:p>
        </w:tc>
        <w:tc>
          <w:tcPr>
            <w:tcW w:type="dxa" w:w="3168"/>
          </w:tcPr>
          <w:p>
            <w:r/>
            <w:r>
              <w:rPr>
                <w:sz w:val="19"/>
              </w:rPr>
              <w:t>Moves the forum; removes the jury; applies § 9.1 limits; confidentiality</w:t>
            </w:r>
          </w:p>
        </w:tc>
      </w:tr>
      <w:tr>
        <w:tc>
          <w:tcPr>
            <w:tcW w:type="dxa" w:w="720"/>
          </w:tcPr>
          <w:p>
            <w:r/>
            <w:r>
              <w:rPr>
                <w:sz w:val="19"/>
              </w:rPr>
              <w:t>2</w:t>
            </w:r>
          </w:p>
        </w:tc>
        <w:tc>
          <w:tcPr>
            <w:tcW w:type="dxa" w:w="3168"/>
          </w:tcPr>
          <w:p>
            <w:r/>
            <w:r>
              <w:rPr>
                <w:sz w:val="19"/>
              </w:rPr>
              <w:t>Cancel the lis pendens</w:t>
            </w:r>
          </w:p>
        </w:tc>
        <w:tc>
          <w:tcPr>
            <w:tcW w:type="dxa" w:w="2304"/>
          </w:tcPr>
          <w:p>
            <w:r/>
            <w:r>
              <w:rPr>
                <w:sz w:val="19"/>
              </w:rPr>
              <w:t>Strong</w:t>
            </w:r>
          </w:p>
        </w:tc>
        <w:tc>
          <w:tcPr>
            <w:tcW w:type="dxa" w:w="3168"/>
          </w:tcPr>
          <w:p>
            <w:r/>
            <w:r>
              <w:rPr>
                <w:sz w:val="19"/>
              </w:rPr>
              <w:t>Removes the cloud on HQ title; credibility</w:t>
            </w:r>
          </w:p>
        </w:tc>
      </w:tr>
      <w:tr>
        <w:tc>
          <w:tcPr>
            <w:tcW w:type="dxa" w:w="720"/>
          </w:tcPr>
          <w:p>
            <w:r/>
            <w:r>
              <w:rPr>
                <w:sz w:val="19"/>
              </w:rPr>
              <w:t>3</w:t>
            </w:r>
          </w:p>
        </w:tc>
        <w:tc>
          <w:tcPr>
            <w:tcW w:type="dxa" w:w="3168"/>
          </w:tcPr>
          <w:p>
            <w:r/>
            <w:r>
              <w:rPr>
                <w:sz w:val="19"/>
              </w:rPr>
              <w:t>Damages errors and double counting</w:t>
            </w:r>
          </w:p>
        </w:tc>
        <w:tc>
          <w:tcPr>
            <w:tcW w:type="dxa" w:w="2304"/>
          </w:tcPr>
          <w:p>
            <w:r/>
            <w:r>
              <w:rPr>
                <w:sz w:val="19"/>
              </w:rPr>
              <w:t>Strong</w:t>
            </w:r>
          </w:p>
        </w:tc>
        <w:tc>
          <w:tcPr>
            <w:tcW w:type="dxa" w:w="3168"/>
          </w:tcPr>
          <w:p>
            <w:r/>
            <w:r>
              <w:rPr>
                <w:sz w:val="19"/>
              </w:rPr>
              <w:t>Cuts the $62.95M demand to low single-digit millions on the contract counts</w:t>
            </w:r>
          </w:p>
        </w:tc>
      </w:tr>
      <w:tr>
        <w:tc>
          <w:tcPr>
            <w:tcW w:type="dxa" w:w="720"/>
          </w:tcPr>
          <w:p>
            <w:r/>
            <w:r>
              <w:rPr>
                <w:sz w:val="19"/>
              </w:rPr>
              <w:t>4</w:t>
            </w:r>
          </w:p>
        </w:tc>
        <w:tc>
          <w:tcPr>
            <w:tcW w:type="dxa" w:w="3168"/>
          </w:tcPr>
          <w:p>
            <w:r/>
            <w:r>
              <w:rPr>
                <w:sz w:val="19"/>
              </w:rPr>
              <w:t>§ 9.1 cap and damages exclusions</w:t>
            </w:r>
          </w:p>
        </w:tc>
        <w:tc>
          <w:tcPr>
            <w:tcW w:type="dxa" w:w="2304"/>
          </w:tcPr>
          <w:p>
            <w:r/>
            <w:r>
              <w:rPr>
                <w:sz w:val="19"/>
              </w:rPr>
              <w:t>Strong (contract); moderate (trade secret)</w:t>
            </w:r>
          </w:p>
        </w:tc>
        <w:tc>
          <w:tcPr>
            <w:tcW w:type="dxa" w:w="3168"/>
          </w:tcPr>
          <w:p>
            <w:r/>
            <w:r>
              <w:rPr>
                <w:sz w:val="19"/>
              </w:rPr>
              <w:t>Caps liability at about $4.43M absent willfulness or a § 7.1 breach</w:t>
            </w:r>
          </w:p>
        </w:tc>
      </w:tr>
      <w:tr>
        <w:tc>
          <w:tcPr>
            <w:tcW w:type="dxa" w:w="720"/>
          </w:tcPr>
          <w:p>
            <w:r/>
            <w:r>
              <w:rPr>
                <w:sz w:val="19"/>
              </w:rPr>
              <w:t>5</w:t>
            </w:r>
          </w:p>
        </w:tc>
        <w:tc>
          <w:tcPr>
            <w:tcW w:type="dxa" w:w="3168"/>
          </w:tcPr>
          <w:p>
            <w:r/>
            <w:r>
              <w:rPr>
                <w:sz w:val="19"/>
              </w:rPr>
              <w:t>Trade secret defenses and fact investigation</w:t>
            </w:r>
          </w:p>
        </w:tc>
        <w:tc>
          <w:tcPr>
            <w:tcW w:type="dxa" w:w="2304"/>
          </w:tcPr>
          <w:p>
            <w:r/>
            <w:r>
              <w:rPr>
                <w:sz w:val="19"/>
              </w:rPr>
              <w:t>Unknown until the facts are in</w:t>
            </w:r>
          </w:p>
        </w:tc>
        <w:tc>
          <w:tcPr>
            <w:tcW w:type="dxa" w:w="3168"/>
          </w:tcPr>
          <w:p>
            <w:r/>
            <w:r>
              <w:rPr>
                <w:sz w:val="19"/>
              </w:rPr>
              <w:t>Largest swing factor: $12.5M compensatory, exemplary damages, fees, injunction</w:t>
            </w:r>
          </w:p>
        </w:tc>
      </w:tr>
      <w:tr>
        <w:tc>
          <w:tcPr>
            <w:tcW w:type="dxa" w:w="720"/>
          </w:tcPr>
          <w:p>
            <w:r/>
            <w:r>
              <w:rPr>
                <w:sz w:val="19"/>
              </w:rPr>
              <w:t>6</w:t>
            </w:r>
          </w:p>
        </w:tc>
        <w:tc>
          <w:tcPr>
            <w:tcW w:type="dxa" w:w="3168"/>
          </w:tcPr>
          <w:p>
            <w:r/>
            <w:r>
              <w:rPr>
                <w:sz w:val="19"/>
              </w:rPr>
              <w:t>§ 7.3 scope and conditions</w:t>
            </w:r>
          </w:p>
        </w:tc>
        <w:tc>
          <w:tcPr>
            <w:tcW w:type="dxa" w:w="2304"/>
          </w:tcPr>
          <w:p>
            <w:r/>
            <w:r>
              <w:rPr>
                <w:sz w:val="19"/>
              </w:rPr>
              <w:t>Moderate to strong</w:t>
            </w:r>
          </w:p>
        </w:tc>
        <w:tc>
          <w:tcPr>
            <w:tcW w:type="dxa" w:w="3168"/>
          </w:tcPr>
          <w:p>
            <w:r/>
            <w:r>
              <w:rPr>
                <w:sz w:val="19"/>
              </w:rPr>
              <w:t>Defeats the employee-hiring theory; narrows the injunction</w:t>
            </w:r>
          </w:p>
        </w:tc>
      </w:tr>
      <w:tr>
        <w:tc>
          <w:tcPr>
            <w:tcW w:type="dxa" w:w="720"/>
          </w:tcPr>
          <w:p>
            <w:r/>
            <w:r>
              <w:rPr>
                <w:sz w:val="19"/>
              </w:rPr>
              <w:t>7</w:t>
            </w:r>
          </w:p>
        </w:tc>
        <w:tc>
          <w:tcPr>
            <w:tcW w:type="dxa" w:w="3168"/>
          </w:tcPr>
          <w:p>
            <w:r/>
            <w:r>
              <w:rPr>
                <w:sz w:val="19"/>
              </w:rPr>
              <w:t>OUTSA displacement / unjust enrichment</w:t>
            </w:r>
          </w:p>
        </w:tc>
        <w:tc>
          <w:tcPr>
            <w:tcW w:type="dxa" w:w="2304"/>
          </w:tcPr>
          <w:p>
            <w:r/>
            <w:r>
              <w:rPr>
                <w:sz w:val="19"/>
              </w:rPr>
              <w:t>Strong</w:t>
            </w:r>
          </w:p>
        </w:tc>
        <w:tc>
          <w:tcPr>
            <w:tcW w:type="dxa" w:w="3168"/>
          </w:tcPr>
          <w:p>
            <w:r/>
            <w:r>
              <w:rPr>
                <w:sz w:val="19"/>
              </w:rPr>
              <w:t>Eliminates Counts VI and VII in whole or part</w:t>
            </w:r>
          </w:p>
        </w:tc>
      </w:tr>
      <w:tr>
        <w:tc>
          <w:tcPr>
            <w:tcW w:type="dxa" w:w="720"/>
          </w:tcPr>
          <w:p>
            <w:r/>
            <w:r>
              <w:rPr>
                <w:sz w:val="19"/>
              </w:rPr>
              <w:t>8</w:t>
            </w:r>
          </w:p>
        </w:tc>
        <w:tc>
          <w:tcPr>
            <w:tcW w:type="dxa" w:w="3168"/>
          </w:tcPr>
          <w:p>
            <w:r/>
            <w:r>
              <w:rPr>
                <w:sz w:val="19"/>
              </w:rPr>
              <w:t>Diversity pleading defect</w:t>
            </w:r>
          </w:p>
        </w:tc>
        <w:tc>
          <w:tcPr>
            <w:tcW w:type="dxa" w:w="2304"/>
          </w:tcPr>
          <w:p>
            <w:r/>
            <w:r>
              <w:rPr>
                <w:sz w:val="19"/>
              </w:rPr>
              <w:t>Moderate (leverage)</w:t>
            </w:r>
          </w:p>
        </w:tc>
        <w:tc>
          <w:tcPr>
            <w:tcW w:type="dxa" w:w="3168"/>
          </w:tcPr>
          <w:p>
            <w:r/>
            <w:r>
              <w:rPr>
                <w:sz w:val="19"/>
              </w:rPr>
              <w:t>Jurisdiction depends on the DTSA count</w:t>
            </w:r>
          </w:p>
        </w:tc>
      </w:tr>
      <w:tr>
        <w:tc>
          <w:tcPr>
            <w:tcW w:type="dxa" w:w="720"/>
          </w:tcPr>
          <w:p>
            <w:r/>
            <w:r>
              <w:rPr>
                <w:sz w:val="19"/>
              </w:rPr>
              <w:t>9</w:t>
            </w:r>
          </w:p>
        </w:tc>
        <w:tc>
          <w:tcPr>
            <w:tcW w:type="dxa" w:w="3168"/>
          </w:tcPr>
          <w:p>
            <w:r/>
            <w:r>
              <w:rPr>
                <w:sz w:val="19"/>
              </w:rPr>
              <w:t>For-cause termination (sales ground)</w:t>
            </w:r>
          </w:p>
        </w:tc>
        <w:tc>
          <w:tcPr>
            <w:tcW w:type="dxa" w:w="2304"/>
          </w:tcPr>
          <w:p>
            <w:r/>
            <w:r>
              <w:rPr>
                <w:sz w:val="19"/>
              </w:rPr>
              <w:t>Weak</w:t>
            </w:r>
          </w:p>
        </w:tc>
        <w:tc>
          <w:tcPr>
            <w:tcW w:type="dxa" w:w="3168"/>
          </w:tcPr>
          <w:p>
            <w:r/>
            <w:r>
              <w:rPr>
                <w:sz w:val="19"/>
              </w:rPr>
              <w:t>Expect to lose; the service ground depends on documentation</w:t>
            </w:r>
          </w:p>
        </w:tc>
      </w:tr>
      <w:tr>
        <w:tc>
          <w:tcPr>
            <w:tcW w:type="dxa" w:w="720"/>
          </w:tcPr>
          <w:p>
            <w:r/>
            <w:r>
              <w:rPr>
                <w:sz w:val="19"/>
              </w:rPr>
              <w:t>10</w:t>
            </w:r>
          </w:p>
        </w:tc>
        <w:tc>
          <w:tcPr>
            <w:tcW w:type="dxa" w:w="3168"/>
          </w:tcPr>
          <w:p>
            <w:r/>
            <w:r>
              <w:rPr>
                <w:sz w:val="19"/>
              </w:rPr>
              <w:t>Termination fee</w:t>
            </w:r>
          </w:p>
        </w:tc>
        <w:tc>
          <w:tcPr>
            <w:tcW w:type="dxa" w:w="2304"/>
          </w:tcPr>
          <w:p>
            <w:r/>
            <w:r>
              <w:rPr>
                <w:sz w:val="19"/>
              </w:rPr>
              <w:t>Weak</w:t>
            </w:r>
          </w:p>
        </w:tc>
        <w:tc>
          <w:tcPr>
            <w:tcW w:type="dxa" w:w="3168"/>
          </w:tcPr>
          <w:p>
            <w:r/>
            <w:r>
              <w:rPr>
                <w:sz w:val="19"/>
              </w:rPr>
              <w:t>Probable exposure ≤ $2.2M; consider settlement or tender</w:t>
            </w:r>
          </w:p>
        </w:tc>
      </w:tr>
    </w:tbl>
    <w:p/>
    <w:p>
      <w:r>
        <w:rPr>
          <w:b w:val="0"/>
          <w:i/>
        </w:rPr>
        <w:t>This memorandum is based solely on the documents listed above. Several statements of Ohio and federal law (including O.R.C. §§ 2703.26, 1333.63(B) and 1333.67, and the Sixth Circuit's LLC-citizenship rule) should be confirmed with current authority before any filing. The factual assessment of the trade secret claims is provisional until the forensic investigation is complete.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