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PRIVILEGED AND CONFIDENTIAL — ATTORNEY WORK PRODUCT</w:t>
      </w:r>
    </w:p>
    <w:p>
      <w:pPr>
        <w:jc w:val="center"/>
      </w:pPr>
      <w:r>
        <w:rPr>
          <w:b w:val="0"/>
          <w:i/>
        </w:rPr>
        <w:t>Prepared in Anticipation of Litigation — Fed. R. Civ. P. 26(b)(3)</w:t>
      </w:r>
    </w:p>
    <w:p>
      <w:pPr>
        <w:jc w:val="center"/>
      </w:pPr>
      <w:r>
        <w:rPr>
          <w:b/>
          <w:i w:val="0"/>
          <w:sz w:val="28"/>
        </w:rPr>
        <w:t>MEMORANDUM</w:t>
      </w:r>
    </w:p>
    <w:p>
      <w:pPr>
        <w:tabs>
          <w:tab w:pos="1296" w:val="left"/>
        </w:tabs>
      </w:pPr>
      <w:r>
        <w:rPr>
          <w:b/>
        </w:rPr>
        <w:t>TO:</w:t>
        <w:tab/>
      </w:r>
      <w:r>
        <w:t>Victoria Caldwell, Partner; James Nearman, Senior Associate</w:t>
      </w:r>
    </w:p>
    <w:p>
      <w:pPr>
        <w:tabs>
          <w:tab w:pos="1296" w:val="left"/>
        </w:tabs>
      </w:pPr>
      <w:r>
        <w:rPr>
          <w:b/>
        </w:rPr>
        <w:t>FROM:</w:t>
        <w:tab/>
      </w:r>
      <w:r>
        <w:t>Litigation Associate, Caldwell &amp; Pryce LLP</w:t>
      </w:r>
    </w:p>
    <w:p>
      <w:pPr>
        <w:tabs>
          <w:tab w:pos="1296" w:val="left"/>
        </w:tabs>
      </w:pPr>
      <w:r>
        <w:rPr>
          <w:b/>
        </w:rPr>
        <w:t>DATE:</w:t>
        <w:tab/>
      </w:r>
      <w:r>
        <w:t>February 13, 2025</w:t>
      </w:r>
    </w:p>
    <w:p>
      <w:pPr>
        <w:tabs>
          <w:tab w:pos="1296" w:val="left"/>
        </w:tabs>
      </w:pPr>
      <w:r>
        <w:rPr>
          <w:b/>
        </w:rPr>
        <w:t>RE:</w:t>
        <w:tab/>
      </w:r>
      <w:r>
        <w:t>Trident Growth Fund III LP v. Whitmore Capital Advisors LLC, No. 24-cv-08341-LTS (S.D.N.Y.) — Objection-by-Objection Response Strategy for Plaintiff's First Set of Interrogatories (served February 3, 2025)</w:t>
      </w:r>
    </w:p>
    <w:p>
      <w:pPr>
        <w:pStyle w:val="Heading1"/>
      </w:pPr>
      <w:r>
        <w:t>I. Bottom Line</w:t>
      </w:r>
    </w:p>
    <w:p>
      <w:r>
        <w:rPr>
          <w:b w:val="0"/>
          <w:i w:val="0"/>
        </w:rPr>
        <w:t xml:space="preserve">Trident served 30 interrogatories. The Case Management Order (CMO ¶ 5) and Rule 33(a)(1) allow 25, including discrete subparts. Our responses and objections are due </w:t>
      </w:r>
      <w:r>
        <w:rPr>
          <w:b/>
          <w:i w:val="0"/>
        </w:rPr>
        <w:t>Wednesday, March 5, 2025</w:t>
      </w:r>
      <w:r>
        <w:rPr>
          <w:b w:val="0"/>
          <w:i w:val="0"/>
        </w:rPr>
        <w:t>. Any objection not timely stated with specificity is waived (Fed. R. Civ. P. 33(b)(4)). My recommendations are:</w:t>
      </w:r>
    </w:p>
    <w:p>
      <w:pPr>
        <w:pStyle w:val="ListBullet"/>
      </w:pPr>
      <w:r>
        <w:rPr>
          <w:b/>
          <w:i w:val="0"/>
        </w:rPr>
        <w:t>Stand on objections to Nos. 26–30 in their entirety</w:t>
      </w:r>
      <w:r>
        <w:rPr>
          <w:b w:val="0"/>
          <w:i w:val="0"/>
        </w:rPr>
        <w:t xml:space="preserve"> because they exceed the numerical limit. Do not answer any of them selectively, including the insurance and fee questions we would otherwise be happy to answer. Answering some over-limit interrogatories risks waiving the numerosity objection. Point Trident to the initial disclosures and the forthcoming document productions in the cover letter instead.</w:t>
      </w:r>
    </w:p>
    <w:p>
      <w:pPr>
        <w:pStyle w:val="ListBullet"/>
      </w:pPr>
      <w:r>
        <w:rPr>
          <w:b/>
          <w:i w:val="0"/>
        </w:rPr>
        <w:t>Invoke Local Civil Rule 33.3 as a threshold objection.</w:t>
      </w:r>
      <w:r>
        <w:rPr>
          <w:b w:val="0"/>
          <w:i w:val="0"/>
        </w:rPr>
        <w:t xml:space="preserve"> At this early stage, that Rule limits interrogatories to witness identities, damages computations, the existence, custodian, and location of documents, and insurance. Contention interrogatories come at the close of discovery. We should still give substantive answers wherever the information is harmless or helpful (Nos. 1, 3, 4, 6, 10, 13, 16, 21, 23), because a blanket 33.3 refusal invites a motion and looks obstructive before Judge Saunders.</w:t>
      </w:r>
    </w:p>
    <w:p>
      <w:pPr>
        <w:pStyle w:val="ListBullet"/>
      </w:pPr>
      <w:r>
        <w:rPr>
          <w:b/>
          <w:i w:val="0"/>
        </w:rPr>
        <w:t>Treat No. 25 (enforceability of § 9.1) and No. 26 (facts supporting the Ninth Affirmative Defense) as the highest-risk requests.</w:t>
      </w:r>
      <w:r>
        <w:rPr>
          <w:b w:val="0"/>
          <w:i w:val="0"/>
        </w:rPr>
        <w:t xml:space="preserve"> No. 25 asks for a pure legal conclusion and is improper under Rule 33(a)(2). No. 26 is over the limit. Serve neither on the merits.</w:t>
      </w:r>
    </w:p>
    <w:p>
      <w:pPr>
        <w:pStyle w:val="ListBullet"/>
      </w:pPr>
      <w:r>
        <w:rPr>
          <w:b/>
          <w:i w:val="0"/>
        </w:rPr>
        <w:t>Arbitration waiver is a timing problem, not a drafting problem.</w:t>
      </w:r>
      <w:r>
        <w:rPr>
          <w:b w:val="0"/>
          <w:i w:val="0"/>
        </w:rPr>
        <w:t xml:space="preserve"> Under *Morgan v. Sundance, Inc.*, 596 U.S. 411 (2022), a party opposing arbitration no longer has to show prejudice to establish waiver. The reservation language in the January 20 strategy memo is necessary but will not by itself protect us. We should decide whether to move to compel arbitration, and to stay discovery, </w:t>
      </w:r>
      <w:r>
        <w:rPr>
          <w:b/>
          <w:i w:val="0"/>
        </w:rPr>
        <w:t>before</w:t>
      </w:r>
      <w:r>
        <w:rPr>
          <w:b w:val="0"/>
          <w:i w:val="0"/>
        </w:rPr>
        <w:t xml:space="preserve"> serving substantive merits responses on March 5 (see Part III).</w:t>
      </w:r>
    </w:p>
    <w:p>
      <w:pPr>
        <w:pStyle w:val="ListBullet"/>
      </w:pPr>
      <w:r>
        <w:rPr>
          <w:b/>
          <w:i w:val="0"/>
        </w:rPr>
        <w:t>Protect the privileged investigation, but do not overclaim.</w:t>
      </w:r>
      <w:r>
        <w:rPr>
          <w:b w:val="0"/>
          <w:i w:val="0"/>
        </w:rPr>
        <w:t xml:space="preserve"> Draw the line between the June–August 2022 business review, which is likely not privileged, and the investigation Caldwell &amp; Pryce directed from September 2022 onward. Underlying facts, and the identities of business people with knowledge, must be disclosed (*Upjohn Co. v. United States*, 449 U.S. 383, 395–96 (1981)). No. 20 (consulting expert) is squarely protected by CMO ¶ 13 and Rule 26(b)(4)(D).</w:t>
      </w:r>
    </w:p>
    <w:p>
      <w:pPr>
        <w:pStyle w:val="ListBullet"/>
      </w:pPr>
      <w:r>
        <w:rPr>
          <w:b/>
          <w:i w:val="0"/>
        </w:rPr>
        <w:t>Resolve several factual inconsistencies in our own record before anyone verifies these answers under oath.</w:t>
      </w:r>
      <w:r>
        <w:rPr>
          <w:b w:val="0"/>
          <w:i w:val="0"/>
        </w:rPr>
        <w:t xml:space="preserve"> They are listed in Part V. The most serious are: (a) the Answer attributes valuation approval to a *Trident* committee chaired by Raj Anand, while our strategy memo and Trident's complaint describe a *Whitmore* committee overseen by Denise Huang; (b) Trident alleges the $47,500 quarterly charges relate to Whitmore's proprietary "WhitmoreConnect" platform; and (c) the cap in § 8.3 is keyed to the "first event giving rise to such liability," not to the date of the claim.</w:t>
      </w:r>
    </w:p>
    <w:p>
      <w:pPr>
        <w:pStyle w:val="Heading1"/>
      </w:pPr>
      <w:r>
        <w:t>II. Procedural Framework</w:t>
      </w:r>
    </w:p>
    <w:p>
      <w:pPr>
        <w:pStyle w:val="Heading2"/>
      </w:pPr>
      <w:r>
        <w:t>A. Deadlines and Rules</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016"/>
            <w:shd w:val="clear" w:color="auto" w:fill="D9E2F3"/>
          </w:tcPr>
          <w:p>
            <w:r/>
            <w:r>
              <w:rPr>
                <w:b/>
                <w:sz w:val="19"/>
              </w:rPr>
              <w:t>Item</w:t>
            </w:r>
          </w:p>
        </w:tc>
        <w:tc>
          <w:tcPr>
            <w:tcW w:type="dxa" w:w="2160"/>
            <w:shd w:val="clear" w:color="auto" w:fill="D9E2F3"/>
          </w:tcPr>
          <w:p>
            <w:r/>
            <w:r>
              <w:rPr>
                <w:b/>
                <w:sz w:val="19"/>
              </w:rPr>
              <w:t>Source</w:t>
            </w:r>
          </w:p>
        </w:tc>
        <w:tc>
          <w:tcPr>
            <w:tcW w:type="dxa" w:w="5184"/>
            <w:shd w:val="clear" w:color="auto" w:fill="D9E2F3"/>
          </w:tcPr>
          <w:p>
            <w:r/>
            <w:r>
              <w:rPr>
                <w:b/>
                <w:sz w:val="19"/>
              </w:rPr>
              <w:t>Status / Action</w:t>
            </w:r>
          </w:p>
        </w:tc>
      </w:tr>
      <w:tr>
        <w:tc>
          <w:tcPr>
            <w:tcW w:type="dxa" w:w="2016"/>
          </w:tcPr>
          <w:p>
            <w:r/>
            <w:r>
              <w:rPr>
                <w:b w:val="0"/>
                <w:i w:val="0"/>
                <w:sz w:val="19"/>
              </w:rPr>
              <w:t>Responses/objections due</w:t>
            </w:r>
          </w:p>
        </w:tc>
        <w:tc>
          <w:tcPr>
            <w:tcW w:type="dxa" w:w="2160"/>
          </w:tcPr>
          <w:p>
            <w:r/>
            <w:r>
              <w:rPr>
                <w:b w:val="0"/>
                <w:i w:val="0"/>
                <w:sz w:val="19"/>
              </w:rPr>
              <w:t>Rule 33(b)(2); CMO ¶ 5; Rogs. preamble</w:t>
            </w:r>
          </w:p>
        </w:tc>
        <w:tc>
          <w:tcPr>
            <w:tcW w:type="dxa" w:w="5184"/>
          </w:tcPr>
          <w:p>
            <w:r/>
            <w:r>
              <w:rPr>
                <w:b/>
                <w:i w:val="0"/>
                <w:sz w:val="19"/>
              </w:rPr>
              <w:t>March 5, 2025.</w:t>
            </w:r>
            <w:r>
              <w:rPr>
                <w:b w:val="0"/>
                <w:i w:val="0"/>
                <w:sz w:val="19"/>
              </w:rPr>
              <w:t xml:space="preserve"> Rogs. were served Feb. 3 by email and first-class mail. Rule 6(d) arguably adds 3 days for the mail copy, but we should not rely on that. Calendar March 5.</w:t>
            </w:r>
          </w:p>
        </w:tc>
      </w:tr>
      <w:tr>
        <w:tc>
          <w:tcPr>
            <w:tcW w:type="dxa" w:w="2016"/>
          </w:tcPr>
          <w:p>
            <w:r/>
            <w:r>
              <w:rPr>
                <w:b w:val="0"/>
                <w:i w:val="0"/>
                <w:sz w:val="19"/>
              </w:rPr>
              <w:t>Numerical limit</w:t>
            </w:r>
          </w:p>
        </w:tc>
        <w:tc>
          <w:tcPr>
            <w:tcW w:type="dxa" w:w="2160"/>
          </w:tcPr>
          <w:p>
            <w:r/>
            <w:r>
              <w:rPr>
                <w:b w:val="0"/>
                <w:i w:val="0"/>
                <w:sz w:val="19"/>
              </w:rPr>
              <w:t>Rule 33(a)(1); CMO ¶ 5</w:t>
            </w:r>
          </w:p>
        </w:tc>
        <w:tc>
          <w:tcPr>
            <w:tcW w:type="dxa" w:w="5184"/>
          </w:tcPr>
          <w:p>
            <w:r/>
            <w:r>
              <w:rPr>
                <w:b w:val="0"/>
                <w:i w:val="0"/>
                <w:sz w:val="19"/>
              </w:rPr>
              <w:t>25, including discrete subparts. Trident served 30 numbered interrogatories, several with discrete subparts. Trident needs a good-cause motion to exceed the limit.</w:t>
            </w:r>
          </w:p>
        </w:tc>
      </w:tr>
      <w:tr>
        <w:tc>
          <w:tcPr>
            <w:tcW w:type="dxa" w:w="2016"/>
          </w:tcPr>
          <w:p>
            <w:r/>
            <w:r>
              <w:rPr>
                <w:b w:val="0"/>
                <w:i w:val="0"/>
                <w:sz w:val="19"/>
              </w:rPr>
              <w:t>Scope at commencement of discovery</w:t>
            </w:r>
          </w:p>
        </w:tc>
        <w:tc>
          <w:tcPr>
            <w:tcW w:type="dxa" w:w="2160"/>
          </w:tcPr>
          <w:p>
            <w:r/>
            <w:r>
              <w:rPr>
                <w:b w:val="0"/>
                <w:i w:val="0"/>
                <w:sz w:val="19"/>
              </w:rPr>
              <w:t>S.D.N.Y. Local Civ. R. 33.3(a)–(c)</w:t>
            </w:r>
          </w:p>
        </w:tc>
        <w:tc>
          <w:tcPr>
            <w:tcW w:type="dxa" w:w="5184"/>
          </w:tcPr>
          <w:p>
            <w:r/>
            <w:r>
              <w:rPr>
                <w:b w:val="0"/>
                <w:i w:val="0"/>
                <w:sz w:val="19"/>
              </w:rPr>
              <w:t>Limits early interrogatories to the categories listed above. Contention interrogatories come at the conclusion of discovery unless the Court orders otherwise. CMO ¶ 9 points the same way.</w:t>
            </w:r>
          </w:p>
        </w:tc>
      </w:tr>
      <w:tr>
        <w:tc>
          <w:tcPr>
            <w:tcW w:type="dxa" w:w="2016"/>
          </w:tcPr>
          <w:p>
            <w:r/>
            <w:r>
              <w:rPr>
                <w:b w:val="0"/>
                <w:i w:val="0"/>
                <w:sz w:val="19"/>
              </w:rPr>
              <w:t>Contention interrogatories</w:t>
            </w:r>
          </w:p>
        </w:tc>
        <w:tc>
          <w:tcPr>
            <w:tcW w:type="dxa" w:w="2160"/>
          </w:tcPr>
          <w:p>
            <w:r/>
            <w:r>
              <w:rPr>
                <w:b w:val="0"/>
                <w:i w:val="0"/>
                <w:sz w:val="19"/>
              </w:rPr>
              <w:t>Rule 33(a)(2); CMO ¶ 9</w:t>
            </w:r>
          </w:p>
        </w:tc>
        <w:tc>
          <w:tcPr>
            <w:tcW w:type="dxa" w:w="5184"/>
          </w:tcPr>
          <w:p>
            <w:r/>
            <w:r>
              <w:rPr>
                <w:b w:val="0"/>
                <w:i w:val="0"/>
                <w:sz w:val="19"/>
              </w:rPr>
              <w:t>The Court may defer them. The CMO "encourages" service near the Aug. 15, 2025 fact cutoff. This supports deferral of Nos. 11, 18, 26.</w:t>
            </w:r>
          </w:p>
        </w:tc>
      </w:tr>
      <w:tr>
        <w:tc>
          <w:tcPr>
            <w:tcW w:type="dxa" w:w="2016"/>
          </w:tcPr>
          <w:p>
            <w:r/>
            <w:r>
              <w:rPr>
                <w:b w:val="0"/>
                <w:i w:val="0"/>
                <w:sz w:val="19"/>
              </w:rPr>
              <w:t>Specificity of objections</w:t>
            </w:r>
          </w:p>
        </w:tc>
        <w:tc>
          <w:tcPr>
            <w:tcW w:type="dxa" w:w="2160"/>
          </w:tcPr>
          <w:p>
            <w:r/>
            <w:r>
              <w:rPr>
                <w:b w:val="0"/>
                <w:i w:val="0"/>
                <w:sz w:val="19"/>
              </w:rPr>
              <w:t>Rule 33(b)(4); Rog. Instruction 3</w:t>
            </w:r>
          </w:p>
        </w:tc>
        <w:tc>
          <w:tcPr>
            <w:tcW w:type="dxa" w:w="5184"/>
          </w:tcPr>
          <w:p>
            <w:r/>
            <w:r>
              <w:rPr>
                <w:b w:val="0"/>
                <w:i w:val="0"/>
                <w:sz w:val="19"/>
              </w:rPr>
              <w:t>S.D.N.Y. courts disfavor general or boilerplate objections. Keep "General Objections" minimal and tie each objection to the specific interrogatory.</w:t>
            </w:r>
          </w:p>
        </w:tc>
      </w:tr>
      <w:tr>
        <w:tc>
          <w:tcPr>
            <w:tcW w:type="dxa" w:w="2016"/>
          </w:tcPr>
          <w:p>
            <w:r/>
            <w:r>
              <w:rPr>
                <w:b w:val="0"/>
                <w:i w:val="0"/>
                <w:sz w:val="19"/>
              </w:rPr>
              <w:t>Privilege log</w:t>
            </w:r>
          </w:p>
        </w:tc>
        <w:tc>
          <w:tcPr>
            <w:tcW w:type="dxa" w:w="2160"/>
          </w:tcPr>
          <w:p>
            <w:r/>
            <w:r>
              <w:rPr>
                <w:b w:val="0"/>
                <w:i w:val="0"/>
                <w:sz w:val="19"/>
              </w:rPr>
              <w:t>Rule 26(b)(5)(A); Local Civ. R. 26.2; CMO ¶ 26</w:t>
            </w:r>
          </w:p>
        </w:tc>
        <w:tc>
          <w:tcPr>
            <w:tcW w:type="dxa" w:w="5184"/>
          </w:tcPr>
          <w:p>
            <w:r/>
            <w:r>
              <w:rPr>
                <w:b w:val="0"/>
                <w:i w:val="0"/>
                <w:sz w:val="19"/>
              </w:rPr>
              <w:t>Required for information withheld. Propose that communications with litigation counsel after Sept. 12, 2024 need not be logged, and that the Sept. 2022–Sept. 2024 counsel communications be logged categorically (Local Civ. R. 26.2(c)).</w:t>
            </w:r>
          </w:p>
        </w:tc>
      </w:tr>
      <w:tr>
        <w:tc>
          <w:tcPr>
            <w:tcW w:type="dxa" w:w="2016"/>
          </w:tcPr>
          <w:p>
            <w:r/>
            <w:r>
              <w:rPr>
                <w:b w:val="0"/>
                <w:i w:val="0"/>
                <w:sz w:val="19"/>
              </w:rPr>
              <w:t>Expert discovery</w:t>
            </w:r>
          </w:p>
        </w:tc>
        <w:tc>
          <w:tcPr>
            <w:tcW w:type="dxa" w:w="2160"/>
          </w:tcPr>
          <w:p>
            <w:r/>
            <w:r>
              <w:rPr>
                <w:b w:val="0"/>
                <w:i w:val="0"/>
                <w:sz w:val="19"/>
              </w:rPr>
              <w:t>CMO ¶¶ 10–13</w:t>
            </w:r>
          </w:p>
        </w:tc>
        <w:tc>
          <w:tcPr>
            <w:tcW w:type="dxa" w:w="5184"/>
          </w:tcPr>
          <w:p>
            <w:r/>
            <w:r>
              <w:rPr>
                <w:b w:val="0"/>
                <w:i w:val="0"/>
                <w:sz w:val="19"/>
              </w:rPr>
              <w:t xml:space="preserve">Affirmative reports due </w:t>
            </w:r>
            <w:r>
              <w:rPr>
                <w:b/>
                <w:i w:val="0"/>
                <w:sz w:val="19"/>
              </w:rPr>
              <w:t>Sept. 15, 2025</w:t>
            </w:r>
            <w:r>
              <w:rPr>
                <w:b w:val="0"/>
                <w:i w:val="0"/>
                <w:sz w:val="19"/>
              </w:rPr>
              <w:t>; rebuttal Oct. 15, 2025; expert depositions complete Nov. 14, 2025. The consulting-expert identity is protected until then (¶ 13).</w:t>
            </w:r>
          </w:p>
        </w:tc>
      </w:tr>
      <w:tr>
        <w:tc>
          <w:tcPr>
            <w:tcW w:type="dxa" w:w="2016"/>
          </w:tcPr>
          <w:p>
            <w:r/>
            <w:r>
              <w:rPr>
                <w:b w:val="0"/>
                <w:i w:val="0"/>
                <w:sz w:val="19"/>
              </w:rPr>
              <w:t>Meet-and-confer</w:t>
            </w:r>
          </w:p>
        </w:tc>
        <w:tc>
          <w:tcPr>
            <w:tcW w:type="dxa" w:w="2160"/>
          </w:tcPr>
          <w:p>
            <w:r/>
            <w:r>
              <w:rPr>
                <w:b w:val="0"/>
                <w:i w:val="0"/>
                <w:sz w:val="19"/>
              </w:rPr>
              <w:t>CMO ¶¶ 18–19</w:t>
            </w:r>
          </w:p>
        </w:tc>
        <w:tc>
          <w:tcPr>
            <w:tcW w:type="dxa" w:w="5184"/>
          </w:tcPr>
          <w:p>
            <w:r/>
            <w:r>
              <w:rPr>
                <w:b w:val="0"/>
                <w:i w:val="0"/>
                <w:sz w:val="19"/>
              </w:rPr>
              <w:t>Must occur within 5 business days after a dispute arises. Dispute letters are limited to 3 pages. James Nearman is the point of contact, and anything touching arbitration or privilege needs VC pre-approval.</w:t>
            </w:r>
          </w:p>
        </w:tc>
      </w:tr>
      <w:tr>
        <w:tc>
          <w:tcPr>
            <w:tcW w:type="dxa" w:w="2016"/>
          </w:tcPr>
          <w:p>
            <w:r/>
            <w:r>
              <w:rPr>
                <w:b w:val="0"/>
                <w:i w:val="0"/>
                <w:sz w:val="19"/>
              </w:rPr>
              <w:t>Protective order / 502(d)</w:t>
            </w:r>
          </w:p>
        </w:tc>
        <w:tc>
          <w:tcPr>
            <w:tcW w:type="dxa" w:w="2160"/>
          </w:tcPr>
          <w:p>
            <w:r/>
            <w:r>
              <w:rPr>
                <w:b w:val="0"/>
                <w:i w:val="0"/>
                <w:sz w:val="19"/>
              </w:rPr>
              <w:t>CMO ¶¶ 25–26</w:t>
            </w:r>
          </w:p>
        </w:tc>
        <w:tc>
          <w:tcPr>
            <w:tcW w:type="dxa" w:w="5184"/>
          </w:tcPr>
          <w:p>
            <w:r/>
            <w:r>
              <w:rPr>
                <w:b/>
                <w:i w:val="0"/>
                <w:sz w:val="19"/>
              </w:rPr>
              <w:t>Confirm status.</w:t>
            </w:r>
            <w:r>
              <w:rPr>
                <w:b w:val="0"/>
                <w:i w:val="0"/>
                <w:sz w:val="19"/>
              </w:rPr>
              <w:t xml:space="preserve"> The 502(d) order was due Jan. 31, 2025. Several answers (Nos. 9, 17, 19 and anonymized allocation data) should be served only under a confidentiality designation.</w:t>
            </w:r>
          </w:p>
        </w:tc>
      </w:tr>
    </w:tbl>
    <w:p/>
    <w:p>
      <w:pPr>
        <w:pStyle w:val="Heading2"/>
      </w:pPr>
      <w:r>
        <w:t>B. Numerosity Analysis</w:t>
      </w:r>
    </w:p>
    <w:p>
      <w:r>
        <w:rPr>
          <w:b w:val="0"/>
          <w:i w:val="0"/>
        </w:rPr>
        <w:t>Numbered interrogatories 26–30 exceed the limit on their face. Several earlier interrogatories also contain discrete subparts that a court could count separately, because they seek information that is not "logically or factually subsumed within and necessarily related to the primary question." The strongest examples are:</w:t>
      </w:r>
    </w:p>
    <w:p>
      <w:pPr>
        <w:pStyle w:val="ListBullet"/>
      </w:pPr>
      <w:r>
        <w:rPr>
          <w:b/>
          <w:i w:val="0"/>
        </w:rPr>
        <w:t>No. 19</w:t>
      </w:r>
      <w:r>
        <w:rPr>
          <w:b w:val="0"/>
          <w:i w:val="0"/>
        </w:rPr>
        <w:t>: at least three discrete requests. (i) Roszak's personal identifiers and compensation; (ii) the circumstances of his departure; (iii) any restrictive covenants.</w:t>
      </w:r>
    </w:p>
    <w:p>
      <w:pPr>
        <w:pStyle w:val="ListBullet"/>
      </w:pPr>
      <w:r>
        <w:rPr>
          <w:b/>
          <w:i w:val="0"/>
        </w:rPr>
        <w:t>No. 13</w:t>
      </w:r>
      <w:r>
        <w:rPr>
          <w:b w:val="0"/>
          <w:i w:val="0"/>
        </w:rPr>
        <w:t>: two. (i) The committee's composition, function, and schedule; (ii) a meeting-by-meeting account of discussions about three companies.</w:t>
      </w:r>
    </w:p>
    <w:p>
      <w:pPr>
        <w:pStyle w:val="ListBullet"/>
      </w:pPr>
      <w:r>
        <w:rPr>
          <w:b/>
          <w:i w:val="0"/>
        </w:rPr>
        <w:t>No. 9</w:t>
      </w:r>
      <w:r>
        <w:rPr>
          <w:b w:val="0"/>
          <w:i w:val="0"/>
        </w:rPr>
        <w:t>: arguably two. Subparts (a)–(c) cover firm-wide fee structure since 2009; subpart (d) covers a Trident-specific quarterly billing history.</w:t>
      </w:r>
    </w:p>
    <w:p>
      <w:pPr>
        <w:pStyle w:val="ListBullet"/>
      </w:pPr>
      <w:r>
        <w:rPr>
          <w:b/>
          <w:i w:val="0"/>
        </w:rPr>
        <w:t>No. 2</w:t>
      </w:r>
      <w:r>
        <w:rPr>
          <w:b w:val="0"/>
          <w:i w:val="0"/>
        </w:rPr>
        <w:t>: arguably two. Firm-wide services, and client counts or assets under administration by year.</w:t>
      </w:r>
    </w:p>
    <w:p>
      <w:pPr>
        <w:pStyle w:val="ListBullet"/>
      </w:pPr>
      <w:r>
        <w:rPr>
          <w:b/>
          <w:i w:val="0"/>
        </w:rPr>
        <w:t>No. 17</w:t>
      </w:r>
      <w:r>
        <w:rPr>
          <w:b w:val="0"/>
          <w:i w:val="0"/>
        </w:rPr>
        <w:t>: arguably two. The platforms used, and the cost and billing treatment of each.</w:t>
      </w:r>
    </w:p>
    <w:p>
      <w:r>
        <w:rPr>
          <w:b w:val="0"/>
          <w:i w:val="0"/>
        </w:rPr>
        <w:t xml:space="preserve">Counted this way, the set exceeds 25 before No. 25. </w:t>
      </w:r>
      <w:r>
        <w:rPr>
          <w:b/>
          <w:i w:val="0"/>
        </w:rPr>
        <w:t>Recommendation:</w:t>
      </w:r>
      <w:r>
        <w:rPr>
          <w:b w:val="0"/>
          <w:i w:val="0"/>
        </w:rPr>
        <w:t xml:space="preserve"> Object to Nos. 26–30 as exceeding the limit. Also preserve a subpart objection ("to the extent the discrete subparts of Nos. 2, 9, 13, 17 and 19 are counted, the limit is exceeded before No. 25"). Rely on that subpart objection as an additional, independent ground for not answering No. 25. Do not rely on it for Nos. 1–24, which we should answer subject to specific objections. We must not answer any interrogatory beyond the one at which we assert the limit is reached. In the cover letter, refer Trident to the initial disclosures (insurance) and to anticipated document productions (fee invoices and vendor contracts). A cover letter is not a sworn interrogatory answer.</w:t>
      </w:r>
    </w:p>
    <w:p>
      <w:r>
        <w:rPr>
          <w:b w:val="0"/>
          <w:i w:val="0"/>
        </w:rPr>
        <w:t>Strategic note: Trident will probably seek leave, or re-serve Nos. 27–30 after reallocating its count. Nos. 27–30 are relevant and fairly narrow, and the Court would probably grant leave. The numerosity objection mainly buys time and keeps us from answering No. 26 (arbitration) while the motion-to-compel decision is pending. It will not keep the fee and insurance information out permanently.</w:t>
      </w:r>
    </w:p>
    <w:p>
      <w:pPr>
        <w:pStyle w:val="Heading1"/>
      </w:pPr>
      <w:r>
        <w:t>III. Arbitration Waiver: A Threshold Strategic Issue</w:t>
      </w:r>
    </w:p>
    <w:p>
      <w:r>
        <w:rPr>
          <w:b w:val="0"/>
          <w:i w:val="0"/>
        </w:rPr>
        <w:t>The January 20 strategy memo relies on the three-factor Second Circuit test in *Thyssen* and *Louisiana Stadium*, which includes prejudice. That framework has been superseded in part. In *Morgan v. Sundance, Inc.*, 596 U.S. 411 (2022), the Supreme Court held that federal courts may not require prejudice to find waiver of the right to arbitrate. The question is whether the party knowingly relinquished the right by acting inconsistently with it. Post-*Morgan* courts focus on the moving party's own conduct, especially how long it litigated on the merits and whether it took advantage of court discovery.</w:t>
      </w:r>
    </w:p>
    <w:p>
      <w:pPr>
        <w:pStyle w:val="ListBullet"/>
      </w:pPr>
      <w:r>
        <w:rPr>
          <w:b w:val="0"/>
          <w:i w:val="0"/>
        </w:rPr>
        <w:t>As of March 5, 2025, we will be about six months past the complaint (Sept. 12, 2024). By then we will have answered, attended the Rule 26(f) conference, negotiated the CMO, served initial disclosures, and (if we answer on the merits) served sworn interrogatory answers. Each step adds to the waiver record, whatever reservation language we use.</w:t>
      </w:r>
    </w:p>
    <w:p>
      <w:pPr>
        <w:pStyle w:val="ListBullet"/>
      </w:pPr>
      <w:r>
        <w:rPr>
          <w:b/>
          <w:i w:val="0"/>
        </w:rPr>
        <w:t>Favorable contract text we should use.</w:t>
      </w:r>
      <w:r>
        <w:rPr>
          <w:b w:val="0"/>
          <w:i w:val="0"/>
        </w:rPr>
        <w:t xml:space="preserve"> The actual § 9.1 is broader than both parties' pleadings suggest. It covers disputes "arising out of or relating to this Agreement, or the breach, termination, or validity thereof, </w:t>
      </w:r>
      <w:r>
        <w:rPr>
          <w:b/>
          <w:i w:val="0"/>
        </w:rPr>
        <w:t>including any dispute regarding the scope or applicability of this agreement to arbitrate</w:t>
      </w:r>
      <w:r>
        <w:rPr>
          <w:b w:val="0"/>
          <w:i w:val="0"/>
        </w:rPr>
        <w:t>." JAMS Comprehensive Rule 11(b) also gives the arbitrator jurisdiction over arbitrability. Together, these give a strong argument that the arbitrability questions Trident raises (material breach, whether the tort claims are in scope, unconscionability) are delegated to the arbitrator (*Henry Schein, Inc. v. Archer &amp; White Sales, Inc.*, 586 U.S. 63 (2019)). Separately, Trident's "material breach vitiates the clause" theory runs into the separability rule (*Prima Paint*; *Buckeye Check Cashing*). One caution: whether we waived arbitration by litigating is generally for the court to decide, not the arbitrator. The delegation clause does not protect us on waiver.</w:t>
      </w:r>
    </w:p>
    <w:p>
      <w:pPr>
        <w:pStyle w:val="ListBullet"/>
      </w:pPr>
      <w:r>
        <w:rPr>
          <w:b/>
          <w:i w:val="0"/>
        </w:rPr>
        <w:t>Complaint ¶ 91 misquotes § 9.1.</w:t>
      </w:r>
      <w:r>
        <w:rPr>
          <w:b w:val="0"/>
          <w:i w:val="0"/>
        </w:rPr>
        <w:t xml:space="preserve"> It says the arbitrator may "award any remedy that would be available in a court." The actual clause says the arbitrator has "no authority to award damages in excess of the limitations set forth in Article VIII." This matters for the cap defense and for any unconscionability argument. It should be raised in the motion to compel, not in interrogatory answers.</w:t>
      </w:r>
    </w:p>
    <w:p>
      <w:r>
        <w:rPr>
          <w:b/>
          <w:i w:val="0"/>
        </w:rPr>
        <w:t>Recommendations:</w:t>
      </w:r>
      <w:r>
        <w:rPr>
          <w:b w:val="0"/>
          <w:i w:val="0"/>
        </w:rPr>
        <w:t xml:space="preserve"> (1) VC should decide, before March 5, whether to file the motion to compel arbitration and stay under 9 U.S.C. §§ 3–4. If we file, simultaneously request a stay of discovery, or an extension of the response deadline, pending decision (CMO ¶¶ 17, 28 contemplate this). (2) If we do not file now, include the standing reservation in the preamble and in Nos. 11, 18, 25 and 26 as the strategy memo directs. Draft every answer to avoid any suggestion that this Court is the chosen forum. Frame answers as compelled participation. (3) Do not seek affirmative merits relief from the Court (for example, a motion to compel against Trident) while the arbitration decision is pending. That is the kind of conduct post-*Morgan* courts weigh most heavily.</w:t>
      </w:r>
    </w:p>
    <w:p>
      <w:pPr>
        <w:pStyle w:val="Heading1"/>
      </w:pPr>
      <w:r>
        <w:t>IV. Recommended Preamble and Definitional Objections</w:t>
      </w:r>
    </w:p>
    <w:p>
      <w:r>
        <w:rPr>
          <w:b w:val="0"/>
          <w:i w:val="0"/>
        </w:rPr>
        <w:t>Keep the preamble short to avoid a "boilerplate" finding. Recommended elements:</w:t>
      </w:r>
    </w:p>
    <w:p>
      <w:pPr>
        <w:pStyle w:val="ListBullet"/>
      </w:pPr>
      <w:r>
        <w:rPr>
          <w:b/>
          <w:i w:val="0"/>
        </w:rPr>
        <w:t>Standing arbitration reservation</w:t>
      </w:r>
      <w:r>
        <w:rPr>
          <w:b w:val="0"/>
          <w:i w:val="0"/>
        </w:rPr>
        <w:t>, verbatim from Section IV.D.1 of the strategy memo.</w:t>
      </w:r>
    </w:p>
    <w:p>
      <w:pPr>
        <w:pStyle w:val="ListBullet"/>
      </w:pPr>
      <w:r>
        <w:rPr>
          <w:b/>
          <w:i w:val="0"/>
        </w:rPr>
        <w:t>Definition 1 ("You")</w:t>
      </w:r>
      <w:r>
        <w:rPr>
          <w:b w:val="0"/>
          <w:i w:val="0"/>
        </w:rPr>
        <w:t>: object to the extent it includes Whitmore's attorneys and consultants. Answers will be on behalf of Whitmore Capital Advisors LLC and its current officers and employees. Whitmore does not answer for counsel or for former employees such as Roszak, except as reflected in Whitmore's records.</w:t>
      </w:r>
    </w:p>
    <w:p>
      <w:pPr>
        <w:pStyle w:val="ListBullet"/>
      </w:pPr>
      <w:r>
        <w:rPr>
          <w:b/>
          <w:i w:val="0"/>
        </w:rPr>
        <w:t>Definition 4 ("Communication")</w:t>
      </w:r>
      <w:r>
        <w:rPr>
          <w:b w:val="0"/>
          <w:i w:val="0"/>
        </w:rPr>
        <w:t>: object to "telepathic impressions and subliminal messaging" as nonsensical, and construe the term by its ordinary meaning. (Note in the meet-and-confer that this shows the definitions are boilerplate. It is useful context for any Rule 26(g) argument.)</w:t>
      </w:r>
    </w:p>
    <w:p>
      <w:pPr>
        <w:pStyle w:val="ListBullet"/>
      </w:pPr>
      <w:r>
        <w:rPr>
          <w:b/>
          <w:i w:val="0"/>
        </w:rPr>
        <w:t>Definition 7 ("Identify" a person)</w:t>
      </w:r>
      <w:r>
        <w:rPr>
          <w:b w:val="0"/>
          <w:i w:val="0"/>
        </w:rPr>
        <w:t>: object to providing home addresses and personal contact information for current Whitmore employees. They may be contacted through counsel. Business contact information will be provided.</w:t>
      </w:r>
    </w:p>
    <w:p>
      <w:pPr>
        <w:pStyle w:val="ListBullet"/>
      </w:pPr>
      <w:r>
        <w:rPr>
          <w:b/>
          <w:i w:val="0"/>
        </w:rPr>
        <w:t>Definition 8 ("Identify" a document)</w:t>
      </w:r>
      <w:r>
        <w:rPr>
          <w:b w:val="0"/>
          <w:i w:val="0"/>
        </w:rPr>
        <w:t xml:space="preserve"> and the repeated "identify and describe the contents of all documents" phrasing: object as unduly burdensome. Where appropriate, invoke Rule 33(d) and specify records by Bates range. Do not narrate document contents.</w:t>
      </w:r>
    </w:p>
    <w:p>
      <w:pPr>
        <w:pStyle w:val="ListBullet"/>
      </w:pPr>
      <w:r>
        <w:rPr>
          <w:b/>
          <w:i w:val="0"/>
        </w:rPr>
        <w:t>Definition 12 ("Relevant Period" = Jan. 1, 2009 to present)</w:t>
      </w:r>
      <w:r>
        <w:rPr>
          <w:b w:val="0"/>
          <w:i w:val="0"/>
        </w:rPr>
        <w:t xml:space="preserve">: object as overbroad and disproportionate. The FASA took effect March 1, 2018, and the alleged conduct runs Q3 2021–Q2 2022 (fee claim: Q1–Q4 2022). The complaint's "since 2009" allegations (¶¶ 4, 29, 75) are conclusory. Tellingly, Trident's own initial disclosures describe the Relevant Period as Q3 2021–Q2 2022 (Disclosures § I.1). </w:t>
      </w:r>
      <w:r>
        <w:rPr>
          <w:b/>
          <w:i w:val="0"/>
        </w:rPr>
        <w:t>Proposed default scope:</w:t>
      </w:r>
      <w:r>
        <w:rPr>
          <w:b w:val="0"/>
          <w:i w:val="0"/>
        </w:rPr>
        <w:t xml:space="preserve"> March 1, 2018 to Feb. 28, 2025 for engagement-level information; Jan. 1, 2020 to Dec. 31, 2022 for valuation-specific information.</w:t>
      </w:r>
    </w:p>
    <w:p>
      <w:pPr>
        <w:pStyle w:val="ListBullet"/>
      </w:pPr>
      <w:r>
        <w:rPr>
          <w:b/>
          <w:i w:val="0"/>
        </w:rPr>
        <w:t>Definition 13 ("Fees" ... "or otherwise")</w:t>
      </w:r>
      <w:r>
        <w:rPr>
          <w:b w:val="0"/>
          <w:i w:val="0"/>
        </w:rPr>
        <w:t xml:space="preserve"> and Instruction 7 (and/or construed to expand scope): object as vague and overbroad.</w:t>
      </w:r>
    </w:p>
    <w:p>
      <w:pPr>
        <w:pStyle w:val="ListBullet"/>
      </w:pPr>
      <w:r>
        <w:rPr>
          <w:b/>
          <w:i w:val="0"/>
        </w:rPr>
        <w:t>Privilege</w:t>
      </w:r>
      <w:r>
        <w:rPr>
          <w:b w:val="0"/>
          <w:i w:val="0"/>
        </w:rPr>
        <w:t>: state that Whitmore will log withheld information consistent with Rule 26(b)(5) and Local Civ. R. 26.2, subject to the categorical-logging proposal. Do not include a blanket "to the extent it seeks privileged information" objection without then saying, interrogatory by interrogatory, whether anything is actually being withheld (Rule 34(b)(2)(C) practice, applied by analogy).</w:t>
      </w:r>
    </w:p>
    <w:p>
      <w:pPr>
        <w:pStyle w:val="Heading1"/>
      </w:pPr>
      <w:r>
        <w:t>V. Record Inconsistencies to Resolve Before Verification</w:t>
      </w:r>
    </w:p>
    <w:p>
      <w:r>
        <w:rPr>
          <w:b w:val="0"/>
          <w:i w:val="0"/>
        </w:rPr>
        <w:t>An officer must verify these answers under oath (Rule 33(b)(1)(B), (b)(3)), and counsel's signature on the objections carries Rule 26(g) certification. The following conflicts in our own record, or between our record and the operative documents, bear directly on specific interrogatories: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432"/>
            <w:shd w:val="clear" w:color="auto" w:fill="D9E2F3"/>
          </w:tcPr>
          <w:p>
            <w:r/>
            <w:r>
              <w:rPr>
                <w:b/>
                <w:sz w:val="19"/>
              </w:rPr>
              <w:t>#</w:t>
            </w:r>
          </w:p>
        </w:tc>
        <w:tc>
          <w:tcPr>
            <w:tcW w:type="dxa" w:w="3024"/>
            <w:shd w:val="clear" w:color="auto" w:fill="D9E2F3"/>
          </w:tcPr>
          <w:p>
            <w:r/>
            <w:r>
              <w:rPr>
                <w:b/>
                <w:sz w:val="19"/>
              </w:rPr>
              <w:t>Issue</w:t>
            </w:r>
          </w:p>
        </w:tc>
        <w:tc>
          <w:tcPr>
            <w:tcW w:type="dxa" w:w="1728"/>
            <w:shd w:val="clear" w:color="auto" w:fill="D9E2F3"/>
          </w:tcPr>
          <w:p>
            <w:r/>
            <w:r>
              <w:rPr>
                <w:b/>
                <w:sz w:val="19"/>
              </w:rPr>
              <w:t>Where it arises</w:t>
            </w:r>
          </w:p>
        </w:tc>
        <w:tc>
          <w:tcPr>
            <w:tcW w:type="dxa" w:w="1152"/>
            <w:shd w:val="clear" w:color="auto" w:fill="D9E2F3"/>
          </w:tcPr>
          <w:p>
            <w:r/>
            <w:r>
              <w:rPr>
                <w:b/>
                <w:sz w:val="19"/>
              </w:rPr>
              <w:t>Bears on</w:t>
            </w:r>
          </w:p>
        </w:tc>
        <w:tc>
          <w:tcPr>
            <w:tcW w:type="dxa" w:w="3024"/>
            <w:shd w:val="clear" w:color="auto" w:fill="D9E2F3"/>
          </w:tcPr>
          <w:p>
            <w:r/>
            <w:r>
              <w:rPr>
                <w:b/>
                <w:sz w:val="19"/>
              </w:rPr>
              <w:t>Recommended action</w:t>
            </w:r>
          </w:p>
        </w:tc>
      </w:tr>
      <w:tr>
        <w:tc>
          <w:tcPr>
            <w:tcW w:type="dxa" w:w="432"/>
          </w:tcPr>
          <w:p>
            <w:r/>
            <w:r>
              <w:rPr>
                <w:b w:val="0"/>
                <w:i w:val="0"/>
                <w:sz w:val="19"/>
              </w:rPr>
              <w:t>1</w:t>
            </w:r>
          </w:p>
        </w:tc>
        <w:tc>
          <w:tcPr>
            <w:tcW w:type="dxa" w:w="3024"/>
          </w:tcPr>
          <w:p>
            <w:r/>
            <w:r>
              <w:rPr>
                <w:b/>
                <w:i w:val="0"/>
                <w:sz w:val="19"/>
              </w:rPr>
              <w:t>Which valuation committee approved the marks?</w:t>
            </w:r>
            <w:r>
              <w:rPr>
                <w:b w:val="0"/>
                <w:i w:val="0"/>
                <w:sz w:val="19"/>
              </w:rPr>
              <w:t xml:space="preserve"> Answer ¶¶ 48–49 and the Seventh Affirmative Defense say valuations were approved by *Trident Growth Management's* valuation review committee, "chaired by Raj Anand." The strategy memo (Theme 2) and Complaint ¶ 32 describe *Whitmore's* committee, overseen or chaired by Denise Huang. FASA § 2.2(b)–(c) refers to "the Fund's valuation review committee" and to GP-approved valuations.</w:t>
            </w:r>
          </w:p>
        </w:tc>
        <w:tc>
          <w:tcPr>
            <w:tcW w:type="dxa" w:w="1728"/>
          </w:tcPr>
          <w:p>
            <w:r/>
            <w:r>
              <w:rPr>
                <w:b w:val="0"/>
                <w:i w:val="0"/>
                <w:sz w:val="19"/>
              </w:rPr>
              <w:t>Answer; strategy memo § III.B, § VII.D; Complaint ¶¶ 32–33, 68; FASA §§ 2.2, 8.1(b)</w:t>
            </w:r>
          </w:p>
        </w:tc>
        <w:tc>
          <w:tcPr>
            <w:tcW w:type="dxa" w:w="1152"/>
          </w:tcPr>
          <w:p>
            <w:r/>
            <w:r>
              <w:rPr>
                <w:b w:val="0"/>
                <w:i w:val="0"/>
                <w:sz w:val="19"/>
              </w:rPr>
              <w:t>Nos. 6, 10, 13, 18, 23</w:t>
            </w:r>
          </w:p>
        </w:tc>
        <w:tc>
          <w:tcPr>
            <w:tcW w:type="dxa" w:w="3024"/>
          </w:tcPr>
          <w:p>
            <w:r/>
            <w:r>
              <w:rPr>
                <w:b w:val="0"/>
                <w:i w:val="0"/>
                <w:sz w:val="19"/>
              </w:rPr>
              <w:t>Interview Huang and Tramonte and pull committee minutes now. Determine whether there were two committees (Whitmore internal and Fund/GP), and who approved what. The answer to No. 13 must be accurate even if it means amending the Answer. Being inconsistent here would damage both Theme 2 and the ratification defense.</w:t>
            </w:r>
          </w:p>
        </w:tc>
      </w:tr>
      <w:tr>
        <w:tc>
          <w:tcPr>
            <w:tcW w:type="dxa" w:w="432"/>
          </w:tcPr>
          <w:p>
            <w:r/>
            <w:r>
              <w:rPr>
                <w:b w:val="0"/>
                <w:i w:val="0"/>
                <w:sz w:val="19"/>
              </w:rPr>
              <w:t>2</w:t>
            </w:r>
          </w:p>
        </w:tc>
        <w:tc>
          <w:tcPr>
            <w:tcW w:type="dxa" w:w="3024"/>
          </w:tcPr>
          <w:p>
            <w:r/>
            <w:r>
              <w:rPr>
                <w:b/>
                <w:i w:val="0"/>
                <w:sz w:val="19"/>
              </w:rPr>
              <w:t>What were the $47,500 quarterly charges?</w:t>
            </w:r>
            <w:r>
              <w:rPr>
                <w:b w:val="0"/>
                <w:i w:val="0"/>
                <w:sz w:val="19"/>
              </w:rPr>
              <w:t xml:space="preserve"> Complaint ¶ 79 alleges they were for Whitmore's proprietary "WhitmoreConnect" platform, which is used for all ~40 clients. FASA § 4.7(b) covers only *third-party* costs incurred *specifically* for Client, and requires allocation disclosure for multi-client services. The strategy memo says vendor contracts and invoices were located, but does not identify the vendor.</w:t>
            </w:r>
          </w:p>
        </w:tc>
        <w:tc>
          <w:tcPr>
            <w:tcW w:type="dxa" w:w="1728"/>
          </w:tcPr>
          <w:p>
            <w:r/>
            <w:r>
              <w:rPr>
                <w:b w:val="0"/>
                <w:i w:val="0"/>
                <w:sz w:val="19"/>
              </w:rPr>
              <w:t>Complaint ¶¶ 79–82; FASA § 4.7(b)–(c); Answer ¶¶ 27, 53–57</w:t>
            </w:r>
          </w:p>
        </w:tc>
        <w:tc>
          <w:tcPr>
            <w:tcW w:type="dxa" w:w="1152"/>
          </w:tcPr>
          <w:p>
            <w:r/>
            <w:r>
              <w:rPr>
                <w:b w:val="0"/>
                <w:i w:val="0"/>
                <w:sz w:val="19"/>
              </w:rPr>
              <w:t>Nos. 9, 17, 27, 28</w:t>
            </w:r>
          </w:p>
        </w:tc>
        <w:tc>
          <w:tcPr>
            <w:tcW w:type="dxa" w:w="3024"/>
          </w:tcPr>
          <w:p>
            <w:r/>
            <w:r>
              <w:rPr>
                <w:b w:val="0"/>
                <w:i w:val="0"/>
                <w:sz w:val="19"/>
              </w:rPr>
              <w:t xml:space="preserve">Before any sworn answer, review the segregated vendor file with Tramonte. If any part of the charges was internal or multi-client without disclosed allocation, reassess the Fifth Affirmative Defense and settlement value of the $190,000 claim. Note that Complaint ¶ 81's "$10,000 prior written approval" requirement is </w:t>
            </w:r>
            <w:r>
              <w:rPr>
                <w:b/>
                <w:i w:val="0"/>
                <w:sz w:val="19"/>
              </w:rPr>
              <w:t>not</w:t>
            </w:r>
            <w:r>
              <w:rPr>
                <w:b w:val="0"/>
                <w:i w:val="0"/>
                <w:sz w:val="19"/>
              </w:rPr>
              <w:t xml:space="preserve"> in § 4.7(b). Prior approval applies only to § 4.7(a)(i) and (iv). This is a useful correction for the answers.</w:t>
            </w:r>
          </w:p>
        </w:tc>
      </w:tr>
      <w:tr>
        <w:tc>
          <w:tcPr>
            <w:tcW w:type="dxa" w:w="432"/>
          </w:tcPr>
          <w:p>
            <w:r/>
            <w:r>
              <w:rPr>
                <w:b w:val="0"/>
                <w:i w:val="0"/>
                <w:sz w:val="19"/>
              </w:rPr>
              <w:t>3</w:t>
            </w:r>
          </w:p>
        </w:tc>
        <w:tc>
          <w:tcPr>
            <w:tcW w:type="dxa" w:w="3024"/>
          </w:tcPr>
          <w:p>
            <w:r/>
            <w:r>
              <w:rPr>
                <w:b/>
                <w:i w:val="0"/>
                <w:sz w:val="19"/>
              </w:rPr>
              <w:t>Timing of the cap.</w:t>
            </w:r>
            <w:r>
              <w:rPr>
                <w:b w:val="0"/>
                <w:i w:val="0"/>
                <w:sz w:val="19"/>
              </w:rPr>
              <w:t xml:space="preserve"> Section 8.3 measures fees paid in the 12 months before "the date on which the </w:t>
            </w:r>
            <w:r>
              <w:rPr>
                <w:b/>
                <w:i w:val="0"/>
                <w:sz w:val="19"/>
              </w:rPr>
              <w:t>first event</w:t>
            </w:r>
            <w:r>
              <w:rPr>
                <w:b w:val="0"/>
                <w:i w:val="0"/>
                <w:sz w:val="19"/>
              </w:rPr>
              <w:t xml:space="preserve"> giving rise to such liability occurred." The Answer and the renewal letter paraphrase it as the period before the claim "arises." The Answer also attributes the consequential-damages exclusion to § 8.3; it is actually in § 8.2. Section 8.4 carves out fraud, willful misconduct and gross negligence, which is Trident's central theory (Complaint ¶¶ 104–107).</w:t>
            </w:r>
          </w:p>
        </w:tc>
        <w:tc>
          <w:tcPr>
            <w:tcW w:type="dxa" w:w="1728"/>
          </w:tcPr>
          <w:p>
            <w:r/>
            <w:r>
              <w:rPr>
                <w:b w:val="0"/>
                <w:i w:val="0"/>
                <w:sz w:val="19"/>
              </w:rPr>
              <w:t>FASA §§ 8.2–8.4; Answer ¶¶ 24, 63–64, Eighth Aff. Def.; Renewal Letter ¶ 2(c)</w:t>
            </w:r>
          </w:p>
        </w:tc>
        <w:tc>
          <w:tcPr>
            <w:tcW w:type="dxa" w:w="1152"/>
          </w:tcPr>
          <w:p>
            <w:r/>
            <w:r>
              <w:rPr>
                <w:b w:val="0"/>
                <w:i w:val="0"/>
                <w:sz w:val="19"/>
              </w:rPr>
              <w:t>No. 11</w:t>
            </w:r>
          </w:p>
        </w:tc>
        <w:tc>
          <w:tcPr>
            <w:tcW w:type="dxa" w:w="3024"/>
          </w:tcPr>
          <w:p>
            <w:r/>
            <w:r>
              <w:rPr>
                <w:b w:val="0"/>
                <w:i w:val="0"/>
                <w:sz w:val="19"/>
              </w:rPr>
              <w:t>If the first event is Q3 2021, the trailing period contains only $62,000 quarterly administration fees, so the cap is $496,000. If Trident argues for a later trigger, pass-through payments (for example, the Q1 2022 technology charges, if 'fees' includes them) could raise the cap. Confirm the actual payment dates from the billing records. Answer No. 11 using the contract's exact words.</w:t>
            </w:r>
          </w:p>
        </w:tc>
      </w:tr>
      <w:tr>
        <w:tc>
          <w:tcPr>
            <w:tcW w:type="dxa" w:w="432"/>
          </w:tcPr>
          <w:p>
            <w:r/>
            <w:r>
              <w:rPr>
                <w:b w:val="0"/>
                <w:i w:val="0"/>
                <w:sz w:val="19"/>
              </w:rPr>
              <w:t>4</w:t>
            </w:r>
          </w:p>
        </w:tc>
        <w:tc>
          <w:tcPr>
            <w:tcW w:type="dxa" w:w="3024"/>
          </w:tcPr>
          <w:p>
            <w:r/>
            <w:r>
              <w:rPr>
                <w:b/>
                <w:i w:val="0"/>
                <w:sz w:val="19"/>
              </w:rPr>
              <w:t>When did Whitmore learn of the NAV issues, and when did it notify Trident?</w:t>
            </w:r>
            <w:r>
              <w:rPr>
                <w:b w:val="0"/>
                <w:i w:val="0"/>
                <w:sz w:val="19"/>
              </w:rPr>
              <w:t xml:space="preserve"> The strategy memo says Trident raised concerns by letter on </w:t>
            </w:r>
            <w:r>
              <w:rPr>
                <w:b/>
                <w:i w:val="0"/>
                <w:sz w:val="19"/>
              </w:rPr>
              <w:t>June 14, 2022</w:t>
            </w:r>
            <w:r>
              <w:rPr>
                <w:b w:val="0"/>
                <w:i w:val="0"/>
                <w:sz w:val="19"/>
              </w:rPr>
              <w:t xml:space="preserve">, and a business review ran June–Aug. 2022. The Complaint says Tramonte discovered the discrepancies in a Sept.–Oct. 2022 transition review and that Whitmore formally notified Trident around </w:t>
            </w:r>
            <w:r>
              <w:rPr>
                <w:b/>
                <w:i w:val="0"/>
                <w:sz w:val="19"/>
              </w:rPr>
              <w:t>Oct. 14, 2022</w:t>
            </w:r>
            <w:r>
              <w:rPr>
                <w:b w:val="0"/>
                <w:i w:val="0"/>
                <w:sz w:val="19"/>
              </w:rPr>
              <w:t>. FASA § 5.5 requires written notice within 5 business days after discovering a material (&gt;1% of NAV) error.</w:t>
            </w:r>
          </w:p>
        </w:tc>
        <w:tc>
          <w:tcPr>
            <w:tcW w:type="dxa" w:w="1728"/>
          </w:tcPr>
          <w:p>
            <w:r/>
            <w:r>
              <w:rPr>
                <w:b w:val="0"/>
                <w:i w:val="0"/>
                <w:sz w:val="19"/>
              </w:rPr>
              <w:t>Strategy memo § V.A; Complaint ¶¶ 11, 70–74; FASA § 5.5</w:t>
            </w:r>
          </w:p>
        </w:tc>
        <w:tc>
          <w:tcPr>
            <w:tcW w:type="dxa" w:w="1152"/>
          </w:tcPr>
          <w:p>
            <w:r/>
            <w:r>
              <w:rPr>
                <w:b w:val="0"/>
                <w:i w:val="0"/>
                <w:sz w:val="19"/>
              </w:rPr>
              <w:t>Nos. 7, 22, 23</w:t>
            </w:r>
          </w:p>
        </w:tc>
        <w:tc>
          <w:tcPr>
            <w:tcW w:type="dxa" w:w="3024"/>
          </w:tcPr>
          <w:p>
            <w:r/>
            <w:r>
              <w:rPr>
                <w:b w:val="0"/>
                <w:i w:val="0"/>
                <w:sz w:val="19"/>
              </w:rPr>
              <w:t>This is a significant exposure point. Facts about what the June–Aug. 2022 review found, and when, are almost certainly discoverable. Establish the chronology from documents before answering. Do not describe the Sept.–Oct. 2022 transition review as privileged unless it was actually directed by counsel. If it was a business process, it is not privileged, even though it happened after counsel was engaged.</w:t>
            </w:r>
          </w:p>
        </w:tc>
      </w:tr>
      <w:tr>
        <w:tc>
          <w:tcPr>
            <w:tcW w:type="dxa" w:w="432"/>
          </w:tcPr>
          <w:p>
            <w:r/>
            <w:r>
              <w:rPr>
                <w:b w:val="0"/>
                <w:i w:val="0"/>
                <w:sz w:val="19"/>
              </w:rPr>
              <w:t>5</w:t>
            </w:r>
          </w:p>
        </w:tc>
        <w:tc>
          <w:tcPr>
            <w:tcW w:type="dxa" w:w="3024"/>
          </w:tcPr>
          <w:p>
            <w:r/>
            <w:r>
              <w:rPr>
                <w:b/>
                <w:i w:val="0"/>
                <w:sz w:val="19"/>
              </w:rPr>
              <w:t>Key Personnel notice.</w:t>
            </w:r>
            <w:r>
              <w:rPr>
                <w:b w:val="0"/>
                <w:i w:val="0"/>
                <w:sz w:val="19"/>
              </w:rPr>
              <w:t xml:space="preserve"> FASA § 6.1 requires written notice within 10 business days of a change in Key Personnel (the Head of Fund Accounting). Roszak left Aug. 15, 2022.</w:t>
            </w:r>
          </w:p>
        </w:tc>
        <w:tc>
          <w:tcPr>
            <w:tcW w:type="dxa" w:w="1728"/>
          </w:tcPr>
          <w:p>
            <w:r/>
            <w:r>
              <w:rPr>
                <w:b w:val="0"/>
                <w:i w:val="0"/>
                <w:sz w:val="19"/>
              </w:rPr>
              <w:t>FASA § 6.1</w:t>
            </w:r>
          </w:p>
        </w:tc>
        <w:tc>
          <w:tcPr>
            <w:tcW w:type="dxa" w:w="1152"/>
          </w:tcPr>
          <w:p>
            <w:r/>
            <w:r>
              <w:rPr>
                <w:b w:val="0"/>
                <w:i w:val="0"/>
                <w:sz w:val="19"/>
              </w:rPr>
              <w:t>Nos. 3, 19</w:t>
            </w:r>
          </w:p>
        </w:tc>
        <w:tc>
          <w:tcPr>
            <w:tcW w:type="dxa" w:w="3024"/>
          </w:tcPr>
          <w:p>
            <w:r/>
            <w:r>
              <w:rPr>
                <w:b w:val="0"/>
                <w:i w:val="0"/>
                <w:sz w:val="19"/>
              </w:rPr>
              <w:t>Confirm whether and when notice was given. Answer No. 3 accurately.</w:t>
            </w:r>
          </w:p>
        </w:tc>
      </w:tr>
      <w:tr>
        <w:tc>
          <w:tcPr>
            <w:tcW w:type="dxa" w:w="432"/>
          </w:tcPr>
          <w:p>
            <w:r/>
            <w:r>
              <w:rPr>
                <w:b w:val="0"/>
                <w:i w:val="0"/>
                <w:sz w:val="19"/>
              </w:rPr>
              <w:t>6</w:t>
            </w:r>
          </w:p>
        </w:tc>
        <w:tc>
          <w:tcPr>
            <w:tcW w:type="dxa" w:w="3024"/>
          </w:tcPr>
          <w:p>
            <w:r/>
            <w:r>
              <w:rPr>
                <w:b/>
                <w:i w:val="0"/>
                <w:sz w:val="19"/>
              </w:rPr>
              <w:t>Statute-of-limitations citations.</w:t>
            </w:r>
            <w:r>
              <w:rPr>
                <w:b w:val="0"/>
                <w:i w:val="0"/>
                <w:sz w:val="19"/>
              </w:rPr>
              <w:t xml:space="preserve"> The Answer cites CPLR § 214(4) for negligent misrepresentation, and the strategy memo cites § 214(6). New York courts often apply the six-year period of CPLR § 213(1) to negligent misrepresentation. In any event, the earliest alleged misstatement (the Q3 2021 report, delivered around Nov. 2021) is within three years of the Sept. 12, 2024 filing.</w:t>
            </w:r>
          </w:p>
        </w:tc>
        <w:tc>
          <w:tcPr>
            <w:tcW w:type="dxa" w:w="1728"/>
          </w:tcPr>
          <w:p>
            <w:r/>
            <w:r>
              <w:rPr>
                <w:b w:val="0"/>
                <w:i w:val="0"/>
                <w:sz w:val="19"/>
              </w:rPr>
              <w:t>Answer ¶¶ 97–98, Eleventh Aff. Def.; strategy memo Theme 5</w:t>
            </w:r>
          </w:p>
        </w:tc>
        <w:tc>
          <w:tcPr>
            <w:tcW w:type="dxa" w:w="1152"/>
          </w:tcPr>
          <w:p>
            <w:r/>
            <w:r>
              <w:rPr>
                <w:b w:val="0"/>
                <w:i w:val="0"/>
                <w:sz w:val="19"/>
              </w:rPr>
              <w:t>Future contention rogs</w:t>
            </w:r>
          </w:p>
        </w:tc>
        <w:tc>
          <w:tcPr>
            <w:tcW w:type="dxa" w:w="3024"/>
          </w:tcPr>
          <w:p>
            <w:r/>
            <w:r>
              <w:rPr>
                <w:b w:val="0"/>
                <w:i w:val="0"/>
                <w:sz w:val="19"/>
              </w:rPr>
              <w:t>Not called for by this set. Flag for any amendment. Do not overstate this defense in any response.</w:t>
            </w:r>
          </w:p>
        </w:tc>
      </w:tr>
      <w:tr>
        <w:tc>
          <w:tcPr>
            <w:tcW w:type="dxa" w:w="432"/>
          </w:tcPr>
          <w:p>
            <w:r/>
            <w:r>
              <w:rPr>
                <w:b w:val="0"/>
                <w:i w:val="0"/>
                <w:sz w:val="19"/>
              </w:rPr>
              <w:t>7</w:t>
            </w:r>
          </w:p>
        </w:tc>
        <w:tc>
          <w:tcPr>
            <w:tcW w:type="dxa" w:w="3024"/>
          </w:tcPr>
          <w:p>
            <w:r/>
            <w:r>
              <w:rPr>
                <w:b/>
                <w:i w:val="0"/>
                <w:sz w:val="19"/>
              </w:rPr>
              <w:t>Expert deadline mis-stated.</w:t>
            </w:r>
            <w:r>
              <w:rPr>
                <w:b w:val="0"/>
                <w:i w:val="0"/>
                <w:sz w:val="19"/>
              </w:rPr>
              <w:t xml:space="preserve"> The strategy memo and Trident's initial disclosures both treat Nov. 14, 2025 as the expert disclosure date. Under CMO ¶¶ 10–12, affirmative reports are due Sept. 15, 2025 (by the party with the burden of proof), and Nov. 14 is the close of expert depositions.</w:t>
            </w:r>
          </w:p>
        </w:tc>
        <w:tc>
          <w:tcPr>
            <w:tcW w:type="dxa" w:w="1728"/>
          </w:tcPr>
          <w:p>
            <w:r/>
            <w:r>
              <w:rPr>
                <w:b w:val="0"/>
                <w:i w:val="0"/>
                <w:sz w:val="19"/>
              </w:rPr>
              <w:t>CMO ¶¶ 10–12</w:t>
            </w:r>
          </w:p>
        </w:tc>
        <w:tc>
          <w:tcPr>
            <w:tcW w:type="dxa" w:w="1152"/>
          </w:tcPr>
          <w:p>
            <w:r/>
            <w:r>
              <w:rPr>
                <w:b w:val="0"/>
                <w:i w:val="0"/>
                <w:sz w:val="19"/>
              </w:rPr>
              <w:t>No. 20; case planning</w:t>
            </w:r>
          </w:p>
        </w:tc>
        <w:tc>
          <w:tcPr>
            <w:tcW w:type="dxa" w:w="3024"/>
          </w:tcPr>
          <w:p>
            <w:r/>
            <w:r>
              <w:rPr>
                <w:b w:val="0"/>
                <w:i w:val="0"/>
                <w:sz w:val="19"/>
              </w:rPr>
              <w:t>Whitmore bears the burden on its affirmative defenses (the cap and comparative fault). Plan affirmative expert work for Sept. 15.</w:t>
            </w:r>
          </w:p>
        </w:tc>
      </w:tr>
      <w:tr>
        <w:tc>
          <w:tcPr>
            <w:tcW w:type="dxa" w:w="432"/>
          </w:tcPr>
          <w:p>
            <w:r/>
            <w:r>
              <w:rPr>
                <w:b w:val="0"/>
                <w:i w:val="0"/>
                <w:sz w:val="19"/>
              </w:rPr>
              <w:t>8</w:t>
            </w:r>
          </w:p>
        </w:tc>
        <w:tc>
          <w:tcPr>
            <w:tcW w:type="dxa" w:w="3024"/>
          </w:tcPr>
          <w:p>
            <w:r/>
            <w:r>
              <w:rPr>
                <w:b/>
                <w:i w:val="0"/>
                <w:sz w:val="19"/>
              </w:rPr>
              <w:t>Minor errors.</w:t>
            </w:r>
            <w:r>
              <w:rPr>
                <w:b w:val="0"/>
                <w:i w:val="0"/>
                <w:sz w:val="19"/>
              </w:rPr>
              <w:t xml:space="preserve"> The strategy memo refers to "Judge Swain"; the case is assigned to Judge Laura Taylor Saunders. Trident's address appears as 590 Madison (FASA § 12.9, renewal letter) and as 595 Madison (Complaint, Answer, disclosures).</w:t>
            </w:r>
          </w:p>
        </w:tc>
        <w:tc>
          <w:tcPr>
            <w:tcW w:type="dxa" w:w="1728"/>
          </w:tcPr>
          <w:p>
            <w:r/>
            <w:r>
              <w:rPr>
                <w:b w:val="0"/>
                <w:i w:val="0"/>
                <w:sz w:val="19"/>
              </w:rPr>
              <w:t>Strategy memo § X.C; FASA § 12.9</w:t>
            </w:r>
          </w:p>
        </w:tc>
        <w:tc>
          <w:tcPr>
            <w:tcW w:type="dxa" w:w="1152"/>
          </w:tcPr>
          <w:p>
            <w:r/>
            <w:r>
              <w:rPr>
                <w:b w:val="0"/>
                <w:i w:val="0"/>
                <w:sz w:val="19"/>
              </w:rPr>
              <w:t>General</w:t>
            </w:r>
          </w:p>
        </w:tc>
        <w:tc>
          <w:tcPr>
            <w:tcW w:type="dxa" w:w="3024"/>
          </w:tcPr>
          <w:p>
            <w:r/>
            <w:r>
              <w:rPr>
                <w:b w:val="0"/>
                <w:i w:val="0"/>
                <w:sz w:val="19"/>
              </w:rPr>
              <w:t>Correct in all outgoing papers.</w:t>
            </w:r>
          </w:p>
        </w:tc>
      </w:tr>
      <w:tr>
        <w:tc>
          <w:tcPr>
            <w:tcW w:type="dxa" w:w="432"/>
          </w:tcPr>
          <w:p>
            <w:r/>
            <w:r>
              <w:rPr>
                <w:b w:val="0"/>
                <w:i w:val="0"/>
                <w:sz w:val="19"/>
              </w:rPr>
              <w:t>9</w:t>
            </w:r>
          </w:p>
        </w:tc>
        <w:tc>
          <w:tcPr>
            <w:tcW w:type="dxa" w:w="3024"/>
          </w:tcPr>
          <w:p>
            <w:r/>
            <w:r>
              <w:rPr>
                <w:b/>
                <w:i w:val="0"/>
                <w:sz w:val="19"/>
              </w:rPr>
              <w:t>Diversity and member citizenship.</w:t>
            </w:r>
            <w:r>
              <w:rPr>
                <w:b w:val="0"/>
                <w:i w:val="0"/>
                <w:sz w:val="19"/>
              </w:rPr>
              <w:t xml:space="preserve"> Complaint ¶ 12 alleges Malcolm Whitmore is Whitmore's *sole member*. LLC citizenship follows that of its members.</w:t>
            </w:r>
          </w:p>
        </w:tc>
        <w:tc>
          <w:tcPr>
            <w:tcW w:type="dxa" w:w="1728"/>
          </w:tcPr>
          <w:p>
            <w:r/>
            <w:r>
              <w:rPr>
                <w:b w:val="0"/>
                <w:i w:val="0"/>
                <w:sz w:val="19"/>
              </w:rPr>
              <w:t>Complaint ¶ 12; Answer ¶ 13</w:t>
            </w:r>
          </w:p>
        </w:tc>
        <w:tc>
          <w:tcPr>
            <w:tcW w:type="dxa" w:w="1152"/>
          </w:tcPr>
          <w:p>
            <w:r/>
            <w:r>
              <w:rPr>
                <w:b w:val="0"/>
                <w:i w:val="0"/>
                <w:sz w:val="19"/>
              </w:rPr>
              <w:t>No. 1</w:t>
            </w:r>
          </w:p>
        </w:tc>
        <w:tc>
          <w:tcPr>
            <w:tcW w:type="dxa" w:w="3024"/>
          </w:tcPr>
          <w:p>
            <w:r/>
            <w:r>
              <w:rPr>
                <w:b w:val="0"/>
                <w:i w:val="0"/>
                <w:sz w:val="19"/>
              </w:rPr>
              <w:t>Confirm the membership when answering No. 1. If any member is not diverse from any Trident partner, the Court lacks subject-matter jurisdiction. Raise that immediately with VC, as it affects forum strategy.</w:t>
            </w:r>
          </w:p>
        </w:tc>
      </w:tr>
    </w:tbl>
    <w:p/>
    <w:p>
      <w:pPr>
        <w:pStyle w:val="Heading1"/>
      </w:pPr>
      <w:r>
        <w:t>VI. Summary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576"/>
            <w:shd w:val="clear" w:color="auto" w:fill="D9E2F3"/>
          </w:tcPr>
          <w:p>
            <w:r/>
            <w:r>
              <w:rPr>
                <w:b/>
                <w:sz w:val="19"/>
              </w:rPr>
              <w:t>No.</w:t>
            </w:r>
          </w:p>
        </w:tc>
        <w:tc>
          <w:tcPr>
            <w:tcW w:type="dxa" w:w="2160"/>
            <w:shd w:val="clear" w:color="auto" w:fill="D9E2F3"/>
          </w:tcPr>
          <w:p>
            <w:r/>
            <w:r>
              <w:rPr>
                <w:b/>
                <w:sz w:val="19"/>
              </w:rPr>
              <w:t>Subject</w:t>
            </w:r>
          </w:p>
        </w:tc>
        <w:tc>
          <w:tcPr>
            <w:tcW w:type="dxa" w:w="2448"/>
            <w:shd w:val="clear" w:color="auto" w:fill="D9E2F3"/>
          </w:tcPr>
          <w:p>
            <w:r/>
            <w:r>
              <w:rPr>
                <w:b/>
                <w:sz w:val="19"/>
              </w:rPr>
              <w:t>Principal objections</w:t>
            </w:r>
          </w:p>
        </w:tc>
        <w:tc>
          <w:tcPr>
            <w:tcW w:type="dxa" w:w="3024"/>
            <w:shd w:val="clear" w:color="auto" w:fill="D9E2F3"/>
          </w:tcPr>
          <w:p>
            <w:r/>
            <w:r>
              <w:rPr>
                <w:b/>
                <w:sz w:val="19"/>
              </w:rPr>
              <w:t>Recommended posture</w:t>
            </w:r>
          </w:p>
        </w:tc>
        <w:tc>
          <w:tcPr>
            <w:tcW w:type="dxa" w:w="1152"/>
            <w:shd w:val="clear" w:color="auto" w:fill="D9E2F3"/>
          </w:tcPr>
          <w:p>
            <w:r/>
            <w:r>
              <w:rPr>
                <w:b/>
                <w:sz w:val="19"/>
              </w:rPr>
              <w:t>Risk</w:t>
            </w:r>
          </w:p>
        </w:tc>
      </w:tr>
      <w:tr>
        <w:tc>
          <w:tcPr>
            <w:tcW w:type="dxa" w:w="576"/>
          </w:tcPr>
          <w:p>
            <w:r/>
            <w:r>
              <w:rPr>
                <w:b w:val="0"/>
                <w:i w:val="0"/>
                <w:sz w:val="19"/>
              </w:rPr>
              <w:t>1</w:t>
            </w:r>
          </w:p>
        </w:tc>
        <w:tc>
          <w:tcPr>
            <w:tcW w:type="dxa" w:w="2160"/>
          </w:tcPr>
          <w:p>
            <w:r/>
            <w:r>
              <w:rPr>
                <w:b w:val="0"/>
                <w:i w:val="0"/>
                <w:sz w:val="19"/>
              </w:rPr>
              <w:t>Entity info; officers</w:t>
            </w:r>
          </w:p>
        </w:tc>
        <w:tc>
          <w:tcPr>
            <w:tcW w:type="dxa" w:w="2448"/>
          </w:tcPr>
          <w:p>
            <w:r/>
            <w:r>
              <w:rPr>
                <w:b w:val="0"/>
                <w:i w:val="0"/>
                <w:sz w:val="19"/>
              </w:rPr>
              <w:t>L.R. 33.3 (minor); home addresses</w:t>
            </w:r>
          </w:p>
        </w:tc>
        <w:tc>
          <w:tcPr>
            <w:tcW w:type="dxa" w:w="3024"/>
          </w:tcPr>
          <w:p>
            <w:r/>
            <w:r>
              <w:rPr>
                <w:b w:val="0"/>
                <w:i w:val="0"/>
                <w:sz w:val="19"/>
              </w:rPr>
              <w:t>Answer fully (business addresses)</w:t>
            </w:r>
          </w:p>
        </w:tc>
        <w:tc>
          <w:tcPr>
            <w:tcW w:type="dxa" w:w="1152"/>
          </w:tcPr>
          <w:p>
            <w:r/>
            <w:r>
              <w:rPr>
                <w:b w:val="0"/>
                <w:i w:val="0"/>
                <w:sz w:val="19"/>
              </w:rPr>
              <w:t>Low</w:t>
            </w:r>
          </w:p>
        </w:tc>
      </w:tr>
      <w:tr>
        <w:tc>
          <w:tcPr>
            <w:tcW w:type="dxa" w:w="576"/>
          </w:tcPr>
          <w:p>
            <w:r/>
            <w:r>
              <w:rPr>
                <w:b w:val="0"/>
                <w:i w:val="0"/>
                <w:sz w:val="19"/>
              </w:rPr>
              <w:t>2</w:t>
            </w:r>
          </w:p>
        </w:tc>
        <w:tc>
          <w:tcPr>
            <w:tcW w:type="dxa" w:w="2160"/>
          </w:tcPr>
          <w:p>
            <w:r/>
            <w:r>
              <w:rPr>
                <w:b w:val="0"/>
                <w:i w:val="0"/>
                <w:sz w:val="19"/>
              </w:rPr>
              <w:t>All services/clients/AUA since 2009</w:t>
            </w:r>
          </w:p>
        </w:tc>
        <w:tc>
          <w:tcPr>
            <w:tcW w:type="dxa" w:w="2448"/>
          </w:tcPr>
          <w:p>
            <w:r/>
            <w:r>
              <w:rPr>
                <w:b w:val="0"/>
                <w:i w:val="0"/>
                <w:sz w:val="19"/>
              </w:rPr>
              <w:t>Overbreadth (2009); relevance; 11.2 confidentiality; L.R. 33.3; subparts</w:t>
            </w:r>
          </w:p>
        </w:tc>
        <w:tc>
          <w:tcPr>
            <w:tcW w:type="dxa" w:w="3024"/>
          </w:tcPr>
          <w:p>
            <w:r/>
            <w:r>
              <w:rPr>
                <w:b w:val="0"/>
                <w:i w:val="0"/>
                <w:sz w:val="19"/>
              </w:rPr>
              <w:t>Partial: services generally + current approx. count/AUA (already admitted)</w:t>
            </w:r>
          </w:p>
        </w:tc>
        <w:tc>
          <w:tcPr>
            <w:tcW w:type="dxa" w:w="1152"/>
          </w:tcPr>
          <w:p>
            <w:r/>
            <w:r>
              <w:rPr>
                <w:b w:val="0"/>
                <w:i w:val="0"/>
                <w:sz w:val="19"/>
              </w:rPr>
              <w:t>Low</w:t>
            </w:r>
          </w:p>
        </w:tc>
      </w:tr>
      <w:tr>
        <w:tc>
          <w:tcPr>
            <w:tcW w:type="dxa" w:w="576"/>
          </w:tcPr>
          <w:p>
            <w:r/>
            <w:r>
              <w:rPr>
                <w:b w:val="0"/>
                <w:i w:val="0"/>
                <w:sz w:val="19"/>
              </w:rPr>
              <w:t>3</w:t>
            </w:r>
          </w:p>
        </w:tc>
        <w:tc>
          <w:tcPr>
            <w:tcW w:type="dxa" w:w="2160"/>
          </w:tcPr>
          <w:p>
            <w:r/>
            <w:r>
              <w:rPr>
                <w:b w:val="0"/>
                <w:i w:val="0"/>
                <w:sz w:val="19"/>
              </w:rPr>
              <w:t>Persons on Trident account 2018–present</w:t>
            </w:r>
          </w:p>
        </w:tc>
        <w:tc>
          <w:tcPr>
            <w:tcW w:type="dxa" w:w="2448"/>
          </w:tcPr>
          <w:p>
            <w:r/>
            <w:r>
              <w:rPr>
                <w:b w:val="0"/>
                <w:i w:val="0"/>
                <w:sz w:val="19"/>
              </w:rPr>
              <w:t>Home contact info</w:t>
            </w:r>
          </w:p>
        </w:tc>
        <w:tc>
          <w:tcPr>
            <w:tcW w:type="dxa" w:w="3024"/>
          </w:tcPr>
          <w:p>
            <w:r/>
            <w:r>
              <w:rPr>
                <w:b w:val="0"/>
                <w:i w:val="0"/>
                <w:sz w:val="19"/>
              </w:rPr>
              <w:t>Answer</w:t>
            </w:r>
          </w:p>
        </w:tc>
        <w:tc>
          <w:tcPr>
            <w:tcW w:type="dxa" w:w="1152"/>
          </w:tcPr>
          <w:p>
            <w:r/>
            <w:r>
              <w:rPr>
                <w:b w:val="0"/>
                <w:i w:val="0"/>
                <w:sz w:val="19"/>
              </w:rPr>
              <w:t>Low–Med</w:t>
            </w:r>
          </w:p>
        </w:tc>
      </w:tr>
      <w:tr>
        <w:tc>
          <w:tcPr>
            <w:tcW w:type="dxa" w:w="576"/>
          </w:tcPr>
          <w:p>
            <w:r/>
            <w:r>
              <w:rPr>
                <w:b w:val="0"/>
                <w:i w:val="0"/>
                <w:sz w:val="19"/>
              </w:rPr>
              <w:t>4</w:t>
            </w:r>
          </w:p>
        </w:tc>
        <w:tc>
          <w:tcPr>
            <w:tcW w:type="dxa" w:w="2160"/>
          </w:tcPr>
          <w:p>
            <w:r/>
            <w:r>
              <w:rPr>
                <w:b w:val="0"/>
                <w:i w:val="0"/>
                <w:sz w:val="19"/>
              </w:rPr>
              <w:t>Persons with knowledge</w:t>
            </w:r>
          </w:p>
        </w:tc>
        <w:tc>
          <w:tcPr>
            <w:tcW w:type="dxa" w:w="2448"/>
          </w:tcPr>
          <w:p>
            <w:r/>
            <w:r>
              <w:rPr>
                <w:b w:val="0"/>
                <w:i w:val="0"/>
                <w:sz w:val="19"/>
              </w:rPr>
              <w:t>Privilege (counsel/consultant excluded)</w:t>
            </w:r>
          </w:p>
        </w:tc>
        <w:tc>
          <w:tcPr>
            <w:tcW w:type="dxa" w:w="3024"/>
          </w:tcPr>
          <w:p>
            <w:r/>
            <w:r>
              <w:rPr>
                <w:b w:val="0"/>
                <w:i w:val="0"/>
                <w:sz w:val="19"/>
              </w:rPr>
              <w:t>Answer; consistent with Rule 26(a) disclosures</w:t>
            </w:r>
          </w:p>
        </w:tc>
        <w:tc>
          <w:tcPr>
            <w:tcW w:type="dxa" w:w="1152"/>
          </w:tcPr>
          <w:p>
            <w:r/>
            <w:r>
              <w:rPr>
                <w:b w:val="0"/>
                <w:i w:val="0"/>
                <w:sz w:val="19"/>
              </w:rPr>
              <w:t>Low</w:t>
            </w:r>
          </w:p>
        </w:tc>
      </w:tr>
      <w:tr>
        <w:tc>
          <w:tcPr>
            <w:tcW w:type="dxa" w:w="576"/>
          </w:tcPr>
          <w:p>
            <w:r/>
            <w:r>
              <w:rPr>
                <w:b w:val="0"/>
                <w:i w:val="0"/>
                <w:sz w:val="19"/>
              </w:rPr>
              <w:t>5</w:t>
            </w:r>
          </w:p>
        </w:tc>
        <w:tc>
          <w:tcPr>
            <w:tcW w:type="dxa" w:w="2160"/>
          </w:tcPr>
          <w:p>
            <w:r/>
            <w:r>
              <w:rPr>
                <w:b w:val="0"/>
                <w:i w:val="0"/>
                <w:sz w:val="19"/>
              </w:rPr>
              <w:t>Valuation/NAV policies since 2009</w:t>
            </w:r>
          </w:p>
        </w:tc>
        <w:tc>
          <w:tcPr>
            <w:tcW w:type="dxa" w:w="2448"/>
          </w:tcPr>
          <w:p>
            <w:r/>
            <w:r>
              <w:rPr>
                <w:b w:val="0"/>
                <w:i w:val="0"/>
                <w:sz w:val="19"/>
              </w:rPr>
              <w:t>Temporal overbreadth; L.R. 33.3</w:t>
            </w:r>
          </w:p>
        </w:tc>
        <w:tc>
          <w:tcPr>
            <w:tcW w:type="dxa" w:w="3024"/>
          </w:tcPr>
          <w:p>
            <w:r/>
            <w:r>
              <w:rPr>
                <w:b w:val="0"/>
                <w:i w:val="0"/>
                <w:sz w:val="19"/>
              </w:rPr>
              <w:t>Answer for 2018–2022 via Rule 33(d) + short narrative</w:t>
            </w:r>
          </w:p>
        </w:tc>
        <w:tc>
          <w:tcPr>
            <w:tcW w:type="dxa" w:w="1152"/>
          </w:tcPr>
          <w:p>
            <w:r/>
            <w:r>
              <w:rPr>
                <w:b w:val="0"/>
                <w:i w:val="0"/>
                <w:sz w:val="19"/>
              </w:rPr>
              <w:t>Med</w:t>
            </w:r>
          </w:p>
        </w:tc>
      </w:tr>
      <w:tr>
        <w:tc>
          <w:tcPr>
            <w:tcW w:type="dxa" w:w="576"/>
          </w:tcPr>
          <w:p>
            <w:r/>
            <w:r>
              <w:rPr>
                <w:b w:val="0"/>
                <w:i w:val="0"/>
                <w:sz w:val="19"/>
              </w:rPr>
              <w:t>6</w:t>
            </w:r>
          </w:p>
        </w:tc>
        <w:tc>
          <w:tcPr>
            <w:tcW w:type="dxa" w:w="2160"/>
          </w:tcPr>
          <w:p>
            <w:r/>
            <w:r>
              <w:rPr>
                <w:b w:val="0"/>
                <w:i w:val="0"/>
                <w:sz w:val="19"/>
              </w:rPr>
              <w:t>Q3 2021 NAV preparation chronology</w:t>
            </w:r>
          </w:p>
        </w:tc>
        <w:tc>
          <w:tcPr>
            <w:tcW w:type="dxa" w:w="2448"/>
          </w:tcPr>
          <w:p>
            <w:r/>
            <w:r>
              <w:rPr>
                <w:b w:val="0"/>
                <w:i w:val="0"/>
                <w:sz w:val="19"/>
              </w:rPr>
              <w:t>L.R. 33.3; Roszak's knowledge</w:t>
            </w:r>
          </w:p>
        </w:tc>
        <w:tc>
          <w:tcPr>
            <w:tcW w:type="dxa" w:w="3024"/>
          </w:tcPr>
          <w:p>
            <w:r/>
            <w:r>
              <w:rPr>
                <w:b w:val="0"/>
                <w:i w:val="0"/>
                <w:sz w:val="19"/>
              </w:rPr>
              <w:t>Answer (supports Theme 2)</w:t>
            </w:r>
          </w:p>
        </w:tc>
        <w:tc>
          <w:tcPr>
            <w:tcW w:type="dxa" w:w="1152"/>
          </w:tcPr>
          <w:p>
            <w:r/>
            <w:r>
              <w:rPr>
                <w:b w:val="0"/>
                <w:i w:val="0"/>
                <w:sz w:val="19"/>
              </w:rPr>
              <w:t>Med</w:t>
            </w:r>
          </w:p>
        </w:tc>
      </w:tr>
      <w:tr>
        <w:tc>
          <w:tcPr>
            <w:tcW w:type="dxa" w:w="576"/>
          </w:tcPr>
          <w:p>
            <w:r/>
            <w:r>
              <w:rPr>
                <w:b w:val="0"/>
                <w:i w:val="0"/>
                <w:sz w:val="19"/>
              </w:rPr>
              <w:t>7</w:t>
            </w:r>
          </w:p>
        </w:tc>
        <w:tc>
          <w:tcPr>
            <w:tcW w:type="dxa" w:w="2160"/>
          </w:tcPr>
          <w:p>
            <w:r/>
            <w:r>
              <w:rPr>
                <w:b w:val="0"/>
                <w:i w:val="0"/>
                <w:sz w:val="19"/>
              </w:rPr>
              <w:t>Investigation of NAV discrepancies + advice</w:t>
            </w:r>
          </w:p>
        </w:tc>
        <w:tc>
          <w:tcPr>
            <w:tcW w:type="dxa" w:w="2448"/>
          </w:tcPr>
          <w:p>
            <w:r/>
            <w:r>
              <w:rPr>
                <w:b w:val="0"/>
                <w:i w:val="0"/>
                <w:sz w:val="19"/>
              </w:rPr>
              <w:t>A-C privilege; work product; Upjohn line</w:t>
            </w:r>
          </w:p>
        </w:tc>
        <w:tc>
          <w:tcPr>
            <w:tcW w:type="dxa" w:w="3024"/>
          </w:tcPr>
          <w:p>
            <w:r/>
            <w:r>
              <w:rPr>
                <w:b w:val="0"/>
                <w:i w:val="0"/>
                <w:sz w:val="19"/>
              </w:rPr>
              <w:t>Partial: pre-Sept. 2022 business-review facts; withhold and log counsel-directed work</w:t>
            </w:r>
          </w:p>
        </w:tc>
        <w:tc>
          <w:tcPr>
            <w:tcW w:type="dxa" w:w="1152"/>
          </w:tcPr>
          <w:p>
            <w:r/>
            <w:r>
              <w:rPr>
                <w:b/>
                <w:i w:val="0"/>
                <w:sz w:val="19"/>
              </w:rPr>
              <w:t>High</w:t>
            </w:r>
          </w:p>
        </w:tc>
      </w:tr>
      <w:tr>
        <w:tc>
          <w:tcPr>
            <w:tcW w:type="dxa" w:w="576"/>
          </w:tcPr>
          <w:p>
            <w:r/>
            <w:r>
              <w:rPr>
                <w:b w:val="0"/>
                <w:i w:val="0"/>
                <w:sz w:val="19"/>
              </w:rPr>
              <w:t>8</w:t>
            </w:r>
          </w:p>
        </w:tc>
        <w:tc>
          <w:tcPr>
            <w:tcW w:type="dxa" w:w="2160"/>
          </w:tcPr>
          <w:p>
            <w:r/>
            <w:r>
              <w:rPr>
                <w:b w:val="0"/>
                <w:i w:val="0"/>
                <w:sz w:val="19"/>
              </w:rPr>
              <w:t>All MedStream valuation documents 2020–22</w:t>
            </w:r>
          </w:p>
        </w:tc>
        <w:tc>
          <w:tcPr>
            <w:tcW w:type="dxa" w:w="2448"/>
          </w:tcPr>
          <w:p>
            <w:r/>
            <w:r>
              <w:rPr>
                <w:b w:val="0"/>
                <w:i w:val="0"/>
                <w:sz w:val="19"/>
              </w:rPr>
              <w:t>Rule 33 misuse (document request); burden</w:t>
            </w:r>
          </w:p>
        </w:tc>
        <w:tc>
          <w:tcPr>
            <w:tcW w:type="dxa" w:w="3024"/>
          </w:tcPr>
          <w:p>
            <w:r/>
            <w:r>
              <w:rPr>
                <w:b w:val="0"/>
                <w:i w:val="0"/>
                <w:sz w:val="19"/>
              </w:rPr>
              <w:t>Rule 33(d) designation; object to narrating contents</w:t>
            </w:r>
          </w:p>
        </w:tc>
        <w:tc>
          <w:tcPr>
            <w:tcW w:type="dxa" w:w="1152"/>
          </w:tcPr>
          <w:p>
            <w:r/>
            <w:r>
              <w:rPr>
                <w:b w:val="0"/>
                <w:i w:val="0"/>
                <w:sz w:val="19"/>
              </w:rPr>
              <w:t>Med</w:t>
            </w:r>
          </w:p>
        </w:tc>
      </w:tr>
      <w:tr>
        <w:tc>
          <w:tcPr>
            <w:tcW w:type="dxa" w:w="576"/>
          </w:tcPr>
          <w:p>
            <w:r/>
            <w:r>
              <w:rPr>
                <w:b w:val="0"/>
                <w:i w:val="0"/>
                <w:sz w:val="19"/>
              </w:rPr>
              <w:t>9</w:t>
            </w:r>
          </w:p>
        </w:tc>
        <w:tc>
          <w:tcPr>
            <w:tcW w:type="dxa" w:w="2160"/>
          </w:tcPr>
          <w:p>
            <w:r/>
            <w:r>
              <w:rPr>
                <w:b w:val="0"/>
                <w:i w:val="0"/>
                <w:sz w:val="19"/>
              </w:rPr>
              <w:t>Fee structure since 2009; Trident billing by quarter</w:t>
            </w:r>
          </w:p>
        </w:tc>
        <w:tc>
          <w:tcPr>
            <w:tcW w:type="dxa" w:w="2448"/>
          </w:tcPr>
          <w:p>
            <w:r/>
            <w:r>
              <w:rPr>
                <w:b w:val="0"/>
                <w:i w:val="0"/>
                <w:sz w:val="19"/>
              </w:rPr>
              <w:t>Overbreadth; confidentiality; subparts</w:t>
            </w:r>
          </w:p>
        </w:tc>
        <w:tc>
          <w:tcPr>
            <w:tcW w:type="dxa" w:w="3024"/>
          </w:tcPr>
          <w:p>
            <w:r/>
            <w:r>
              <w:rPr>
                <w:b w:val="0"/>
                <w:i w:val="0"/>
                <w:sz w:val="19"/>
              </w:rPr>
              <w:t>Partial: FASA terms + Trident invoices via 33(d) (Q1 2018–Q4 2024)</w:t>
            </w:r>
          </w:p>
        </w:tc>
        <w:tc>
          <w:tcPr>
            <w:tcW w:type="dxa" w:w="1152"/>
          </w:tcPr>
          <w:p>
            <w:r/>
            <w:r>
              <w:rPr>
                <w:b w:val="0"/>
                <w:i w:val="0"/>
                <w:sz w:val="19"/>
              </w:rPr>
              <w:t>Med</w:t>
            </w:r>
          </w:p>
        </w:tc>
      </w:tr>
      <w:tr>
        <w:tc>
          <w:tcPr>
            <w:tcW w:type="dxa" w:w="576"/>
          </w:tcPr>
          <w:p>
            <w:r/>
            <w:r>
              <w:rPr>
                <w:b w:val="0"/>
                <w:i w:val="0"/>
                <w:sz w:val="19"/>
              </w:rPr>
              <w:t>10</w:t>
            </w:r>
          </w:p>
        </w:tc>
        <w:tc>
          <w:tcPr>
            <w:tcW w:type="dxa" w:w="2160"/>
          </w:tcPr>
          <w:p>
            <w:r/>
            <w:r>
              <w:rPr>
                <w:b w:val="0"/>
                <w:i w:val="0"/>
                <w:sz w:val="19"/>
              </w:rPr>
              <w:t>NAVs and methodology Q3 2021–Q2 2022</w:t>
            </w:r>
          </w:p>
        </w:tc>
        <w:tc>
          <w:tcPr>
            <w:tcW w:type="dxa" w:w="2448"/>
          </w:tcPr>
          <w:p>
            <w:r/>
            <w:r>
              <w:rPr>
                <w:b w:val="0"/>
                <w:i w:val="0"/>
                <w:sz w:val="19"/>
              </w:rPr>
              <w:t>None substantial</w:t>
            </w:r>
          </w:p>
        </w:tc>
        <w:tc>
          <w:tcPr>
            <w:tcW w:type="dxa" w:w="3024"/>
          </w:tcPr>
          <w:p>
            <w:r/>
            <w:r>
              <w:rPr>
                <w:b w:val="0"/>
                <w:i w:val="0"/>
                <w:sz w:val="19"/>
              </w:rPr>
              <w:t>Answer fully</w:t>
            </w:r>
          </w:p>
        </w:tc>
        <w:tc>
          <w:tcPr>
            <w:tcW w:type="dxa" w:w="1152"/>
          </w:tcPr>
          <w:p>
            <w:r/>
            <w:r>
              <w:rPr>
                <w:b w:val="0"/>
                <w:i w:val="0"/>
                <w:sz w:val="19"/>
              </w:rPr>
              <w:t>Med</w:t>
            </w:r>
          </w:p>
        </w:tc>
      </w:tr>
      <w:tr>
        <w:tc>
          <w:tcPr>
            <w:tcW w:type="dxa" w:w="576"/>
          </w:tcPr>
          <w:p>
            <w:r/>
            <w:r>
              <w:rPr>
                <w:b w:val="0"/>
                <w:i w:val="0"/>
                <w:sz w:val="19"/>
              </w:rPr>
              <w:t>11</w:t>
            </w:r>
          </w:p>
        </w:tc>
        <w:tc>
          <w:tcPr>
            <w:tcW w:type="dxa" w:w="2160"/>
          </w:tcPr>
          <w:p>
            <w:r/>
            <w:r>
              <w:rPr>
                <w:b w:val="0"/>
                <w:i w:val="0"/>
                <w:sz w:val="19"/>
              </w:rPr>
              <w:t>Facts supporting 8th Aff. Def. (cap)</w:t>
            </w:r>
          </w:p>
        </w:tc>
        <w:tc>
          <w:tcPr>
            <w:tcW w:type="dxa" w:w="2448"/>
          </w:tcPr>
          <w:p>
            <w:r/>
            <w:r>
              <w:rPr>
                <w:b w:val="0"/>
                <w:i w:val="0"/>
                <w:sz w:val="19"/>
              </w:rPr>
              <w:t>Premature contention (L.R. 33.3(c), CMO ¶ 9); work product; arbitration reservation</w:t>
            </w:r>
          </w:p>
        </w:tc>
        <w:tc>
          <w:tcPr>
            <w:tcW w:type="dxa" w:w="3024"/>
          </w:tcPr>
          <w:p>
            <w:r/>
            <w:r>
              <w:rPr>
                <w:b w:val="0"/>
                <w:i w:val="0"/>
                <w:sz w:val="19"/>
              </w:rPr>
              <w:t>Object; give short preliminary answer (contract text, fees paid); supplement</w:t>
            </w:r>
          </w:p>
        </w:tc>
        <w:tc>
          <w:tcPr>
            <w:tcW w:type="dxa" w:w="1152"/>
          </w:tcPr>
          <w:p>
            <w:r/>
            <w:r>
              <w:rPr>
                <w:b w:val="0"/>
                <w:i w:val="0"/>
                <w:sz w:val="19"/>
              </w:rPr>
              <w:t>Low–Med</w:t>
            </w:r>
          </w:p>
        </w:tc>
      </w:tr>
      <w:tr>
        <w:tc>
          <w:tcPr>
            <w:tcW w:type="dxa" w:w="576"/>
          </w:tcPr>
          <w:p>
            <w:r/>
            <w:r>
              <w:rPr>
                <w:b w:val="0"/>
                <w:i w:val="0"/>
                <w:sz w:val="19"/>
              </w:rPr>
              <w:t>12</w:t>
            </w:r>
          </w:p>
        </w:tc>
        <w:tc>
          <w:tcPr>
            <w:tcW w:type="dxa" w:w="2160"/>
          </w:tcPr>
          <w:p>
            <w:r/>
            <w:r>
              <w:rPr>
                <w:b w:val="0"/>
                <w:i w:val="0"/>
                <w:sz w:val="19"/>
              </w:rPr>
              <w:t>Other clients' NAV errors (10 yrs)</w:t>
            </w:r>
          </w:p>
        </w:tc>
        <w:tc>
          <w:tcPr>
            <w:tcW w:type="dxa" w:w="2448"/>
          </w:tcPr>
          <w:p>
            <w:r/>
            <w:r>
              <w:rPr>
                <w:b w:val="0"/>
                <w:i w:val="0"/>
                <w:sz w:val="19"/>
              </w:rPr>
              <w:t>Relevance; proportionality; FASA § 11.2; non-party privacy</w:t>
            </w:r>
          </w:p>
        </w:tc>
        <w:tc>
          <w:tcPr>
            <w:tcW w:type="dxa" w:w="3024"/>
          </w:tcPr>
          <w:p>
            <w:r/>
            <w:r>
              <w:rPr>
                <w:b w:val="0"/>
                <w:i w:val="0"/>
                <w:sz w:val="19"/>
              </w:rPr>
              <w:t>Stand on objections; offer nothing client-specific</w:t>
            </w:r>
          </w:p>
        </w:tc>
        <w:tc>
          <w:tcPr>
            <w:tcW w:type="dxa" w:w="1152"/>
          </w:tcPr>
          <w:p>
            <w:r/>
            <w:r>
              <w:rPr>
                <w:b w:val="0"/>
                <w:i w:val="0"/>
                <w:sz w:val="19"/>
              </w:rPr>
              <w:t>Med</w:t>
            </w:r>
          </w:p>
        </w:tc>
      </w:tr>
      <w:tr>
        <w:tc>
          <w:tcPr>
            <w:tcW w:type="dxa" w:w="576"/>
          </w:tcPr>
          <w:p>
            <w:r/>
            <w:r>
              <w:rPr>
                <w:b w:val="0"/>
                <w:i w:val="0"/>
                <w:sz w:val="19"/>
              </w:rPr>
              <w:t>13</w:t>
            </w:r>
          </w:p>
        </w:tc>
        <w:tc>
          <w:tcPr>
            <w:tcW w:type="dxa" w:w="2160"/>
          </w:tcPr>
          <w:p>
            <w:r/>
            <w:r>
              <w:rPr>
                <w:b w:val="0"/>
                <w:i w:val="0"/>
                <w:sz w:val="19"/>
              </w:rPr>
              <w:t>Valuation review committee; meetings</w:t>
            </w:r>
          </w:p>
        </w:tc>
        <w:tc>
          <w:tcPr>
            <w:tcW w:type="dxa" w:w="2448"/>
          </w:tcPr>
          <w:p>
            <w:r/>
            <w:r>
              <w:rPr>
                <w:b w:val="0"/>
                <w:i w:val="0"/>
                <w:sz w:val="19"/>
              </w:rPr>
              <w:t>L.R. 33.3; subparts</w:t>
            </w:r>
          </w:p>
        </w:tc>
        <w:tc>
          <w:tcPr>
            <w:tcW w:type="dxa" w:w="3024"/>
          </w:tcPr>
          <w:p>
            <w:r/>
            <w:r>
              <w:rPr>
                <w:b w:val="0"/>
                <w:i w:val="0"/>
                <w:sz w:val="19"/>
              </w:rPr>
              <w:t>Answer after resolving Issue #1; minutes via 33(d)</w:t>
            </w:r>
          </w:p>
        </w:tc>
        <w:tc>
          <w:tcPr>
            <w:tcW w:type="dxa" w:w="1152"/>
          </w:tcPr>
          <w:p>
            <w:r/>
            <w:r>
              <w:rPr>
                <w:b/>
                <w:i w:val="0"/>
                <w:sz w:val="19"/>
              </w:rPr>
              <w:t>High</w:t>
            </w:r>
            <w:r>
              <w:rPr>
                <w:b w:val="0"/>
                <w:i w:val="0"/>
                <w:sz w:val="19"/>
              </w:rPr>
              <w:t xml:space="preserve"> (consistency)</w:t>
            </w:r>
          </w:p>
        </w:tc>
      </w:tr>
      <w:tr>
        <w:tc>
          <w:tcPr>
            <w:tcW w:type="dxa" w:w="576"/>
          </w:tcPr>
          <w:p>
            <w:r/>
            <w:r>
              <w:rPr>
                <w:b w:val="0"/>
                <w:i w:val="0"/>
                <w:sz w:val="19"/>
              </w:rPr>
              <w:t>14</w:t>
            </w:r>
          </w:p>
        </w:tc>
        <w:tc>
          <w:tcPr>
            <w:tcW w:type="dxa" w:w="2160"/>
          </w:tcPr>
          <w:p>
            <w:r/>
            <w:r>
              <w:rPr>
                <w:b w:val="0"/>
                <w:i w:val="0"/>
                <w:sz w:val="19"/>
              </w:rPr>
              <w:t>Persons consulted on Jan. 2023 renewal</w:t>
            </w:r>
          </w:p>
        </w:tc>
        <w:tc>
          <w:tcPr>
            <w:tcW w:type="dxa" w:w="2448"/>
          </w:tcPr>
          <w:p>
            <w:r/>
            <w:r>
              <w:rPr>
                <w:b w:val="0"/>
                <w:i w:val="0"/>
                <w:sz w:val="19"/>
              </w:rPr>
              <w:t>Privilege (counsel engaged Sept. 2022)</w:t>
            </w:r>
          </w:p>
        </w:tc>
        <w:tc>
          <w:tcPr>
            <w:tcW w:type="dxa" w:w="3024"/>
          </w:tcPr>
          <w:p>
            <w:r/>
            <w:r>
              <w:rPr>
                <w:b w:val="0"/>
                <w:i w:val="0"/>
                <w:sz w:val="19"/>
              </w:rPr>
              <w:t>Identify business persons; state that counsel was consulted; withhold substance; log</w:t>
            </w:r>
          </w:p>
        </w:tc>
        <w:tc>
          <w:tcPr>
            <w:tcW w:type="dxa" w:w="1152"/>
          </w:tcPr>
          <w:p>
            <w:r/>
            <w:r>
              <w:rPr>
                <w:b w:val="0"/>
                <w:i w:val="0"/>
                <w:sz w:val="19"/>
              </w:rPr>
              <w:t>Med–High</w:t>
            </w:r>
          </w:p>
        </w:tc>
      </w:tr>
      <w:tr>
        <w:tc>
          <w:tcPr>
            <w:tcW w:type="dxa" w:w="576"/>
          </w:tcPr>
          <w:p>
            <w:r/>
            <w:r>
              <w:rPr>
                <w:b w:val="0"/>
                <w:i w:val="0"/>
                <w:sz w:val="19"/>
              </w:rPr>
              <w:t>15</w:t>
            </w:r>
          </w:p>
        </w:tc>
        <w:tc>
          <w:tcPr>
            <w:tcW w:type="dxa" w:w="2160"/>
          </w:tcPr>
          <w:p>
            <w:r/>
            <w:r>
              <w:rPr>
                <w:b w:val="0"/>
                <w:i w:val="0"/>
                <w:sz w:val="19"/>
              </w:rPr>
              <w:t>Total firm revenue since 2009</w:t>
            </w:r>
          </w:p>
        </w:tc>
        <w:tc>
          <w:tcPr>
            <w:tcW w:type="dxa" w:w="2448"/>
          </w:tcPr>
          <w:p>
            <w:r/>
            <w:r>
              <w:rPr>
                <w:b w:val="0"/>
                <w:i w:val="0"/>
                <w:sz w:val="19"/>
              </w:rPr>
              <w:t>Relevance; confidential financial info</w:t>
            </w:r>
          </w:p>
        </w:tc>
        <w:tc>
          <w:tcPr>
            <w:tcW w:type="dxa" w:w="3024"/>
          </w:tcPr>
          <w:p>
            <w:r/>
            <w:r>
              <w:rPr>
                <w:b w:val="0"/>
                <w:i w:val="0"/>
                <w:sz w:val="19"/>
              </w:rPr>
              <w:t>Stand on objection as to firm revenue; provide Trident fees paid 2018–2024</w:t>
            </w:r>
          </w:p>
        </w:tc>
        <w:tc>
          <w:tcPr>
            <w:tcW w:type="dxa" w:w="1152"/>
          </w:tcPr>
          <w:p>
            <w:r/>
            <w:r>
              <w:rPr>
                <w:b w:val="0"/>
                <w:i w:val="0"/>
                <w:sz w:val="19"/>
              </w:rPr>
              <w:t>Low</w:t>
            </w:r>
          </w:p>
        </w:tc>
      </w:tr>
      <w:tr>
        <w:tc>
          <w:tcPr>
            <w:tcW w:type="dxa" w:w="576"/>
          </w:tcPr>
          <w:p>
            <w:r/>
            <w:r>
              <w:rPr>
                <w:b w:val="0"/>
                <w:i w:val="0"/>
                <w:sz w:val="19"/>
              </w:rPr>
              <w:t>16</w:t>
            </w:r>
          </w:p>
        </w:tc>
        <w:tc>
          <w:tcPr>
            <w:tcW w:type="dxa" w:w="2160"/>
          </w:tcPr>
          <w:p>
            <w:r/>
            <w:r>
              <w:rPr>
                <w:b w:val="0"/>
                <w:i w:val="0"/>
                <w:sz w:val="19"/>
              </w:rPr>
              <w:t>Communications with Pendleton &amp; Greer re 2021–22 audits</w:t>
            </w:r>
          </w:p>
        </w:tc>
        <w:tc>
          <w:tcPr>
            <w:tcW w:type="dxa" w:w="2448"/>
          </w:tcPr>
          <w:p>
            <w:r/>
            <w:r>
              <w:rPr>
                <w:b w:val="0"/>
                <w:i w:val="0"/>
                <w:sz w:val="19"/>
              </w:rPr>
              <w:t>Burden of 'describe contents'</w:t>
            </w:r>
          </w:p>
        </w:tc>
        <w:tc>
          <w:tcPr>
            <w:tcW w:type="dxa" w:w="3024"/>
          </w:tcPr>
          <w:p>
            <w:r/>
            <w:r>
              <w:rPr>
                <w:b w:val="0"/>
                <w:i w:val="0"/>
                <w:sz w:val="19"/>
              </w:rPr>
              <w:t>Answer via 33(d) + identify contacts (supports Theme 3)</w:t>
            </w:r>
          </w:p>
        </w:tc>
        <w:tc>
          <w:tcPr>
            <w:tcW w:type="dxa" w:w="1152"/>
          </w:tcPr>
          <w:p>
            <w:r/>
            <w:r>
              <w:rPr>
                <w:b w:val="0"/>
                <w:i w:val="0"/>
                <w:sz w:val="19"/>
              </w:rPr>
              <w:t>Low</w:t>
            </w:r>
          </w:p>
        </w:tc>
      </w:tr>
      <w:tr>
        <w:tc>
          <w:tcPr>
            <w:tcW w:type="dxa" w:w="576"/>
          </w:tcPr>
          <w:p>
            <w:r/>
            <w:r>
              <w:rPr>
                <w:b w:val="0"/>
                <w:i w:val="0"/>
                <w:sz w:val="19"/>
              </w:rPr>
              <w:t>17</w:t>
            </w:r>
          </w:p>
        </w:tc>
        <w:tc>
          <w:tcPr>
            <w:tcW w:type="dxa" w:w="2160"/>
          </w:tcPr>
          <w:p>
            <w:r/>
            <w:r>
              <w:rPr>
                <w:b w:val="0"/>
                <w:i w:val="0"/>
                <w:sz w:val="19"/>
              </w:rPr>
              <w:t>Tech platforms, costs, pass-through status</w:t>
            </w:r>
          </w:p>
        </w:tc>
        <w:tc>
          <w:tcPr>
            <w:tcW w:type="dxa" w:w="2448"/>
          </w:tcPr>
          <w:p>
            <w:r/>
            <w:r>
              <w:rPr>
                <w:b w:val="0"/>
                <w:i w:val="0"/>
                <w:sz w:val="19"/>
              </w:rPr>
              <w:t>Firm-wide costs confidential; subparts</w:t>
            </w:r>
          </w:p>
        </w:tc>
        <w:tc>
          <w:tcPr>
            <w:tcW w:type="dxa" w:w="3024"/>
          </w:tcPr>
          <w:p>
            <w:r/>
            <w:r>
              <w:rPr>
                <w:b w:val="0"/>
                <w:i w:val="0"/>
                <w:sz w:val="19"/>
              </w:rPr>
              <w:t>Answer as to Trident-billed items after Issue #2 review; firm-wide cost data under protective order only</w:t>
            </w:r>
          </w:p>
        </w:tc>
        <w:tc>
          <w:tcPr>
            <w:tcW w:type="dxa" w:w="1152"/>
          </w:tcPr>
          <w:p>
            <w:r/>
            <w:r>
              <w:rPr>
                <w:b/>
                <w:i w:val="0"/>
                <w:sz w:val="19"/>
              </w:rPr>
              <w:t>High</w:t>
            </w:r>
            <w:r>
              <w:rPr>
                <w:b w:val="0"/>
                <w:i w:val="0"/>
                <w:sz w:val="19"/>
              </w:rPr>
              <w:t xml:space="preserve"> (merits)</w:t>
            </w:r>
          </w:p>
        </w:tc>
      </w:tr>
      <w:tr>
        <w:tc>
          <w:tcPr>
            <w:tcW w:type="dxa" w:w="576"/>
          </w:tcPr>
          <w:p>
            <w:r/>
            <w:r>
              <w:rPr>
                <w:b w:val="0"/>
                <w:i w:val="0"/>
                <w:sz w:val="19"/>
              </w:rPr>
              <w:t>18</w:t>
            </w:r>
          </w:p>
        </w:tc>
        <w:tc>
          <w:tcPr>
            <w:tcW w:type="dxa" w:w="2160"/>
          </w:tcPr>
          <w:p>
            <w:r/>
            <w:r>
              <w:rPr>
                <w:b w:val="0"/>
                <w:i w:val="0"/>
                <w:sz w:val="19"/>
              </w:rPr>
              <w:t>Facts supporting 10th Aff. Def.</w:t>
            </w:r>
          </w:p>
        </w:tc>
        <w:tc>
          <w:tcPr>
            <w:tcW w:type="dxa" w:w="2448"/>
          </w:tcPr>
          <w:p>
            <w:r/>
            <w:r>
              <w:rPr>
                <w:b w:val="0"/>
                <w:i w:val="0"/>
                <w:sz w:val="19"/>
              </w:rPr>
              <w:t>Premature contention; work product</w:t>
            </w:r>
          </w:p>
        </w:tc>
        <w:tc>
          <w:tcPr>
            <w:tcW w:type="dxa" w:w="3024"/>
          </w:tcPr>
          <w:p>
            <w:r/>
            <w:r>
              <w:rPr>
                <w:b w:val="0"/>
                <w:i w:val="0"/>
                <w:sz w:val="19"/>
              </w:rPr>
              <w:t>Object; preliminary answer tracking Answer ¶¶ (a)–(d); supplement</w:t>
            </w:r>
          </w:p>
        </w:tc>
        <w:tc>
          <w:tcPr>
            <w:tcW w:type="dxa" w:w="1152"/>
          </w:tcPr>
          <w:p>
            <w:r/>
            <w:r>
              <w:rPr>
                <w:b w:val="0"/>
                <w:i w:val="0"/>
                <w:sz w:val="19"/>
              </w:rPr>
              <w:t>Low–Med</w:t>
            </w:r>
          </w:p>
        </w:tc>
      </w:tr>
      <w:tr>
        <w:tc>
          <w:tcPr>
            <w:tcW w:type="dxa" w:w="576"/>
          </w:tcPr>
          <w:p>
            <w:r/>
            <w:r>
              <w:rPr>
                <w:b w:val="0"/>
                <w:i w:val="0"/>
                <w:sz w:val="19"/>
              </w:rPr>
              <w:t>19</w:t>
            </w:r>
          </w:p>
        </w:tc>
        <w:tc>
          <w:tcPr>
            <w:tcW w:type="dxa" w:w="2160"/>
          </w:tcPr>
          <w:p>
            <w:r/>
            <w:r>
              <w:rPr>
                <w:b w:val="0"/>
                <w:i w:val="0"/>
                <w:sz w:val="19"/>
              </w:rPr>
              <w:t>Roszak personal data, SSN, pay; departure; covenants</w:t>
            </w:r>
          </w:p>
        </w:tc>
        <w:tc>
          <w:tcPr>
            <w:tcW w:type="dxa" w:w="2448"/>
          </w:tcPr>
          <w:p>
            <w:r/>
            <w:r>
              <w:rPr>
                <w:b w:val="0"/>
                <w:i w:val="0"/>
                <w:sz w:val="19"/>
              </w:rPr>
              <w:t>Privacy; relevance; not in possession; subparts</w:t>
            </w:r>
          </w:p>
        </w:tc>
        <w:tc>
          <w:tcPr>
            <w:tcW w:type="dxa" w:w="3024"/>
          </w:tcPr>
          <w:p>
            <w:r/>
            <w:r>
              <w:rPr>
                <w:b w:val="0"/>
                <w:i w:val="0"/>
                <w:sz w:val="19"/>
              </w:rPr>
              <w:t>Partial: last known address/phone; voluntary resignation; existence of agreements; refuse SSN and current pay</w:t>
            </w:r>
          </w:p>
        </w:tc>
        <w:tc>
          <w:tcPr>
            <w:tcW w:type="dxa" w:w="1152"/>
          </w:tcPr>
          <w:p>
            <w:r/>
            <w:r>
              <w:rPr>
                <w:b w:val="0"/>
                <w:i w:val="0"/>
                <w:sz w:val="19"/>
              </w:rPr>
              <w:t>Low</w:t>
            </w:r>
          </w:p>
        </w:tc>
      </w:tr>
      <w:tr>
        <w:tc>
          <w:tcPr>
            <w:tcW w:type="dxa" w:w="576"/>
          </w:tcPr>
          <w:p>
            <w:r/>
            <w:r>
              <w:rPr>
                <w:b w:val="0"/>
                <w:i w:val="0"/>
                <w:sz w:val="19"/>
              </w:rPr>
              <w:t>20</w:t>
            </w:r>
          </w:p>
        </w:tc>
        <w:tc>
          <w:tcPr>
            <w:tcW w:type="dxa" w:w="2160"/>
          </w:tcPr>
          <w:p>
            <w:r/>
            <w:r>
              <w:rPr>
                <w:b w:val="0"/>
                <w:i w:val="0"/>
                <w:sz w:val="19"/>
              </w:rPr>
              <w:t>Litigation experts/consultants</w:t>
            </w:r>
          </w:p>
        </w:tc>
        <w:tc>
          <w:tcPr>
            <w:tcW w:type="dxa" w:w="2448"/>
          </w:tcPr>
          <w:p>
            <w:r/>
            <w:r>
              <w:rPr>
                <w:b w:val="0"/>
                <w:i w:val="0"/>
                <w:sz w:val="19"/>
              </w:rPr>
              <w:t>CMO ¶ 13; Rule 26(b)(4)(B)–(D); work product</w:t>
            </w:r>
          </w:p>
        </w:tc>
        <w:tc>
          <w:tcPr>
            <w:tcW w:type="dxa" w:w="3024"/>
          </w:tcPr>
          <w:p>
            <w:r/>
            <w:r>
              <w:rPr>
                <w:b w:val="0"/>
                <w:i w:val="0"/>
                <w:sz w:val="19"/>
              </w:rPr>
              <w:t>Stand on objections entirely</w:t>
            </w:r>
          </w:p>
        </w:tc>
        <w:tc>
          <w:tcPr>
            <w:tcW w:type="dxa" w:w="1152"/>
          </w:tcPr>
          <w:p>
            <w:r/>
            <w:r>
              <w:rPr>
                <w:b w:val="0"/>
                <w:i w:val="0"/>
                <w:sz w:val="19"/>
              </w:rPr>
              <w:t>Low (strong)</w:t>
            </w:r>
          </w:p>
        </w:tc>
      </w:tr>
      <w:tr>
        <w:tc>
          <w:tcPr>
            <w:tcW w:type="dxa" w:w="576"/>
          </w:tcPr>
          <w:p>
            <w:r/>
            <w:r>
              <w:rPr>
                <w:b w:val="0"/>
                <w:i w:val="0"/>
                <w:sz w:val="19"/>
              </w:rPr>
              <w:t>21</w:t>
            </w:r>
          </w:p>
        </w:tc>
        <w:tc>
          <w:tcPr>
            <w:tcW w:type="dxa" w:w="2160"/>
          </w:tcPr>
          <w:p>
            <w:r/>
            <w:r>
              <w:rPr>
                <w:b w:val="0"/>
                <w:i w:val="0"/>
                <w:sz w:val="19"/>
              </w:rPr>
              <w:t>NAV report process and timeliness Q1 2021–Q4 2022</w:t>
            </w:r>
          </w:p>
        </w:tc>
        <w:tc>
          <w:tcPr>
            <w:tcW w:type="dxa" w:w="2448"/>
          </w:tcPr>
          <w:p>
            <w:r/>
            <w:r>
              <w:rPr>
                <w:b w:val="0"/>
                <w:i w:val="0"/>
                <w:sz w:val="19"/>
              </w:rPr>
              <w:t>Scope reasonable</w:t>
            </w:r>
          </w:p>
        </w:tc>
        <w:tc>
          <w:tcPr>
            <w:tcW w:type="dxa" w:w="3024"/>
          </w:tcPr>
          <w:p>
            <w:r/>
            <w:r>
              <w:rPr>
                <w:b w:val="0"/>
                <w:i w:val="0"/>
                <w:sz w:val="19"/>
              </w:rPr>
              <w:t>Answer after verifying the delivery dates (Answer ¶ 22 claims all timely)</w:t>
            </w:r>
          </w:p>
        </w:tc>
        <w:tc>
          <w:tcPr>
            <w:tcW w:type="dxa" w:w="1152"/>
          </w:tcPr>
          <w:p>
            <w:r/>
            <w:r>
              <w:rPr>
                <w:b w:val="0"/>
                <w:i w:val="0"/>
                <w:sz w:val="19"/>
              </w:rPr>
              <w:t>Med</w:t>
            </w:r>
          </w:p>
        </w:tc>
      </w:tr>
      <w:tr>
        <w:tc>
          <w:tcPr>
            <w:tcW w:type="dxa" w:w="576"/>
          </w:tcPr>
          <w:p>
            <w:r/>
            <w:r>
              <w:rPr>
                <w:b w:val="0"/>
                <w:i w:val="0"/>
                <w:sz w:val="19"/>
              </w:rPr>
              <w:t>22</w:t>
            </w:r>
          </w:p>
        </w:tc>
        <w:tc>
          <w:tcPr>
            <w:tcW w:type="dxa" w:w="2160"/>
          </w:tcPr>
          <w:p>
            <w:r/>
            <w:r>
              <w:rPr>
                <w:b w:val="0"/>
                <w:i w:val="0"/>
                <w:sz w:val="19"/>
              </w:rPr>
              <w:t>All communications re discrepancies since July 2021 + advice</w:t>
            </w:r>
          </w:p>
        </w:tc>
        <w:tc>
          <w:tcPr>
            <w:tcW w:type="dxa" w:w="2448"/>
          </w:tcPr>
          <w:p>
            <w:r/>
            <w:r>
              <w:rPr>
                <w:b w:val="0"/>
                <w:i w:val="0"/>
                <w:sz w:val="19"/>
              </w:rPr>
              <w:t>Privilege; overbreadth; burden</w:t>
            </w:r>
          </w:p>
        </w:tc>
        <w:tc>
          <w:tcPr>
            <w:tcW w:type="dxa" w:w="3024"/>
          </w:tcPr>
          <w:p>
            <w:r/>
            <w:r>
              <w:rPr>
                <w:b w:val="0"/>
                <w:i w:val="0"/>
                <w:sz w:val="19"/>
              </w:rPr>
              <w:t>Partial: non-privileged comms with Trident/auditor via 33(d); log counsel comms categorically</w:t>
            </w:r>
          </w:p>
        </w:tc>
        <w:tc>
          <w:tcPr>
            <w:tcW w:type="dxa" w:w="1152"/>
          </w:tcPr>
          <w:p>
            <w:r/>
            <w:r>
              <w:rPr>
                <w:b/>
                <w:i w:val="0"/>
                <w:sz w:val="19"/>
              </w:rPr>
              <w:t>High</w:t>
            </w:r>
          </w:p>
        </w:tc>
      </w:tr>
      <w:tr>
        <w:tc>
          <w:tcPr>
            <w:tcW w:type="dxa" w:w="576"/>
          </w:tcPr>
          <w:p>
            <w:r/>
            <w:r>
              <w:rPr>
                <w:b w:val="0"/>
                <w:i w:val="0"/>
                <w:sz w:val="19"/>
              </w:rPr>
              <w:t>23</w:t>
            </w:r>
          </w:p>
        </w:tc>
        <w:tc>
          <w:tcPr>
            <w:tcW w:type="dxa" w:w="2160"/>
          </w:tcPr>
          <w:p>
            <w:r/>
            <w:r>
              <w:rPr>
                <w:b w:val="0"/>
                <w:i w:val="0"/>
                <w:sz w:val="19"/>
              </w:rPr>
              <w:t>QC/compliance procedures; errors found</w:t>
            </w:r>
          </w:p>
        </w:tc>
        <w:tc>
          <w:tcPr>
            <w:tcW w:type="dxa" w:w="2448"/>
          </w:tcPr>
          <w:p>
            <w:r/>
            <w:r>
              <w:rPr>
                <w:b w:val="0"/>
                <w:i w:val="0"/>
                <w:sz w:val="19"/>
              </w:rPr>
              <w:t>Privilege re post-engagement review</w:t>
            </w:r>
          </w:p>
        </w:tc>
        <w:tc>
          <w:tcPr>
            <w:tcW w:type="dxa" w:w="3024"/>
          </w:tcPr>
          <w:p>
            <w:r/>
            <w:r>
              <w:rPr>
                <w:b w:val="0"/>
                <w:i w:val="0"/>
                <w:sz w:val="19"/>
              </w:rPr>
              <w:t>Answer procedures; answer 'whether errors identified' truthfully for business reviews</w:t>
            </w:r>
          </w:p>
        </w:tc>
        <w:tc>
          <w:tcPr>
            <w:tcW w:type="dxa" w:w="1152"/>
          </w:tcPr>
          <w:p>
            <w:r/>
            <w:r>
              <w:rPr>
                <w:b/>
                <w:i w:val="0"/>
                <w:sz w:val="19"/>
              </w:rPr>
              <w:t>High</w:t>
            </w:r>
          </w:p>
        </w:tc>
      </w:tr>
      <w:tr>
        <w:tc>
          <w:tcPr>
            <w:tcW w:type="dxa" w:w="576"/>
          </w:tcPr>
          <w:p>
            <w:r/>
            <w:r>
              <w:rPr>
                <w:b w:val="0"/>
                <w:i w:val="0"/>
                <w:sz w:val="19"/>
              </w:rPr>
              <w:t>24</w:t>
            </w:r>
          </w:p>
        </w:tc>
        <w:tc>
          <w:tcPr>
            <w:tcW w:type="dxa" w:w="2160"/>
          </w:tcPr>
          <w:p>
            <w:r/>
            <w:r>
              <w:rPr>
                <w:b w:val="0"/>
                <w:i w:val="0"/>
                <w:sz w:val="19"/>
              </w:rPr>
              <w:t>Firm-wide NAV error statistics since 2009</w:t>
            </w:r>
          </w:p>
        </w:tc>
        <w:tc>
          <w:tcPr>
            <w:tcW w:type="dxa" w:w="2448"/>
          </w:tcPr>
          <w:p>
            <w:r/>
            <w:r>
              <w:rPr>
                <w:b w:val="0"/>
                <w:i w:val="0"/>
                <w:sz w:val="19"/>
              </w:rPr>
              <w:t>Relevance; proportionality; § 11.2</w:t>
            </w:r>
          </w:p>
        </w:tc>
        <w:tc>
          <w:tcPr>
            <w:tcW w:type="dxa" w:w="3024"/>
          </w:tcPr>
          <w:p>
            <w:r/>
            <w:r>
              <w:rPr>
                <w:b w:val="0"/>
                <w:i w:val="0"/>
                <w:sz w:val="19"/>
              </w:rPr>
              <w:t>Stand on objections</w:t>
            </w:r>
          </w:p>
        </w:tc>
        <w:tc>
          <w:tcPr>
            <w:tcW w:type="dxa" w:w="1152"/>
          </w:tcPr>
          <w:p>
            <w:r/>
            <w:r>
              <w:rPr>
                <w:b w:val="0"/>
                <w:i w:val="0"/>
                <w:sz w:val="19"/>
              </w:rPr>
              <w:t>Med</w:t>
            </w:r>
          </w:p>
        </w:tc>
      </w:tr>
      <w:tr>
        <w:tc>
          <w:tcPr>
            <w:tcW w:type="dxa" w:w="576"/>
          </w:tcPr>
          <w:p>
            <w:r/>
            <w:r>
              <w:rPr>
                <w:b w:val="0"/>
                <w:i w:val="0"/>
                <w:sz w:val="19"/>
              </w:rPr>
              <w:t>25</w:t>
            </w:r>
          </w:p>
        </w:tc>
        <w:tc>
          <w:tcPr>
            <w:tcW w:type="dxa" w:w="2160"/>
          </w:tcPr>
          <w:p>
            <w:r/>
            <w:r>
              <w:rPr>
                <w:b w:val="0"/>
                <w:i w:val="0"/>
                <w:sz w:val="19"/>
              </w:rPr>
              <w:t>Is § 9.1 valid and enforceable (legal position)</w:t>
            </w:r>
          </w:p>
        </w:tc>
        <w:tc>
          <w:tcPr>
            <w:tcW w:type="dxa" w:w="2448"/>
          </w:tcPr>
          <w:p>
            <w:r/>
            <w:r>
              <w:rPr>
                <w:b w:val="0"/>
                <w:i w:val="0"/>
                <w:sz w:val="19"/>
              </w:rPr>
              <w:t>Pure legal conclusion (Rule 33(a)(2)); work product; subpart numerosity; arbitration reservation</w:t>
            </w:r>
          </w:p>
        </w:tc>
        <w:tc>
          <w:tcPr>
            <w:tcW w:type="dxa" w:w="3024"/>
          </w:tcPr>
          <w:p>
            <w:r/>
            <w:r>
              <w:rPr>
                <w:b w:val="0"/>
                <w:i w:val="0"/>
                <w:sz w:val="19"/>
              </w:rPr>
              <w:t>Stand on objections; no substantive answer</w:t>
            </w:r>
          </w:p>
        </w:tc>
        <w:tc>
          <w:tcPr>
            <w:tcW w:type="dxa" w:w="1152"/>
          </w:tcPr>
          <w:p>
            <w:r/>
            <w:r>
              <w:rPr>
                <w:b/>
                <w:i w:val="0"/>
                <w:sz w:val="19"/>
              </w:rPr>
              <w:t>High</w:t>
            </w:r>
            <w:r>
              <w:rPr>
                <w:b w:val="0"/>
                <w:i w:val="0"/>
                <w:sz w:val="19"/>
              </w:rPr>
              <w:t xml:space="preserve"> (waiver)</w:t>
            </w:r>
          </w:p>
        </w:tc>
      </w:tr>
      <w:tr>
        <w:tc>
          <w:tcPr>
            <w:tcW w:type="dxa" w:w="576"/>
          </w:tcPr>
          <w:p>
            <w:r/>
            <w:r>
              <w:rPr>
                <w:b w:val="0"/>
                <w:i w:val="0"/>
                <w:sz w:val="19"/>
              </w:rPr>
              <w:t>26</w:t>
            </w:r>
          </w:p>
        </w:tc>
        <w:tc>
          <w:tcPr>
            <w:tcW w:type="dxa" w:w="2160"/>
          </w:tcPr>
          <w:p>
            <w:r/>
            <w:r>
              <w:rPr>
                <w:b w:val="0"/>
                <w:i w:val="0"/>
                <w:sz w:val="19"/>
              </w:rPr>
              <w:t>Facts supporting 9th Aff. Def. (arbitration)</w:t>
            </w:r>
          </w:p>
        </w:tc>
        <w:tc>
          <w:tcPr>
            <w:tcW w:type="dxa" w:w="2448"/>
          </w:tcPr>
          <w:p>
            <w:r/>
            <w:r>
              <w:rPr>
                <w:b w:val="0"/>
                <w:i w:val="0"/>
                <w:sz w:val="19"/>
              </w:rPr>
              <w:t>Exceeds 25; premature contention; work product</w:t>
            </w:r>
          </w:p>
        </w:tc>
        <w:tc>
          <w:tcPr>
            <w:tcW w:type="dxa" w:w="3024"/>
          </w:tcPr>
          <w:p>
            <w:r/>
            <w:r>
              <w:rPr>
                <w:b w:val="0"/>
                <w:i w:val="0"/>
                <w:sz w:val="19"/>
              </w:rPr>
              <w:t>Stand on numerosity; no answer</w:t>
            </w:r>
          </w:p>
        </w:tc>
        <w:tc>
          <w:tcPr>
            <w:tcW w:type="dxa" w:w="1152"/>
          </w:tcPr>
          <w:p>
            <w:r/>
            <w:r>
              <w:rPr>
                <w:b/>
                <w:i w:val="0"/>
                <w:sz w:val="19"/>
              </w:rPr>
              <w:t>High</w:t>
            </w:r>
            <w:r>
              <w:rPr>
                <w:b w:val="0"/>
                <w:i w:val="0"/>
                <w:sz w:val="19"/>
              </w:rPr>
              <w:t xml:space="preserve"> (waiver)</w:t>
            </w:r>
          </w:p>
        </w:tc>
      </w:tr>
      <w:tr>
        <w:tc>
          <w:tcPr>
            <w:tcW w:type="dxa" w:w="576"/>
          </w:tcPr>
          <w:p>
            <w:r/>
            <w:r>
              <w:rPr>
                <w:b w:val="0"/>
                <w:i w:val="0"/>
                <w:sz w:val="19"/>
              </w:rPr>
              <w:t>27</w:t>
            </w:r>
          </w:p>
        </w:tc>
        <w:tc>
          <w:tcPr>
            <w:tcW w:type="dxa" w:w="2160"/>
          </w:tcPr>
          <w:p>
            <w:r/>
            <w:r>
              <w:rPr>
                <w:b w:val="0"/>
                <w:i w:val="0"/>
                <w:sz w:val="19"/>
              </w:rPr>
              <w:t>Communications re $47,500 charges</w:t>
            </w:r>
          </w:p>
        </w:tc>
        <w:tc>
          <w:tcPr>
            <w:tcW w:type="dxa" w:w="2448"/>
          </w:tcPr>
          <w:p>
            <w:r/>
            <w:r>
              <w:rPr>
                <w:b w:val="0"/>
                <w:i w:val="0"/>
                <w:sz w:val="19"/>
              </w:rPr>
              <w:t>Exceeds 25</w:t>
            </w:r>
          </w:p>
        </w:tc>
        <w:tc>
          <w:tcPr>
            <w:tcW w:type="dxa" w:w="3024"/>
          </w:tcPr>
          <w:p>
            <w:r/>
            <w:r>
              <w:rPr>
                <w:b w:val="0"/>
                <w:i w:val="0"/>
                <w:sz w:val="19"/>
              </w:rPr>
              <w:t>Stand on numerosity (info to be produced via RFPs)</w:t>
            </w:r>
          </w:p>
        </w:tc>
        <w:tc>
          <w:tcPr>
            <w:tcW w:type="dxa" w:w="1152"/>
          </w:tcPr>
          <w:p>
            <w:r/>
            <w:r>
              <w:rPr>
                <w:b w:val="0"/>
                <w:i w:val="0"/>
                <w:sz w:val="19"/>
              </w:rPr>
              <w:t>Med</w:t>
            </w:r>
          </w:p>
        </w:tc>
      </w:tr>
      <w:tr>
        <w:tc>
          <w:tcPr>
            <w:tcW w:type="dxa" w:w="576"/>
          </w:tcPr>
          <w:p>
            <w:r/>
            <w:r>
              <w:rPr>
                <w:b w:val="0"/>
                <w:i w:val="0"/>
                <w:sz w:val="19"/>
              </w:rPr>
              <w:t>28</w:t>
            </w:r>
          </w:p>
        </w:tc>
        <w:tc>
          <w:tcPr>
            <w:tcW w:type="dxa" w:w="2160"/>
          </w:tcPr>
          <w:p>
            <w:r/>
            <w:r>
              <w:rPr>
                <w:b w:val="0"/>
                <w:i w:val="0"/>
                <w:sz w:val="19"/>
              </w:rPr>
              <w:t>Documents re § 4.7(b) determination</w:t>
            </w:r>
          </w:p>
        </w:tc>
        <w:tc>
          <w:tcPr>
            <w:tcW w:type="dxa" w:w="2448"/>
          </w:tcPr>
          <w:p>
            <w:r/>
            <w:r>
              <w:rPr>
                <w:b w:val="0"/>
                <w:i w:val="0"/>
                <w:sz w:val="19"/>
              </w:rPr>
              <w:t>Exceeds 25</w:t>
            </w:r>
          </w:p>
        </w:tc>
        <w:tc>
          <w:tcPr>
            <w:tcW w:type="dxa" w:w="3024"/>
          </w:tcPr>
          <w:p>
            <w:r/>
            <w:r>
              <w:rPr>
                <w:b w:val="0"/>
                <w:i w:val="0"/>
                <w:sz w:val="19"/>
              </w:rPr>
              <w:t>Stand on numerosity</w:t>
            </w:r>
          </w:p>
        </w:tc>
        <w:tc>
          <w:tcPr>
            <w:tcW w:type="dxa" w:w="1152"/>
          </w:tcPr>
          <w:p>
            <w:r/>
            <w:r>
              <w:rPr>
                <w:b w:val="0"/>
                <w:i w:val="0"/>
                <w:sz w:val="19"/>
              </w:rPr>
              <w:t>Med</w:t>
            </w:r>
          </w:p>
        </w:tc>
      </w:tr>
      <w:tr>
        <w:tc>
          <w:tcPr>
            <w:tcW w:type="dxa" w:w="576"/>
          </w:tcPr>
          <w:p>
            <w:r/>
            <w:r>
              <w:rPr>
                <w:b w:val="0"/>
                <w:i w:val="0"/>
                <w:sz w:val="19"/>
              </w:rPr>
              <w:t>29</w:t>
            </w:r>
          </w:p>
        </w:tc>
        <w:tc>
          <w:tcPr>
            <w:tcW w:type="dxa" w:w="2160"/>
          </w:tcPr>
          <w:p>
            <w:r/>
            <w:r>
              <w:rPr>
                <w:b w:val="0"/>
                <w:i w:val="0"/>
                <w:sz w:val="19"/>
              </w:rPr>
              <w:t>$10M insurance compliance</w:t>
            </w:r>
          </w:p>
        </w:tc>
        <w:tc>
          <w:tcPr>
            <w:tcW w:type="dxa" w:w="2448"/>
          </w:tcPr>
          <w:p>
            <w:r/>
            <w:r>
              <w:rPr>
                <w:b w:val="0"/>
                <w:i w:val="0"/>
                <w:sz w:val="19"/>
              </w:rPr>
              <w:t>Exceeds 25</w:t>
            </w:r>
          </w:p>
        </w:tc>
        <w:tc>
          <w:tcPr>
            <w:tcW w:type="dxa" w:w="3024"/>
          </w:tcPr>
          <w:p>
            <w:r/>
            <w:r>
              <w:rPr>
                <w:b w:val="0"/>
                <w:i w:val="0"/>
                <w:sz w:val="19"/>
              </w:rPr>
              <w:t>Stand on numerosity (already admitted, Answer ¶ 23)</w:t>
            </w:r>
          </w:p>
        </w:tc>
        <w:tc>
          <w:tcPr>
            <w:tcW w:type="dxa" w:w="1152"/>
          </w:tcPr>
          <w:p>
            <w:r/>
            <w:r>
              <w:rPr>
                <w:b w:val="0"/>
                <w:i w:val="0"/>
                <w:sz w:val="19"/>
              </w:rPr>
              <w:t>Low</w:t>
            </w:r>
          </w:p>
        </w:tc>
      </w:tr>
      <w:tr>
        <w:tc>
          <w:tcPr>
            <w:tcW w:type="dxa" w:w="576"/>
          </w:tcPr>
          <w:p>
            <w:r/>
            <w:r>
              <w:rPr>
                <w:b w:val="0"/>
                <w:i w:val="0"/>
                <w:sz w:val="19"/>
              </w:rPr>
              <w:t>30</w:t>
            </w:r>
          </w:p>
        </w:tc>
        <w:tc>
          <w:tcPr>
            <w:tcW w:type="dxa" w:w="2160"/>
          </w:tcPr>
          <w:p>
            <w:r/>
            <w:r>
              <w:rPr>
                <w:b w:val="0"/>
                <w:i w:val="0"/>
                <w:sz w:val="19"/>
              </w:rPr>
              <w:t>Insurance policies / reservation of rights</w:t>
            </w:r>
          </w:p>
        </w:tc>
        <w:tc>
          <w:tcPr>
            <w:tcW w:type="dxa" w:w="2448"/>
          </w:tcPr>
          <w:p>
            <w:r/>
            <w:r>
              <w:rPr>
                <w:b w:val="0"/>
                <w:i w:val="0"/>
                <w:sz w:val="19"/>
              </w:rPr>
              <w:t>Exceeds 25</w:t>
            </w:r>
          </w:p>
        </w:tc>
        <w:tc>
          <w:tcPr>
            <w:tcW w:type="dxa" w:w="3024"/>
          </w:tcPr>
          <w:p>
            <w:r/>
            <w:r>
              <w:rPr>
                <w:b w:val="0"/>
                <w:i w:val="0"/>
                <w:sz w:val="19"/>
              </w:rPr>
              <w:t>Stand on numerosity; cover letter points to Rule 26(a)(1)(A)(iv) disclosure; ROR letter via RFP</w:t>
            </w:r>
          </w:p>
        </w:tc>
        <w:tc>
          <w:tcPr>
            <w:tcW w:type="dxa" w:w="1152"/>
          </w:tcPr>
          <w:p>
            <w:r/>
            <w:r>
              <w:rPr>
                <w:b w:val="0"/>
                <w:i w:val="0"/>
                <w:sz w:val="19"/>
              </w:rPr>
              <w:t>Low</w:t>
            </w:r>
          </w:p>
        </w:tc>
      </w:tr>
    </w:tbl>
    <w:p/>
    <w:p>
      <w:pPr>
        <w:pStyle w:val="Heading1"/>
      </w:pPr>
      <w:r>
        <w:t>VII. Interrogatory-by-Interrogatory Analysis</w:t>
      </w:r>
    </w:p>
    <w:p>
      <w:pPr>
        <w:pStyle w:val="Heading2"/>
      </w:pPr>
      <w:r>
        <w:t>No. 1 — Entity Information, Officers and Directors</w:t>
      </w:r>
    </w:p>
    <w:p>
      <w:r>
        <w:rPr>
          <w:b/>
        </w:rPr>
        <w:t xml:space="preserve">Request: </w:t>
      </w:r>
      <w:r>
        <w:t>Seeks legal name, formation, principal place of business, and all officers and directors with titles, appointment dates and business addresses.</w:t>
      </w:r>
    </w:p>
    <w:p>
      <w:r>
        <w:rPr>
          <w:b/>
        </w:rPr>
        <w:t>Objections to assert:</w:t>
      </w:r>
    </w:p>
    <w:p>
      <w:pPr>
        <w:pStyle w:val="ListBullet"/>
      </w:pPr>
      <w:r>
        <w:rPr>
          <w:b w:val="0"/>
          <w:i w:val="0"/>
        </w:rPr>
        <w:t>None of substance. Object to 'directors' as inapplicable to a Connecticut LLC (answer as to managers/members and officers).</w:t>
      </w:r>
    </w:p>
    <w:p>
      <w:r>
        <w:rPr>
          <w:b/>
        </w:rPr>
        <w:t xml:space="preserve">Recommended response: </w:t>
      </w:r>
      <w:r>
        <w:rPr>
          <w:b w:val="0"/>
          <w:i w:val="0"/>
        </w:rPr>
        <w:t>Answer fully: Whitmore Capital Advisors LLC; Connecticut; 2009 (confirm exact date from the Secretary of the State filing); 280 Asylum Street, Suite 1400, Hartford, CT 06103; Malcolm Whitmore (CEO), Denise Huang (COO), and any other officers. Business addresses only.</w:t>
      </w:r>
    </w:p>
    <w:p>
      <w:r>
        <w:rPr>
          <w:b/>
        </w:rPr>
        <w:t xml:space="preserve">Risks / notes: </w:t>
      </w:r>
      <w:r>
        <w:rPr>
          <w:b w:val="0"/>
          <w:i w:val="0"/>
        </w:rPr>
        <w:t>Confirm membership (see Part V, Issue #9). The answer is consistent with Answer ¶ 4.</w:t>
      </w:r>
    </w:p>
    <w:p>
      <w:pPr>
        <w:pStyle w:val="Heading2"/>
      </w:pPr>
      <w:r>
        <w:t>No. 2 — All Fund Administration Services Since 2009</w:t>
      </w:r>
    </w:p>
    <w:p>
      <w:r>
        <w:rPr>
          <w:b/>
        </w:rPr>
        <w:t xml:space="preserve">Request: </w:t>
      </w:r>
      <w:r>
        <w:t>Services offered, number of clients, and annual assets under administration, 2009 to present.</w:t>
      </w:r>
    </w:p>
    <w:p>
      <w:r>
        <w:rPr>
          <w:b/>
        </w:rPr>
        <w:t>Objections to assert:</w:t>
      </w:r>
    </w:p>
    <w:p>
      <w:pPr>
        <w:pStyle w:val="ListBullet"/>
      </w:pPr>
      <w:r>
        <w:rPr>
          <w:b w:val="0"/>
          <w:i w:val="0"/>
        </w:rPr>
        <w:t>Overbroad in time. The 2009 start predates the FASA by nine years.</w:t>
      </w:r>
    </w:p>
    <w:p>
      <w:pPr>
        <w:pStyle w:val="ListBullet"/>
      </w:pPr>
      <w:r>
        <w:rPr>
          <w:b w:val="0"/>
          <w:i w:val="0"/>
        </w:rPr>
        <w:t>Irrelevant to any claim or defense beyond general background. Complaint ¶¶ 4–5 'pattern' allegations are conclusory and do not open firm-wide history.</w:t>
      </w:r>
    </w:p>
    <w:p>
      <w:pPr>
        <w:pStyle w:val="ListBullet"/>
      </w:pPr>
      <w:r>
        <w:rPr>
          <w:b w:val="0"/>
          <w:i w:val="0"/>
        </w:rPr>
        <w:t>Client counts and AUA by year are commercially sensitive. Identifying clients would implicate FASA § 11.2 and duties to non-party clients.</w:t>
      </w:r>
    </w:p>
    <w:p>
      <w:pPr>
        <w:pStyle w:val="ListBullet"/>
      </w:pPr>
      <w:r>
        <w:rPr>
          <w:b w:val="0"/>
          <w:i w:val="0"/>
        </w:rPr>
        <w:t>Local Civ. R. 33.3(a); discrete subparts.</w:t>
      </w:r>
    </w:p>
    <w:p>
      <w:r>
        <w:rPr>
          <w:b/>
        </w:rPr>
        <w:t xml:space="preserve">Recommended response: </w:t>
      </w:r>
      <w:r>
        <w:rPr>
          <w:b w:val="0"/>
          <w:i w:val="0"/>
        </w:rPr>
        <w:t>Partial answer: describe the categories of services Whitmore offers (fund accounting, NAV, investor reporting, compliance support, consistent with FASA Art. II), and state approximate current client count (~40) and AUA (~$8.2 billion). Both figures are already in the FASA recitals and admitted in Answer ¶ 8. Decline year-by-year history.</w:t>
      </w:r>
    </w:p>
    <w:p>
      <w:r>
        <w:rPr>
          <w:b/>
        </w:rPr>
        <w:t xml:space="preserve">Risks / notes: </w:t>
      </w:r>
      <w:r>
        <w:rPr>
          <w:b w:val="0"/>
          <w:i w:val="0"/>
        </w:rPr>
        <w:t>Low risk. Resisting year-by-year data is proportionate and defensible under CMO ¶ 20.</w:t>
      </w:r>
    </w:p>
    <w:p>
      <w:pPr>
        <w:pStyle w:val="Heading2"/>
      </w:pPr>
      <w:r>
        <w:t>No. 3 — Personnel on the Trident Account (March 2018–Present)</w:t>
      </w:r>
    </w:p>
    <w:p>
      <w:r>
        <w:rPr>
          <w:b/>
        </w:rPr>
        <w:t xml:space="preserve">Request: </w:t>
      </w:r>
      <w:r>
        <w:t>Name, title, dates, and role for every person who worked on the Trident account.</w:t>
      </w:r>
    </w:p>
    <w:p>
      <w:r>
        <w:rPr>
          <w:b/>
        </w:rPr>
        <w:t>Objections to assert:</w:t>
      </w:r>
    </w:p>
    <w:p>
      <w:pPr>
        <w:pStyle w:val="ListBullet"/>
      </w:pPr>
      <w:r>
        <w:rPr>
          <w:b w:val="0"/>
          <w:i w:val="0"/>
        </w:rPr>
        <w:t>Object to personal contact information (Definition 7). Current employees are to be contacted through counsel.</w:t>
      </w:r>
    </w:p>
    <w:p>
      <w:pPr>
        <w:pStyle w:val="ListBullet"/>
      </w:pPr>
      <w:r>
        <w:rPr>
          <w:b w:val="0"/>
          <w:i w:val="0"/>
        </w:rPr>
        <w:t>Object to the extent it includes counsel and consultants retained by counsel ('affiliated with').</w:t>
      </w:r>
    </w:p>
    <w:p>
      <w:r>
        <w:rPr>
          <w:b/>
        </w:rPr>
        <w:t xml:space="preserve">Recommended response: </w:t>
      </w:r>
      <w:r>
        <w:rPr>
          <w:b w:val="0"/>
          <w:i w:val="0"/>
        </w:rPr>
        <w:t>Answer: Roszak (Head of Fund Accounting, lead through Aug. 15, 2022), Tramonte (Senior Fund Accountant, lead from Aug. 2022), Huang, M. Whitmore, and staff accountants and reviewers identified from staffing records. Provide Roszak's last known address as a former employee.</w:t>
      </w:r>
    </w:p>
    <w:p>
      <w:r>
        <w:rPr>
          <w:b/>
        </w:rPr>
        <w:t xml:space="preserve">Risks / notes: </w:t>
      </w:r>
      <w:r>
        <w:rPr>
          <w:b w:val="0"/>
          <w:i w:val="0"/>
        </w:rPr>
        <w:t>Time frame (March 2018 onward) is reasonable and matches the FASA. Confirm § 6.1 Key Personnel notice (Part V, Issue #5). Note that Answer ¶ 6 calls Tramonte 'Senior Fund Accountant' while the strategy memo calls her 'Fund Accounting Manager.' Use her correct title as of each period.</w:t>
      </w:r>
    </w:p>
    <w:p>
      <w:pPr>
        <w:pStyle w:val="Heading2"/>
      </w:pPr>
      <w:r>
        <w:t>No. 4 — Persons with Knowledge</w:t>
      </w:r>
    </w:p>
    <w:p>
      <w:r>
        <w:rPr>
          <w:b/>
        </w:rPr>
        <w:t xml:space="preserve">Request: </w:t>
      </w:r>
      <w:r>
        <w:t>All persons with knowledge of facts relating to the complaint, with subject matter.</w:t>
      </w:r>
    </w:p>
    <w:p>
      <w:r>
        <w:rPr>
          <w:b/>
        </w:rPr>
        <w:t>Objections to assert:</w:t>
      </w:r>
    </w:p>
    <w:p>
      <w:pPr>
        <w:pStyle w:val="ListBullet"/>
      </w:pPr>
      <w:r>
        <w:rPr>
          <w:b w:val="0"/>
          <w:i w:val="0"/>
        </w:rPr>
        <w:t>Object to the extent it seeks the identity of consulting experts (CMO ¶ 13) or counsel's mental impressions about witness significance.</w:t>
      </w:r>
    </w:p>
    <w:p>
      <w:r>
        <w:rPr>
          <w:b/>
        </w:rPr>
        <w:t xml:space="preserve">Recommended response: </w:t>
      </w:r>
      <w:r>
        <w:rPr>
          <w:b w:val="0"/>
          <w:i w:val="0"/>
        </w:rPr>
        <w:t>Answer: Whitmore personnel (M. Whitmore, Huang, Tramonte, Roszak, relevant staff); Trident/GP personnel (Anand, Bowen, and GP valuation staff); Pendleton &amp; Greer (C. Pendleton and engagement team); portfolio company management who supplied valuation inputs; relevant technology vendor contacts (after the Issue #2 review). This fits within Local Civ. R. 33.3(a) and should be answered fully.</w:t>
      </w:r>
    </w:p>
    <w:p>
      <w:r>
        <w:rPr>
          <w:b/>
        </w:rPr>
        <w:t xml:space="preserve">Risks / notes: </w:t>
      </w:r>
      <w:r>
        <w:rPr>
          <w:b w:val="0"/>
          <w:i w:val="0"/>
        </w:rPr>
        <w:t>Must be consistent with Whitmore's Jan. 6, 2025 initial disclosures. Supplement them simultaneously if the lists differ.</w:t>
      </w:r>
    </w:p>
    <w:p>
      <w:pPr>
        <w:pStyle w:val="Heading2"/>
      </w:pPr>
      <w:r>
        <w:t>No. 5 — Valuation and NAV Policies Since 2009</w:t>
      </w:r>
    </w:p>
    <w:p>
      <w:r>
        <w:rPr>
          <w:b/>
        </w:rPr>
        <w:t xml:space="preserve">Request: </w:t>
      </w:r>
      <w:r>
        <w:t>Policies on (a) valuation, (b) NAV calculation and reporting, (c) error identification and correction, (d) escalation of valuation disagreements.</w:t>
      </w:r>
    </w:p>
    <w:p>
      <w:r>
        <w:rPr>
          <w:b/>
        </w:rPr>
        <w:t>Objections to assert:</w:t>
      </w:r>
    </w:p>
    <w:p>
      <w:pPr>
        <w:pStyle w:val="ListBullet"/>
      </w:pPr>
      <w:r>
        <w:rPr>
          <w:b w:val="0"/>
          <w:i w:val="0"/>
        </w:rPr>
        <w:t>Overbroad in time (2009). Limit to policies in effect March 1, 2018 through Dec. 31, 2022, or through Feb. 28, 2025 for (c) and (d).</w:t>
      </w:r>
    </w:p>
    <w:p>
      <w:pPr>
        <w:pStyle w:val="ListBullet"/>
      </w:pPr>
      <w:r>
        <w:rPr>
          <w:b w:val="0"/>
          <w:i w:val="0"/>
        </w:rPr>
        <w:t>Rule 33 is an inefficient vehicle for describing manuals, so invoke Rule 33(d).</w:t>
      </w:r>
    </w:p>
    <w:p>
      <w:pPr>
        <w:pStyle w:val="ListBullet"/>
      </w:pPr>
      <w:r>
        <w:rPr>
          <w:b w:val="0"/>
          <w:i w:val="0"/>
        </w:rPr>
        <w:t>Local Civ. R. 33.3(b): a document request is the more practical method.</w:t>
      </w:r>
    </w:p>
    <w:p>
      <w:r>
        <w:rPr>
          <w:b/>
        </w:rPr>
        <w:t xml:space="preserve">Recommended response: </w:t>
      </w:r>
      <w:r>
        <w:rPr>
          <w:b w:val="0"/>
          <w:i w:val="0"/>
        </w:rPr>
        <w:t>Answer by a short narrative identifying each governing policy or manual and its effective dates, plus a Rule 33(d) designation of Bates ranges. Emphasize the GP-input and GP-approval framework (FASA § 2.2(b)–(c)) and any escalation protocol.</w:t>
      </w:r>
    </w:p>
    <w:p>
      <w:r>
        <w:rPr>
          <w:b/>
        </w:rPr>
        <w:t xml:space="preserve">Risks / notes: </w:t>
      </w:r>
      <w:r>
        <w:rPr>
          <w:b w:val="0"/>
          <w:i w:val="0"/>
        </w:rPr>
        <w:t>Complaint ¶ 32 invokes Whitmore's 'written policies and procedures manual.' Make sure the version produced matches the relevant period. Firm-wide general practice information may be disclosed; it does not involve client-specific data (strategy memo § VI.C.4).</w:t>
      </w:r>
    </w:p>
    <w:p>
      <w:pPr>
        <w:pStyle w:val="Heading2"/>
      </w:pPr>
      <w:r>
        <w:t>No. 6 — Q3 2021 NAV Preparation Chronology</w:t>
      </w:r>
    </w:p>
    <w:p>
      <w:r>
        <w:rPr>
          <w:b/>
        </w:rPr>
        <w:t xml:space="preserve">Request: </w:t>
      </w:r>
      <w:r>
        <w:t>Steps, persons, data sources, and communications with the GP about the three companies' Q3 2021 valuations.</w:t>
      </w:r>
    </w:p>
    <w:p>
      <w:r>
        <w:rPr>
          <w:b/>
        </w:rPr>
        <w:t>Objections to assert:</w:t>
      </w:r>
    </w:p>
    <w:p>
      <w:pPr>
        <w:pStyle w:val="ListBullet"/>
      </w:pPr>
      <w:r>
        <w:rPr>
          <w:b w:val="0"/>
          <w:i w:val="0"/>
        </w:rPr>
        <w:t>Local Civ. R. 33.3. Object that depositions are the more practical method for a narrative, but answer anyway.</w:t>
      </w:r>
    </w:p>
    <w:p>
      <w:pPr>
        <w:pStyle w:val="ListBullet"/>
      </w:pPr>
      <w:r>
        <w:rPr>
          <w:b w:val="0"/>
          <w:i w:val="0"/>
        </w:rPr>
        <w:t>Whitmore's knowledge of Roszak's work is limited to its records.</w:t>
      </w:r>
    </w:p>
    <w:p>
      <w:r>
        <w:rPr>
          <w:b/>
        </w:rPr>
        <w:t xml:space="preserve">Recommended response: </w:t>
      </w:r>
      <w:r>
        <w:rPr>
          <w:b w:val="0"/>
          <w:i w:val="0"/>
        </w:rPr>
        <w:t>Answer substantively, based on workpapers and Roszak's archived email. Identify GP-provided inputs and GP approvals. This is the core of Theme 2 and the Seventh Affirmative Defense, so there is value in putting it on the record in our words. Supplement with Rule 33(d).</w:t>
      </w:r>
    </w:p>
    <w:p>
      <w:r>
        <w:rPr>
          <w:b/>
        </w:rPr>
        <w:t xml:space="preserve">Risks / notes: </w:t>
      </w:r>
      <w:r>
        <w:rPr>
          <w:b w:val="0"/>
          <w:i w:val="0"/>
        </w:rPr>
        <w:t>Answer only after Issue #1 is resolved. Complaint ¶¶ 45, 51, 62 allege Trident's team told Whitmore of the adverse developments. Our chronology must address what was received, not just what was approved.</w:t>
      </w:r>
    </w:p>
    <w:p>
      <w:pPr>
        <w:pStyle w:val="Heading2"/>
      </w:pPr>
      <w:r>
        <w:t>No. 7 — Investigation of the NAV Discrepancies, Including Advice Received</w:t>
      </w:r>
    </w:p>
    <w:p>
      <w:r>
        <w:rPr>
          <w:b/>
        </w:rPr>
        <w:t xml:space="preserve">Request: </w:t>
      </w:r>
      <w:r>
        <w:t>All steps taken to investigate the Counts I and II discrepancies, including internal review, audit, analysis, inquiry, and 'advice received.'</w:t>
      </w:r>
    </w:p>
    <w:p>
      <w:r>
        <w:rPr>
          <w:b/>
        </w:rPr>
        <w:t>Objections to assert:</w:t>
      </w:r>
    </w:p>
    <w:p>
      <w:pPr>
        <w:pStyle w:val="ListBullet"/>
      </w:pPr>
      <w:r>
        <w:rPr>
          <w:b w:val="0"/>
          <w:i w:val="0"/>
        </w:rPr>
        <w:t>Attorney-client privilege and work product as to (i) communications with Caldwell &amp; Pryce from Sept. 2022; (ii) counsel-directed interviews of Tramonte and others; (iii) the Nov. 3, 2022 Nearman memorandum; (iv) the consulting forensic accountant's work (Rule 26(b)(4)(D); CMO ¶ 13).</w:t>
      </w:r>
    </w:p>
    <w:p>
      <w:pPr>
        <w:pStyle w:val="ListBullet"/>
      </w:pPr>
      <w:r>
        <w:rPr>
          <w:b w:val="0"/>
          <w:i w:val="0"/>
        </w:rPr>
        <w:t>'Advice received' calls for privileged content.</w:t>
      </w:r>
    </w:p>
    <w:p>
      <w:pPr>
        <w:pStyle w:val="ListBullet"/>
      </w:pPr>
      <w:r>
        <w:rPr>
          <w:b w:val="0"/>
          <w:i w:val="0"/>
        </w:rPr>
        <w:t>Vague as to 'on Your behalf.'</w:t>
      </w:r>
    </w:p>
    <w:p>
      <w:r>
        <w:rPr>
          <w:b/>
        </w:rPr>
        <w:t xml:space="preserve">Recommended response: </w:t>
      </w:r>
      <w:r>
        <w:rPr>
          <w:b w:val="0"/>
          <w:i w:val="0"/>
        </w:rPr>
        <w:t xml:space="preserve">Partial answer. (1) Describe the </w:t>
      </w:r>
      <w:r>
        <w:rPr>
          <w:b/>
          <w:i w:val="0"/>
        </w:rPr>
        <w:t>June–August 2022 business review</w:t>
      </w:r>
      <w:r>
        <w:rPr>
          <w:b w:val="0"/>
          <w:i w:val="0"/>
        </w:rPr>
        <w:t xml:space="preserve"> that Huang initiated at M. Whitmore's instruction after Trident's June 14, 2022 letter: who participated (Huang, Roszak, Tramonte), what was reviewed, and the dates. Also describe any ordinary-course transition review by Tramonte in Sept.–Oct. 2022, unless counsel actually directed it. (2) State that, beginning in September 2022, Whitmore retained counsel and that further investigative steps were undertaken at counsel's direction for the purpose of legal advice and in anticipation of litigation, and are withheld as privileged and work product. (3) Log categorically.</w:t>
      </w:r>
    </w:p>
    <w:p>
      <w:r>
        <w:rPr>
          <w:b/>
        </w:rPr>
        <w:t xml:space="preserve">Risks / notes: </w:t>
      </w:r>
      <w:r>
        <w:rPr>
          <w:b/>
          <w:i w:val="0"/>
        </w:rPr>
        <w:t>Highest privilege risk in the set.</w:t>
      </w:r>
      <w:r>
        <w:rPr>
          <w:b w:val="0"/>
          <w:i w:val="0"/>
        </w:rPr>
        <w:t xml:space="preserve"> Do not extend privilege backward to the business review. Before answering, JN must review the pre-engagement documents one by one (strategy memo § V.C.3). Underlying facts are not privileged. If the business review found errors before October 2022, § 5.5's five-business-day notice clause becomes a live breach theory, and Trident's gross-negligence / § 8.4 argument gets stronger. VC should assess this before verification. Merely disclosing that counsel was engaged, and when, is generally not privileged. The strategy memo's instruction not to name Caldwell &amp; Pryce is impractical once a privilege log is served, because the log will identify counsel. Recommend identifying the firm on the log but not in the narrative answer.</w:t>
      </w:r>
    </w:p>
    <w:p>
      <w:pPr>
        <w:pStyle w:val="Heading2"/>
      </w:pPr>
      <w:r>
        <w:t>No. 8 — Documents About MedStream Valuation (2020–2022)</w:t>
      </w:r>
    </w:p>
    <w:p>
      <w:r>
        <w:rPr>
          <w:b/>
        </w:rPr>
        <w:t xml:space="preserve">Request: </w:t>
      </w:r>
      <w:r>
        <w:t>Identify and describe the contents of all documents regarding MedStream valuation communications.</w:t>
      </w:r>
    </w:p>
    <w:p>
      <w:r>
        <w:rPr>
          <w:b/>
        </w:rPr>
        <w:t>Objections to assert:</w:t>
      </w:r>
    </w:p>
    <w:p>
      <w:pPr>
        <w:pStyle w:val="ListBullet"/>
      </w:pPr>
      <w:r>
        <w:rPr>
          <w:b w:val="0"/>
          <w:i w:val="0"/>
        </w:rPr>
        <w:t>Improper use of an interrogatory as a document request. Describing the contents of every email is unduly burdensome and disproportionate (Rule 26(b)(1); CMO ¶ 20).</w:t>
      </w:r>
    </w:p>
    <w:p>
      <w:pPr>
        <w:pStyle w:val="ListBullet"/>
      </w:pPr>
      <w:r>
        <w:rPr>
          <w:b w:val="0"/>
          <w:i w:val="0"/>
        </w:rPr>
        <w:t>Privilege, to the extent it reaches post-Sept. 2022 counsel communications.</w:t>
      </w:r>
    </w:p>
    <w:p>
      <w:pPr>
        <w:pStyle w:val="ListBullet"/>
      </w:pPr>
      <w:r>
        <w:rPr>
          <w:b w:val="0"/>
          <w:i w:val="0"/>
        </w:rPr>
        <w:t>Local Civ. R. 33.3(a) permits identifying the *existence, custodian and location* of documents, not their contents.</w:t>
      </w:r>
    </w:p>
    <w:p>
      <w:r>
        <w:rPr>
          <w:b/>
        </w:rPr>
        <w:t xml:space="preserve">Recommended response: </w:t>
      </w:r>
      <w:r>
        <w:rPr>
          <w:b w:val="0"/>
          <w:i w:val="0"/>
        </w:rPr>
        <w:t>Answer within Local Civ. R. 33.3(a): identify the categories, custodians (M. Whitmore, Huang, Tramonte, Roszak archive, the fund accounting shared drive), and location. Produce and designate under Rule 33(d) once the documents are reviewed.</w:t>
      </w:r>
    </w:p>
    <w:p>
      <w:r>
        <w:rPr>
          <w:b/>
        </w:rPr>
        <w:t xml:space="preserve">Risks / notes: </w:t>
      </w:r>
      <w:r>
        <w:rPr>
          <w:b w:val="0"/>
          <w:i w:val="0"/>
        </w:rPr>
        <w:t>The Jan. 1, 2020 start date is reasonable. MedStream's 2020–H1 2021 write-ups (Complaint ¶ 42) are relevant context.</w:t>
      </w:r>
    </w:p>
    <w:p>
      <w:pPr>
        <w:pStyle w:val="Heading2"/>
      </w:pPr>
      <w:r>
        <w:t>No. 9 — Fee Structure; Trident Billing Q1 2018–Q4 2024</w:t>
      </w:r>
    </w:p>
    <w:p>
      <w:r>
        <w:rPr>
          <w:b/>
        </w:rPr>
        <w:t xml:space="preserve">Request: </w:t>
      </w:r>
      <w:r>
        <w:t>(a) Fee methodology; (b) pass-through categories; (c) changes; (d) total fees and pass-throughs billed to Trident by quarter.</w:t>
      </w:r>
    </w:p>
    <w:p>
      <w:r>
        <w:rPr>
          <w:b/>
        </w:rPr>
        <w:t>Objections to assert:</w:t>
      </w:r>
    </w:p>
    <w:p>
      <w:pPr>
        <w:pStyle w:val="ListBullet"/>
      </w:pPr>
      <w:r>
        <w:rPr>
          <w:b w:val="0"/>
          <w:i w:val="0"/>
        </w:rPr>
        <w:t>(a)–(c) are overbroad because they cover all clients since 2009. Fee arrangements with other clients are Confidential Information under FASA § 11.2 and irrelevant to the Trident claims.</w:t>
      </w:r>
    </w:p>
    <w:p>
      <w:pPr>
        <w:pStyle w:val="ListBullet"/>
      </w:pPr>
      <w:r>
        <w:rPr>
          <w:b w:val="0"/>
          <w:i w:val="0"/>
        </w:rPr>
        <w:t>Discrete subparts.</w:t>
      </w:r>
    </w:p>
    <w:p>
      <w:pPr>
        <w:pStyle w:val="ListBullet"/>
      </w:pPr>
      <w:r>
        <w:rPr>
          <w:b w:val="0"/>
          <w:i w:val="0"/>
        </w:rPr>
        <w:t>Rule 33(d) is the appropriate method for (d).</w:t>
      </w:r>
    </w:p>
    <w:p>
      <w:r>
        <w:rPr>
          <w:b/>
        </w:rPr>
        <w:t xml:space="preserve">Recommended response: </w:t>
      </w:r>
      <w:r>
        <w:rPr>
          <w:b w:val="0"/>
          <w:i w:val="0"/>
        </w:rPr>
        <w:t>Partial answer. For (a)–(c), limit to the Trident engagement: 4 bps of committed capital, $248,000/yr, $62,000/quarter in arrears (FASA §§ 4.1–4.2; Ex. B); pass-throughs under § 4.7(a)–(b); no fee changes (confirmed by Renewal Letter ¶ 2(a)). For (d), provide a quarterly table or designate the invoices by Bates number.</w:t>
      </w:r>
    </w:p>
    <w:p>
      <w:r>
        <w:rPr>
          <w:b/>
        </w:rPr>
        <w:t xml:space="preserve">Risks / notes: </w:t>
      </w:r>
      <w:r>
        <w:rPr>
          <w:b w:val="0"/>
          <w:i w:val="0"/>
        </w:rPr>
        <w:t>The (d) data also supports the § 8.3 cap computation (No. 11), so it is useful to lock it in. Check whether any fees were paid late, because § 8.3 counts fees 'actually paid' in the look-back window.</w:t>
      </w:r>
    </w:p>
    <w:p>
      <w:pPr>
        <w:pStyle w:val="Heading2"/>
      </w:pPr>
      <w:r>
        <w:t>No. 10 — Reported NAVs and Methodology Q3 2021–Q2 2022</w:t>
      </w:r>
    </w:p>
    <w:p>
      <w:r>
        <w:rPr>
          <w:b/>
        </w:rPr>
        <w:t xml:space="preserve">Request: </w:t>
      </w:r>
      <w:r>
        <w:t>Reported value of each of the three companies for each quarter, with methodology, inputs and assumptions.</w:t>
      </w:r>
    </w:p>
    <w:p>
      <w:r>
        <w:rPr>
          <w:b/>
        </w:rPr>
        <w:t>Objections to assert:</w:t>
      </w:r>
    </w:p>
    <w:p>
      <w:pPr>
        <w:pStyle w:val="ListBullet"/>
      </w:pPr>
      <w:r>
        <w:rPr>
          <w:b w:val="0"/>
          <w:i w:val="0"/>
        </w:rPr>
        <w:t>Arguably exceeds Local Civ. R. 33.3(a), but it goes to the heart of the case and a court would compel it. Object to the extent it seeks expert opinion (CMO ¶ 13).</w:t>
      </w:r>
    </w:p>
    <w:p>
      <w:r>
        <w:rPr>
          <w:b/>
        </w:rPr>
        <w:t xml:space="preserve">Recommended response: </w:t>
      </w:r>
      <w:r>
        <w:rPr>
          <w:b w:val="0"/>
          <w:i w:val="0"/>
        </w:rPr>
        <w:t>Answer fully from the delivered NAV reports and workpapers. Identify which inputs came from the GP (multiples, discount rates, comparables, management estimates, third-party reports), consistent with FASA § 2.2(b).</w:t>
      </w:r>
    </w:p>
    <w:p>
      <w:r>
        <w:rPr>
          <w:b/>
        </w:rPr>
        <w:t xml:space="preserve">Risks / notes: </w:t>
      </w:r>
      <w:r>
        <w:rPr>
          <w:b w:val="0"/>
          <w:i w:val="0"/>
        </w:rPr>
        <w:t>Complaint ¶¶ 46, 52, 63 allege flat marks for all four quarters ($11.2M, $14.3M, $9.5M). Verify. Any quarter-to-quarter movement helps rebut 'no adjustment.' Characterize methodology factually. Leave defense of its reasonableness to the expert.</w:t>
      </w:r>
    </w:p>
    <w:p>
      <w:pPr>
        <w:pStyle w:val="Heading2"/>
      </w:pPr>
      <w:r>
        <w:t>No. 11 — Facts Supporting the Eighth Affirmative Defense (§ 8.3 Cap)</w:t>
      </w:r>
    </w:p>
    <w:p>
      <w:r>
        <w:rPr>
          <w:b/>
        </w:rPr>
        <w:t xml:space="preserve">Request: </w:t>
      </w:r>
      <w:r>
        <w:t>Every fact, document and witness supporting the $496,000 cap defense.</w:t>
      </w:r>
    </w:p>
    <w:p>
      <w:r>
        <w:rPr>
          <w:b/>
        </w:rPr>
        <w:t>Objections to assert:</w:t>
      </w:r>
    </w:p>
    <w:p>
      <w:pPr>
        <w:pStyle w:val="ListBullet"/>
      </w:pPr>
      <w:r>
        <w:rPr>
          <w:b w:val="0"/>
          <w:i w:val="0"/>
        </w:rPr>
        <w:t>Premature contention interrogatory (Local Civ. R. 33.3(c); CMO ¶ 9; Rule 33(a)(2)).</w:t>
      </w:r>
    </w:p>
    <w:p>
      <w:pPr>
        <w:pStyle w:val="ListBullet"/>
      </w:pPr>
      <w:r>
        <w:rPr>
          <w:b w:val="0"/>
          <w:i w:val="0"/>
        </w:rPr>
        <w:t>'Each and every fact' is overbroad and unduly burdensome.</w:t>
      </w:r>
    </w:p>
    <w:p>
      <w:pPr>
        <w:pStyle w:val="ListBullet"/>
      </w:pPr>
      <w:r>
        <w:rPr>
          <w:b w:val="0"/>
          <w:i w:val="0"/>
        </w:rPr>
        <w:t>Work product: counsel's selection of facts and the Nov. 3, 2022 memo analyzing enforceability.</w:t>
      </w:r>
    </w:p>
    <w:p>
      <w:pPr>
        <w:pStyle w:val="ListBullet"/>
      </w:pPr>
      <w:r>
        <w:rPr>
          <w:b w:val="0"/>
          <w:i w:val="0"/>
        </w:rPr>
        <w:t>Standing arbitration reservation. Note also that § 9.1 bars the arbitrator from awarding above Article VIII limits.</w:t>
      </w:r>
    </w:p>
    <w:p>
      <w:r>
        <w:rPr>
          <w:b/>
        </w:rPr>
        <w:t xml:space="preserve">Recommended response: </w:t>
      </w:r>
      <w:r>
        <w:rPr>
          <w:b w:val="0"/>
          <w:i w:val="0"/>
        </w:rPr>
        <w:t>Object, but serve a short preliminary answer, because the defense rests mainly on documents and helps us. Cite the text of FASA § 8.3 (quoted exactly) and §§ 8.2 and 10.1; Renewal Letter ¶ 2(c), where Trident ratified the cap in January 2023, after it had raised NAV concerns; FASA § 9.1 (the acknowledgment of opportunity to consult counsel) and the recital of sophistication; fees paid in the look-back period (per No. 9); witnesses M. Whitmore and Huang (negotiation), plus Anand and Bowen, who signed the FASA and the renewal. Reserve the right to supplement.</w:t>
      </w:r>
    </w:p>
    <w:p>
      <w:r>
        <w:rPr>
          <w:b/>
        </w:rPr>
        <w:t xml:space="preserve">Risks / notes: </w:t>
      </w:r>
      <w:r>
        <w:rPr>
          <w:b w:val="0"/>
          <w:i w:val="0"/>
        </w:rPr>
        <w:t>Fix the paraphrase errors (Part V, Issue #3). The January 2023 re-affirmation after the June 2022 letter is our best fact against unconscionability, and it rebuts Complaint ¶ 95's claim of no negotiation. Do not discuss § 8.4 carve-outs or the gross-negligence standard; those are legal argument.</w:t>
      </w:r>
    </w:p>
    <w:p>
      <w:pPr>
        <w:pStyle w:val="Heading2"/>
      </w:pPr>
      <w:r>
        <w:t>No. 12 — Other Clients' NAV Errors and Restatements (10 Years)</w:t>
      </w:r>
    </w:p>
    <w:p>
      <w:r>
        <w:rPr>
          <w:b/>
        </w:rPr>
        <w:t xml:space="preserve">Request: </w:t>
      </w:r>
      <w:r>
        <w:t>Identify every other client and describe every NAV error or restatement, with magnitude and remediation.</w:t>
      </w:r>
    </w:p>
    <w:p>
      <w:r>
        <w:rPr>
          <w:b/>
        </w:rPr>
        <w:t>Objections to assert:</w:t>
      </w:r>
    </w:p>
    <w:p>
      <w:pPr>
        <w:pStyle w:val="ListBullet"/>
      </w:pPr>
      <w:r>
        <w:rPr>
          <w:b w:val="0"/>
          <w:i w:val="0"/>
        </w:rPr>
        <w:t>Irrelevant. The claims concern only the Trident engagement. The 'pattern' allegations (Complaint ¶¶ 5, 40, 82) are pleaded on information and belief, and fishing is not permitted to substantiate them.</w:t>
      </w:r>
    </w:p>
    <w:p>
      <w:pPr>
        <w:pStyle w:val="ListBullet"/>
      </w:pPr>
      <w:r>
        <w:rPr>
          <w:b w:val="0"/>
          <w:i w:val="0"/>
        </w:rPr>
        <w:t>Disproportionate: ~39 client engagements over 10 years (CMO ¶ 20).</w:t>
      </w:r>
    </w:p>
    <w:p>
      <w:pPr>
        <w:pStyle w:val="ListBullet"/>
      </w:pPr>
      <w:r>
        <w:rPr>
          <w:b w:val="0"/>
          <w:i w:val="0"/>
        </w:rPr>
        <w:t>Non-party confidentiality. FASA § 11.2 expressly defines other clients' 'NAV calculations, ... errors, corrections, or restatements' as their Confidential Information. Trident also contractually agreed not to seek such disclosure without first giving notice and an opportunity to assert those rights.</w:t>
      </w:r>
    </w:p>
    <w:p>
      <w:pPr>
        <w:pStyle w:val="ListBullet"/>
      </w:pPr>
      <w:r>
        <w:rPr>
          <w:b w:val="0"/>
          <w:i w:val="0"/>
        </w:rPr>
        <w:t>Privacy and proprietary interests of non-parties.</w:t>
      </w:r>
    </w:p>
    <w:p>
      <w:r>
        <w:rPr>
          <w:b/>
        </w:rPr>
        <w:t xml:space="preserve">Recommended response: </w:t>
      </w:r>
      <w:r>
        <w:rPr>
          <w:b w:val="0"/>
          <w:i w:val="0"/>
        </w:rPr>
        <w:t>Stand on objections. Offer nothing client-specific. If Trident presses at the meet-and-confer, we may, subject to VC approval, offer a stipulation that Whitmore will not argue at trial that its record with other clients is error-free, in exchange for withdrawal of the interrogatory.</w:t>
      </w:r>
    </w:p>
    <w:p>
      <w:r>
        <w:rPr>
          <w:b/>
        </w:rPr>
        <w:t xml:space="preserve">Risks / notes: </w:t>
      </w:r>
      <w:r>
        <w:rPr>
          <w:b w:val="0"/>
          <w:i w:val="0"/>
        </w:rPr>
        <w:t>Section 11.2 is a strong fact on balancing, but courts hold that private confidentiality agreements do not by themselves bar discovery. Expect a court to at most order anonymized, aggregated data under an attorneys'-eyes-only (AEO) designation. Trident will argue relevance to gross negligence (the § 8.4 carve-out) and to 'systemic' failure. Our response is that Trident's claimed harm arises from three specific marks. Per strategy memo § VI.C.3, notify affected clients before any court-ordered production.</w:t>
      </w:r>
    </w:p>
    <w:p>
      <w:pPr>
        <w:pStyle w:val="Heading2"/>
      </w:pPr>
      <w:r>
        <w:t>No. 13 — Valuation Review Committee</w:t>
      </w:r>
    </w:p>
    <w:p>
      <w:r>
        <w:rPr>
          <w:b/>
        </w:rPr>
        <w:t xml:space="preserve">Request: </w:t>
      </w:r>
      <w:r>
        <w:t>Composition, function, schedule, and members since 2020; for each meeting discussing the three companies, date, attendees and substance.</w:t>
      </w:r>
    </w:p>
    <w:p>
      <w:r>
        <w:rPr>
          <w:b/>
        </w:rPr>
        <w:t>Objections to assert:</w:t>
      </w:r>
    </w:p>
    <w:p>
      <w:pPr>
        <w:pStyle w:val="ListBullet"/>
      </w:pPr>
      <w:r>
        <w:rPr>
          <w:b w:val="0"/>
          <w:i w:val="0"/>
        </w:rPr>
        <w:t>Local Civ. R. 33.3; discrete subparts.</w:t>
      </w:r>
    </w:p>
    <w:p>
      <w:pPr>
        <w:pStyle w:val="ListBullet"/>
      </w:pPr>
      <w:r>
        <w:rPr>
          <w:b w:val="0"/>
          <w:i w:val="0"/>
        </w:rPr>
        <w:t>Meeting-level narration is burdensome, so use Rule 33(d) for minutes.</w:t>
      </w:r>
    </w:p>
    <w:p>
      <w:pPr>
        <w:pStyle w:val="ListBullet"/>
      </w:pPr>
      <w:r>
        <w:rPr>
          <w:b w:val="0"/>
          <w:i w:val="0"/>
        </w:rPr>
        <w:t>Privilege, to the extent post-Sept. 2022 meetings discussed counsel's advice.</w:t>
      </w:r>
    </w:p>
    <w:p>
      <w:r>
        <w:rPr>
          <w:b/>
        </w:rPr>
        <w:t xml:space="preserve">Recommended response: </w:t>
      </w:r>
      <w:r>
        <w:rPr>
          <w:b w:val="0"/>
          <w:i w:val="0"/>
        </w:rPr>
        <w:t>Answer after resolving Part V, Issue #1. Describe the committee's composition and function, identify members (Huang; the Head of Fund Accounting; other senior accountants) and the regular schedule, and designate minutes and agendas under Rule 33(d) for the meetings covering the three companies.</w:t>
      </w:r>
    </w:p>
    <w:p>
      <w:r>
        <w:rPr>
          <w:b/>
        </w:rPr>
        <w:t xml:space="preserve">Risks / notes: </w:t>
      </w:r>
      <w:r>
        <w:rPr>
          <w:b/>
          <w:i w:val="0"/>
        </w:rPr>
        <w:t>Consistency risk.</w:t>
      </w:r>
      <w:r>
        <w:rPr>
          <w:b w:val="0"/>
          <w:i w:val="0"/>
        </w:rPr>
        <w:t xml:space="preserve"> Complaint ¶ 68 alleges the committee did not meet or 'rubber-stamped' Roszak's marks. If minutes are missing for any quarter from Q3 2021 to Q2 2022, find that out now and do not answer in a way that implies regular meetings. Also address how Whitmore's committee interfaced with the GP's approval, which supports FASA § 8.1(b) reliance.</w:t>
      </w:r>
    </w:p>
    <w:p>
      <w:pPr>
        <w:pStyle w:val="Heading2"/>
      </w:pPr>
      <w:r>
        <w:t>No. 14 — Persons Consulted on the January 15, 2023 Renewal</w:t>
      </w:r>
    </w:p>
    <w:p>
      <w:r>
        <w:rPr>
          <w:b/>
        </w:rPr>
        <w:t xml:space="preserve">Request: </w:t>
      </w:r>
      <w:r>
        <w:t>Everyone consulted about the renewal decision, including attorneys and advisors, and the substance of each consultation.</w:t>
      </w:r>
    </w:p>
    <w:p>
      <w:r>
        <w:rPr>
          <w:b/>
        </w:rPr>
        <w:t>Objections to assert:</w:t>
      </w:r>
    </w:p>
    <w:p>
      <w:pPr>
        <w:pStyle w:val="ListBullet"/>
      </w:pPr>
      <w:r>
        <w:rPr>
          <w:b w:val="0"/>
          <w:i w:val="0"/>
        </w:rPr>
        <w:t>Attorney-client privilege and work product for consultations with Caldwell &amp; Pryce, who were engaged in Sept. 2022 when litigation was anticipated. The substance of those consultations is protected.</w:t>
      </w:r>
    </w:p>
    <w:p>
      <w:pPr>
        <w:pStyle w:val="ListBullet"/>
      </w:pPr>
      <w:r>
        <w:rPr>
          <w:b w:val="0"/>
          <w:i w:val="0"/>
        </w:rPr>
        <w:t>Relevance is limited as to Whitmore's internal deliberations.</w:t>
      </w:r>
    </w:p>
    <w:p>
      <w:r>
        <w:rPr>
          <w:b/>
        </w:rPr>
        <w:t xml:space="preserve">Recommended response: </w:t>
      </w:r>
      <w:r>
        <w:rPr>
          <w:b w:val="0"/>
          <w:i w:val="0"/>
        </w:rPr>
        <w:t>Identify the business persons involved (M. Whitmore and Huang, and anyone in finance) and summarize the non-privileged business rationale. State that Whitmore also consulted outside counsel, that the substance is withheld as privileged, and log it.</w:t>
      </w:r>
    </w:p>
    <w:p>
      <w:r>
        <w:rPr>
          <w:b/>
        </w:rPr>
        <w:t xml:space="preserve">Risks / notes: </w:t>
      </w:r>
      <w:r>
        <w:rPr>
          <w:b w:val="0"/>
          <w:i w:val="0"/>
        </w:rPr>
        <w:t>The strategy memo's direction not to reveal the fact of consultation goes further than the law. The fact of consultation and the attorney's identity generally are not privileged, and the privilege log will disclose them anyway. Concealing them in a sworn answer is risky. Be alert to at-issue waiver: Whitmore relies on the renewal (Twelfth Affirmative Defense; No. 11). We should rely only on Trident's conduct and the document's text, not on Whitmore's legal reasoning, so that we do not put counsel's advice at issue.</w:t>
      </w:r>
    </w:p>
    <w:p>
      <w:pPr>
        <w:pStyle w:val="Heading2"/>
      </w:pPr>
      <w:r>
        <w:t>No. 15 — Firm Revenue Since 2009 and Trident's Share</w:t>
      </w:r>
    </w:p>
    <w:p>
      <w:r>
        <w:rPr>
          <w:b/>
        </w:rPr>
        <w:t xml:space="preserve">Request: </w:t>
      </w:r>
      <w:r>
        <w:t>Total annual revenue, Trident revenue, and the percentage attributable to Trident.</w:t>
      </w:r>
    </w:p>
    <w:p>
      <w:r>
        <w:rPr>
          <w:b/>
        </w:rPr>
        <w:t>Objections to assert:</w:t>
      </w:r>
    </w:p>
    <w:p>
      <w:pPr>
        <w:pStyle w:val="ListBullet"/>
      </w:pPr>
      <w:r>
        <w:rPr>
          <w:b w:val="0"/>
          <w:i w:val="0"/>
        </w:rPr>
        <w:t>Firm-wide revenue is irrelevant. No punitive damages are pleaded, and restitution under Count IV is measured by Trident's payments. The request is also highly confidential and overbroad in time.</w:t>
      </w:r>
    </w:p>
    <w:p>
      <w:r>
        <w:rPr>
          <w:b/>
        </w:rPr>
        <w:t xml:space="preserve">Recommended response: </w:t>
      </w:r>
      <w:r>
        <w:rPr>
          <w:b w:val="0"/>
          <w:i w:val="0"/>
        </w:rPr>
        <w:t>Partial answer: provide the fees and pass-throughs Trident paid, by year, from 2018 to 2024 (cross-reference No. 9). Stand on objection to total revenue and percentages.</w:t>
      </w:r>
    </w:p>
    <w:p>
      <w:r>
        <w:rPr>
          <w:b/>
        </w:rPr>
        <w:t xml:space="preserve">Risks / notes: </w:t>
      </w:r>
      <w:r>
        <w:rPr>
          <w:b w:val="0"/>
          <w:i w:val="0"/>
        </w:rPr>
        <w:t>If Trident argues that Whitmore's financial dependence on Trident is relevant (motive or fiduciary 'trust'), offer a percentage range under an AEO designation as a compromise, subject to VC approval.</w:t>
      </w:r>
    </w:p>
    <w:p>
      <w:pPr>
        <w:pStyle w:val="Heading2"/>
      </w:pPr>
      <w:r>
        <w:t>No. 16 — Communications with Pendleton &amp; Greer (FY2021–2022 Audits)</w:t>
      </w:r>
    </w:p>
    <w:p>
      <w:r>
        <w:rPr>
          <w:b/>
        </w:rPr>
        <w:t xml:space="preserve">Request: </w:t>
      </w:r>
      <w:r>
        <w:t>Identify and describe all communications with the auditor, including confirmations, management representation letters, and valuation correspondence.</w:t>
      </w:r>
    </w:p>
    <w:p>
      <w:r>
        <w:rPr>
          <w:b/>
        </w:rPr>
        <w:t>Objections to assert:</w:t>
      </w:r>
    </w:p>
    <w:p>
      <w:pPr>
        <w:pStyle w:val="ListBullet"/>
      </w:pPr>
      <w:r>
        <w:rPr>
          <w:b w:val="0"/>
          <w:i w:val="0"/>
        </w:rPr>
        <w:t>Burden of 'describe the contents'; use Rule 33(d).</w:t>
      </w:r>
    </w:p>
    <w:p>
      <w:r>
        <w:rPr>
          <w:b/>
        </w:rPr>
        <w:t xml:space="preserve">Recommended response: </w:t>
      </w:r>
      <w:r>
        <w:rPr>
          <w:b w:val="0"/>
          <w:i w:val="0"/>
        </w:rPr>
        <w:t>Answer: identify the Whitmore personnel who dealt with P&amp;G, the categories of communications (PBC lists, confirmations, walkthroughs under FASA § 2.5), and designate the documents under Rule 33(d).</w:t>
      </w:r>
    </w:p>
    <w:p>
      <w:r>
        <w:rPr>
          <w:b/>
        </w:rPr>
        <w:t xml:space="preserve">Risks / notes: </w:t>
      </w:r>
      <w:r>
        <w:rPr>
          <w:b w:val="0"/>
          <w:i w:val="0"/>
        </w:rPr>
        <w:t>This favors us (Theme 3; Answer ¶¶ 39, 43, 47, 52). No privilege applies. Check whether Whitmore signed any representation letters about valuations; if so, those letters cut both ways. Confirm whether any auditor issues were passed to the GP under FASA § 2.5(c).</w:t>
      </w:r>
    </w:p>
    <w:p>
      <w:pPr>
        <w:pStyle w:val="Heading2"/>
      </w:pPr>
      <w:r>
        <w:t>No. 17 — Technology Platforms, Costs, and Pass-Through Treatment</w:t>
      </w:r>
    </w:p>
    <w:p>
      <w:r>
        <w:rPr>
          <w:b/>
        </w:rPr>
        <w:t xml:space="preserve">Request: </w:t>
      </w:r>
      <w:r>
        <w:t>All platforms, software, and data vendors used for Trident since 2018, with annual cost, vendor, and whether billed under § 4.7(b).</w:t>
      </w:r>
    </w:p>
    <w:p>
      <w:r>
        <w:rPr>
          <w:b/>
        </w:rPr>
        <w:t>Objections to assert:</w:t>
      </w:r>
    </w:p>
    <w:p>
      <w:pPr>
        <w:pStyle w:val="ListBullet"/>
      </w:pPr>
      <w:r>
        <w:rPr>
          <w:b w:val="0"/>
          <w:i w:val="0"/>
        </w:rPr>
        <w:t>Firm-wide platform costs are confidential commercial information, so disclose only under a protective order.</w:t>
      </w:r>
    </w:p>
    <w:p>
      <w:pPr>
        <w:pStyle w:val="ListBullet"/>
      </w:pPr>
      <w:r>
        <w:rPr>
          <w:b w:val="0"/>
          <w:i w:val="0"/>
        </w:rPr>
        <w:t>Overbroad to the extent it seeks costs of platforms not billed to Trident.</w:t>
      </w:r>
    </w:p>
    <w:p>
      <w:pPr>
        <w:pStyle w:val="ListBullet"/>
      </w:pPr>
      <w:r>
        <w:rPr>
          <w:b w:val="0"/>
          <w:i w:val="0"/>
        </w:rPr>
        <w:t>Discrete subparts.</w:t>
      </w:r>
    </w:p>
    <w:p>
      <w:r>
        <w:rPr>
          <w:b/>
        </w:rPr>
        <w:t xml:space="preserve">Recommended response: </w:t>
      </w:r>
      <w:r>
        <w:rPr>
          <w:b w:val="0"/>
          <w:i w:val="0"/>
        </w:rPr>
        <w:t>Answer only after the Issue #2 review. Identify each third-party vendor whose charges made up the $47,500 quarterly pass-through, the service, the cost, and the allocation methodology if the service was multi-client, as § 4.7(b) requires. Also identify internal platforms used on the account (including WhitmoreConnect, if applicable) and state that they were not passed through, if that is true.</w:t>
      </w:r>
    </w:p>
    <w:p>
      <w:r>
        <w:rPr>
          <w:b/>
        </w:rPr>
        <w:t xml:space="preserve">Risks / notes: </w:t>
      </w:r>
      <w:r>
        <w:rPr>
          <w:b/>
          <w:i w:val="0"/>
        </w:rPr>
        <w:t>Merits-critical.</w:t>
      </w:r>
      <w:r>
        <w:rPr>
          <w:b w:val="0"/>
          <w:i w:val="0"/>
        </w:rPr>
        <w:t xml:space="preserve"> Any gap between the vendor file and the invoices sent to Trident will surface here. If the charges included internal costs, the sworn answer cannot say otherwise (Rule 26(g); Rule 11). Promptly advise VC on the implications for the Fifth Affirmative Defense and settlement posture before mediation (CMO ¶ 16: mediation by June 30, 2025; joint letter by April 15, 2025).</w:t>
      </w:r>
    </w:p>
    <w:p>
      <w:pPr>
        <w:pStyle w:val="Heading2"/>
      </w:pPr>
      <w:r>
        <w:t>No. 18 — Facts Supporting the Tenth Affirmative Defense (Contributory Negligence)</w:t>
      </w:r>
    </w:p>
    <w:p>
      <w:r>
        <w:rPr>
          <w:b/>
        </w:rPr>
        <w:t xml:space="preserve">Request: </w:t>
      </w:r>
      <w:r>
        <w:t>Every fact, document, and witness supporting comparative fault.</w:t>
      </w:r>
    </w:p>
    <w:p>
      <w:r>
        <w:rPr>
          <w:b/>
        </w:rPr>
        <w:t>Objections to assert:</w:t>
      </w:r>
    </w:p>
    <w:p>
      <w:pPr>
        <w:pStyle w:val="ListBullet"/>
      </w:pPr>
      <w:r>
        <w:rPr>
          <w:b w:val="0"/>
          <w:i w:val="0"/>
        </w:rPr>
        <w:t>Premature contention interrogatory (Local Civ. R. 33.3(c); CMO ¶ 9). Trident's documents on GP deliberations and auditor workpapers have not yet been produced.</w:t>
      </w:r>
    </w:p>
    <w:p>
      <w:pPr>
        <w:pStyle w:val="ListBullet"/>
      </w:pPr>
      <w:r>
        <w:rPr>
          <w:b w:val="0"/>
          <w:i w:val="0"/>
        </w:rPr>
        <w:t>Work product; 'each and every fact' is overbroad.</w:t>
      </w:r>
    </w:p>
    <w:p>
      <w:r>
        <w:rPr>
          <w:b/>
        </w:rPr>
        <w:t xml:space="preserve">Recommended response: </w:t>
      </w:r>
      <w:r>
        <w:rPr>
          <w:b w:val="0"/>
          <w:i w:val="0"/>
        </w:rPr>
        <w:t>Object, then give a preliminary answer tracking Tenth Affirmative Defense items (a)–(d). Include: the GP's control of and board seats at the portfolio companies; GP-provided inputs and approvals (FASA § 2.2(b)–(c)); P&amp;G's unqualified opinions; Trident's failure to raise concerns until June 14, 2022. Identify Anand, Bowen, Pendleton, Huang and Tramonte. Reserve supplementation.</w:t>
      </w:r>
    </w:p>
    <w:p>
      <w:r>
        <w:rPr>
          <w:b/>
        </w:rPr>
        <w:t xml:space="preserve">Risks / notes: </w:t>
      </w:r>
      <w:r>
        <w:rPr>
          <w:b w:val="0"/>
          <w:i w:val="0"/>
        </w:rPr>
        <w:t>Be careful: the answer must fit No. 13 and Part V, Issue #1. Note internally that comparative fault under CPLR 1411 applies to the tort counts. It is generally not a defense to breach of contract, so do not overstate its scope in the answer.</w:t>
      </w:r>
    </w:p>
    <w:p>
      <w:pPr>
        <w:pStyle w:val="Heading2"/>
      </w:pPr>
      <w:r>
        <w:t>No. 19 — Roszak Personal Information, Departure, Restrictive Covenants</w:t>
      </w:r>
    </w:p>
    <w:p>
      <w:r>
        <w:rPr>
          <w:b/>
        </w:rPr>
        <w:t xml:space="preserve">Request: </w:t>
      </w:r>
      <w:r>
        <w:t>Current home address, phone, personal email, SSN, current compensation, circumstances of departure, and any non-compete, non-solicit or confidentiality agreements.</w:t>
      </w:r>
    </w:p>
    <w:p>
      <w:r>
        <w:rPr>
          <w:b/>
        </w:rPr>
        <w:t>Objections to assert:</w:t>
      </w:r>
    </w:p>
    <w:p>
      <w:pPr>
        <w:pStyle w:val="ListBullet"/>
      </w:pPr>
      <w:r>
        <w:rPr>
          <w:b w:val="0"/>
          <w:i w:val="0"/>
        </w:rPr>
        <w:t>SSN: invasive of a non-party's privacy, irrelevant, and disproportionate.</w:t>
      </w:r>
    </w:p>
    <w:p>
      <w:pPr>
        <w:pStyle w:val="ListBullet"/>
      </w:pPr>
      <w:r>
        <w:rPr>
          <w:b w:val="0"/>
          <w:i w:val="0"/>
        </w:rPr>
        <w:t>Current compensation at Granite Bay: not in Whitmore's possession, custody or control, and irrelevant.</w:t>
      </w:r>
    </w:p>
    <w:p>
      <w:pPr>
        <w:pStyle w:val="ListBullet"/>
      </w:pPr>
      <w:r>
        <w:rPr>
          <w:b w:val="0"/>
          <w:i w:val="0"/>
        </w:rPr>
        <w:t>Current contact details: Whitmore has only last-known information and has no duty to investigate.</w:t>
      </w:r>
    </w:p>
    <w:p>
      <w:pPr>
        <w:pStyle w:val="ListBullet"/>
      </w:pPr>
      <w:r>
        <w:rPr>
          <w:b w:val="0"/>
          <w:i w:val="0"/>
        </w:rPr>
        <w:t>Discrete subparts.</w:t>
      </w:r>
    </w:p>
    <w:p>
      <w:r>
        <w:rPr>
          <w:b/>
        </w:rPr>
        <w:t xml:space="preserve">Recommended response: </w:t>
      </w:r>
      <w:r>
        <w:rPr>
          <w:b w:val="0"/>
          <w:i w:val="0"/>
        </w:rPr>
        <w:t>Partial answer: last known home address and personal cell number from employment records (designate Confidential); state that Whitmore has no current personal email. Roszak voluntarily resigned, effective Aug. 15, 2022. Identify, and offer to produce under a protective order, any confidentiality or restrictive-covenant agreement. Refuse SSN and compensation.</w:t>
      </w:r>
    </w:p>
    <w:p>
      <w:r>
        <w:rPr>
          <w:b/>
        </w:rPr>
        <w:t xml:space="preserve">Risks / notes: </w:t>
      </w:r>
      <w:r>
        <w:rPr>
          <w:b w:val="0"/>
          <w:i w:val="0"/>
        </w:rPr>
        <w:t>The departure circumstances and covenants are relevant to bias and availability, and a court would compel them. Answer truthfully and neutrally. Avoid commenting on his motives. Confirm whether the informal outreach recommended in the strategy memo has happened. Any contact must not be framed to discourage cooperation with Trident.</w:t>
      </w:r>
    </w:p>
    <w:p>
      <w:pPr>
        <w:pStyle w:val="Heading2"/>
      </w:pPr>
      <w:r>
        <w:t>No. 20 — Litigation Experts and Consultants</w:t>
      </w:r>
    </w:p>
    <w:p>
      <w:r>
        <w:rPr>
          <w:b/>
        </w:rPr>
        <w:t xml:space="preserve">Request: </w:t>
      </w:r>
      <w:r>
        <w:t>Identity, scope, methodology, preliminary findings, and compensation of any expert or consultant retained for this litigation.</w:t>
      </w:r>
    </w:p>
    <w:p>
      <w:r>
        <w:rPr>
          <w:b/>
        </w:rPr>
        <w:t>Objections to assert:</w:t>
      </w:r>
    </w:p>
    <w:p>
      <w:pPr>
        <w:pStyle w:val="ListBullet"/>
      </w:pPr>
      <w:r>
        <w:rPr>
          <w:b w:val="0"/>
          <w:i w:val="0"/>
        </w:rPr>
        <w:t>CMO ¶ 13 expressly provides that no party must disclose 'the identity, opinions, methodology, or analysis of any expert, consultant, or advisor retained in anticipation of litigation' before the expert deadlines.</w:t>
      </w:r>
    </w:p>
    <w:p>
      <w:pPr>
        <w:pStyle w:val="ListBullet"/>
      </w:pPr>
      <w:r>
        <w:rPr>
          <w:b w:val="0"/>
          <w:i w:val="0"/>
        </w:rPr>
        <w:t>Rule 26(b)(4)(D): the forensic accounting consultant is a non-testifying consulting expert, discoverable only on a showing of exceptional circumstances. Rule 26(b)(4)(B)–(C) protects drafts and counsel communications.</w:t>
      </w:r>
    </w:p>
    <w:p>
      <w:pPr>
        <w:pStyle w:val="ListBullet"/>
      </w:pPr>
      <w:r>
        <w:rPr>
          <w:b w:val="0"/>
          <w:i w:val="0"/>
        </w:rPr>
        <w:t>Work product.</w:t>
      </w:r>
    </w:p>
    <w:p>
      <w:r>
        <w:rPr>
          <w:b/>
        </w:rPr>
        <w:t xml:space="preserve">Recommended response: </w:t>
      </w:r>
      <w:r>
        <w:rPr>
          <w:b w:val="0"/>
          <w:i w:val="0"/>
        </w:rPr>
        <w:t>Stand on objections entirely. State that Whitmore will make its expert disclosures in accordance with CMO ¶¶ 10–11 (affirmative Sept. 15, 2025; rebuttal Oct. 15, 2025).</w:t>
      </w:r>
    </w:p>
    <w:p>
      <w:r>
        <w:rPr>
          <w:b/>
        </w:rPr>
        <w:t xml:space="preserve">Risks / notes: </w:t>
      </w:r>
      <w:r>
        <w:rPr>
          <w:b w:val="0"/>
          <w:i w:val="0"/>
        </w:rPr>
        <w:t>This objection is strong. If the forensic consultant later becomes a testifying expert, disclosure obligations attach to materials the expert considered. Keep the consulting and testifying roles separate, as the strategy memo's 'avoid duplication' instruction contemplates.</w:t>
      </w:r>
    </w:p>
    <w:p>
      <w:pPr>
        <w:pStyle w:val="Heading2"/>
      </w:pPr>
      <w:r>
        <w:t>No. 21 — NAV Report Process and Timeliness, Q1 2021–Q4 2022</w:t>
      </w:r>
    </w:p>
    <w:p>
      <w:r>
        <w:rPr>
          <w:b/>
        </w:rPr>
        <w:t xml:space="preserve">Request: </w:t>
      </w:r>
      <w:r>
        <w:t>Preparation timeline, persons, review and approval steps, and whether each report met the 45-day deadline.</w:t>
      </w:r>
    </w:p>
    <w:p>
      <w:r>
        <w:rPr>
          <w:b/>
        </w:rPr>
        <w:t>Objections to assert:</w:t>
      </w:r>
    </w:p>
    <w:p>
      <w:pPr>
        <w:pStyle w:val="ListBullet"/>
      </w:pPr>
      <w:r>
        <w:rPr>
          <w:b w:val="0"/>
          <w:i w:val="0"/>
        </w:rPr>
        <w:t>Local Civ. R. 33.3. Otherwise the scope is reasonable (8 quarters).</w:t>
      </w:r>
    </w:p>
    <w:p>
      <w:r>
        <w:rPr>
          <w:b/>
        </w:rPr>
        <w:t xml:space="preserve">Recommended response: </w:t>
      </w:r>
      <w:r>
        <w:rPr>
          <w:b w:val="0"/>
          <w:i w:val="0"/>
        </w:rPr>
        <w:t>Answer, including a delivery-date table for each quarter compared with the 45-day deadline (FASA § 5.2; Ex. A).</w:t>
      </w:r>
    </w:p>
    <w:p>
      <w:r>
        <w:rPr>
          <w:b/>
        </w:rPr>
        <w:t xml:space="preserve">Risks / notes: </w:t>
      </w:r>
      <w:r>
        <w:rPr>
          <w:b w:val="0"/>
          <w:i w:val="0"/>
        </w:rPr>
        <w:t>Answer ¶ 22 and the Fourth Affirmative Defense say all reports were timely. Verify every date from transmittal emails before swearing. If any report was late, disclose it and assess whether to amend the Answer. Also note Complaint ¶ 102(b), which recasts 'timely but inaccurate' as a timeliness breach.</w:t>
      </w:r>
    </w:p>
    <w:p>
      <w:pPr>
        <w:pStyle w:val="Heading2"/>
      </w:pPr>
      <w:r>
        <w:t>No. 22 — All Communications About the Discrepancies Since July 1, 2021</w:t>
      </w:r>
    </w:p>
    <w:p>
      <w:r>
        <w:rPr>
          <w:b/>
        </w:rPr>
        <w:t xml:space="preserve">Request: </w:t>
      </w:r>
      <w:r>
        <w:t>Every person communicated with, and for each communication the date, participants, medium, and substance, including 'advice received from any source.'</w:t>
      </w:r>
    </w:p>
    <w:p>
      <w:r>
        <w:rPr>
          <w:b/>
        </w:rPr>
        <w:t>Objections to assert:</w:t>
      </w:r>
    </w:p>
    <w:p>
      <w:pPr>
        <w:pStyle w:val="ListBullet"/>
      </w:pPr>
      <w:r>
        <w:rPr>
          <w:b w:val="0"/>
          <w:i w:val="0"/>
        </w:rPr>
        <w:t>Attorney-client privilege and work product (all counsel communications from Sept. 2022 onward). The insurer communications may be protected by common interest or privilege (strategy memo § VIII).</w:t>
      </w:r>
    </w:p>
    <w:p>
      <w:pPr>
        <w:pStyle w:val="ListBullet"/>
      </w:pPr>
      <w:r>
        <w:rPr>
          <w:b w:val="0"/>
          <w:i w:val="0"/>
        </w:rPr>
        <w:t>Overbroad and unduly burdensome: communication-by-communication narration over 3.5 years is a document request in disguise.</w:t>
      </w:r>
    </w:p>
    <w:p>
      <w:pPr>
        <w:pStyle w:val="ListBullet"/>
      </w:pPr>
      <w:r>
        <w:rPr>
          <w:b w:val="0"/>
          <w:i w:val="0"/>
        </w:rPr>
        <w:t>The premise is vague: Whitmore disputes that 'discrepancies' existed before they were raised.</w:t>
      </w:r>
    </w:p>
    <w:p>
      <w:r>
        <w:rPr>
          <w:b/>
        </w:rPr>
        <w:t xml:space="preserve">Recommended response: </w:t>
      </w:r>
      <w:r>
        <w:rPr>
          <w:b w:val="0"/>
          <w:i w:val="0"/>
        </w:rPr>
        <w:t>Partial answer. Identify the categories of non-privileged communications and the participants: Whitmore–Trident, Whitmore–P&amp;G, internal business communications during June–Aug. 2022, and Whitmore–Aldersgate (limited to notice and the reservation of rights). Produce and designate under Rule 33(d). Withhold counsel and privileged insurer communications, with a categorical log.</w:t>
      </w:r>
    </w:p>
    <w:p>
      <w:r>
        <w:rPr>
          <w:b/>
        </w:rPr>
        <w:t xml:space="preserve">Risks / notes: </w:t>
      </w:r>
      <w:r>
        <w:rPr>
          <w:b w:val="0"/>
          <w:i w:val="0"/>
        </w:rPr>
        <w:t>The July 1, 2021 start date shows Trident is probing whether Whitmore knew of problems before Trident did (Complaint ¶ 71). Any internal Whitmore discussion from Q3 2021 to Q2 2022 questioning the marks is highly sensitive and not privileged. Search Roszak's archive before answering.</w:t>
      </w:r>
    </w:p>
    <w:p>
      <w:pPr>
        <w:pStyle w:val="Heading2"/>
      </w:pPr>
      <w:r>
        <w:t>No. 23 — QC, Internal Audit, and Compliance Reviews; Errors Identified</w:t>
      </w:r>
    </w:p>
    <w:p>
      <w:r>
        <w:rPr>
          <w:b/>
        </w:rPr>
        <w:t xml:space="preserve">Request: </w:t>
      </w:r>
      <w:r>
        <w:t>Procedures applied to Trident fund accounting since 2018, and whether any review identified errors or deficiencies in Trident NAV reports.</w:t>
      </w:r>
    </w:p>
    <w:p>
      <w:r>
        <w:rPr>
          <w:b/>
        </w:rPr>
        <w:t>Objections to assert:</w:t>
      </w:r>
    </w:p>
    <w:p>
      <w:pPr>
        <w:pStyle w:val="ListBullet"/>
      </w:pPr>
      <w:r>
        <w:rPr>
          <w:b w:val="0"/>
          <w:i w:val="0"/>
        </w:rPr>
        <w:t>Privilege and work product for reviews directed by counsel from Sept. 2022.</w:t>
      </w:r>
    </w:p>
    <w:p>
      <w:pPr>
        <w:pStyle w:val="ListBullet"/>
      </w:pPr>
      <w:r>
        <w:rPr>
          <w:b w:val="0"/>
          <w:i w:val="0"/>
        </w:rPr>
        <w:t>Otherwise answerable.</w:t>
      </w:r>
    </w:p>
    <w:p>
      <w:r>
        <w:rPr>
          <w:b/>
        </w:rPr>
        <w:t xml:space="preserve">Recommended response: </w:t>
      </w:r>
      <w:r>
        <w:rPr>
          <w:b w:val="0"/>
          <w:i w:val="0"/>
        </w:rPr>
        <w:t>Answer: describe the standard QC steps (preparer and reviewer sign-off, consistency checks and reconciliations under FASA § 2.2(c), committee review, CEO copy on reports). State truthfully whether any ordinary-course review, including the June–Aug. 2022 review and any Tramonte transition review, identified errors, and when. Withhold only counsel-directed analysis.</w:t>
      </w:r>
    </w:p>
    <w:p>
      <w:r>
        <w:rPr>
          <w:b/>
        </w:rPr>
        <w:t xml:space="preserve">Risks / notes: </w:t>
      </w:r>
      <w:r>
        <w:rPr>
          <w:b w:val="0"/>
          <w:i w:val="0"/>
        </w:rPr>
        <w:t>Tied to No. 7 and Part V, Issue #4. This is where the § 5.5 exposure will crystallize. Do not answer 'no errors identified' if the business review found issues.</w:t>
      </w:r>
    </w:p>
    <w:p>
      <w:pPr>
        <w:pStyle w:val="Heading2"/>
      </w:pPr>
      <w:r>
        <w:t>No. 24 — Firm-Wide NAV Error Statistics Since 2009</w:t>
      </w:r>
    </w:p>
    <w:p>
      <w:r>
        <w:rPr>
          <w:b/>
        </w:rPr>
        <w:t xml:space="preserve">Request: </w:t>
      </w:r>
      <w:r>
        <w:t>Annual count and dollar amount of NAV errors across all clients, and average time to correct.</w:t>
      </w:r>
    </w:p>
    <w:p>
      <w:r>
        <w:rPr>
          <w:b/>
        </w:rPr>
        <w:t>Objections to assert:</w:t>
      </w:r>
    </w:p>
    <w:p>
      <w:pPr>
        <w:pStyle w:val="ListBullet"/>
      </w:pPr>
      <w:r>
        <w:rPr>
          <w:b w:val="0"/>
          <w:i w:val="0"/>
        </w:rPr>
        <w:t>Same as No. 12: relevance, proportionality, FASA § 11.2, and non-party interests. Also the temporal overbreadth of 2009.</w:t>
      </w:r>
    </w:p>
    <w:p>
      <w:pPr>
        <w:pStyle w:val="ListBullet"/>
      </w:pPr>
      <w:r>
        <w:rPr>
          <w:b w:val="0"/>
          <w:i w:val="0"/>
        </w:rPr>
        <w:t>May require compiling data that does not exist in that form. Rule 33 does not require creating new analyses.</w:t>
      </w:r>
    </w:p>
    <w:p>
      <w:r>
        <w:rPr>
          <w:b/>
        </w:rPr>
        <w:t xml:space="preserve">Recommended response: </w:t>
      </w:r>
      <w:r>
        <w:rPr>
          <w:b w:val="0"/>
          <w:i w:val="0"/>
        </w:rPr>
        <w:t>Stand on objections.</w:t>
      </w:r>
    </w:p>
    <w:p>
      <w:r>
        <w:rPr>
          <w:b/>
        </w:rPr>
        <w:t xml:space="preserve">Risks / notes: </w:t>
      </w:r>
      <w:r>
        <w:rPr>
          <w:b w:val="0"/>
          <w:i w:val="0"/>
        </w:rPr>
        <w:t>If compelled, argue for anonymized aggregate data for 2018–2022 only, under an AEO designation, and notify clients before production.</w:t>
      </w:r>
    </w:p>
    <w:p>
      <w:pPr>
        <w:pStyle w:val="Heading2"/>
      </w:pPr>
      <w:r>
        <w:t>No. 25 — Validity and Enforceability of § 9.1</w:t>
      </w:r>
    </w:p>
    <w:p>
      <w:r>
        <w:rPr>
          <w:b/>
        </w:rPr>
        <w:t xml:space="preserve">Request: </w:t>
      </w:r>
      <w:r>
        <w:t>Whether § 9.1 is a valid and enforceable arbitration agreement, the legal basis, and whether it requires arbitration of some or all claims.</w:t>
      </w:r>
    </w:p>
    <w:p>
      <w:r>
        <w:rPr>
          <w:b/>
        </w:rPr>
        <w:t>Objections to assert:</w:t>
      </w:r>
    </w:p>
    <w:p>
      <w:pPr>
        <w:pStyle w:val="ListBullet"/>
      </w:pPr>
      <w:r>
        <w:rPr>
          <w:b w:val="0"/>
          <w:i w:val="0"/>
        </w:rPr>
        <w:t>Calls for a pure legal conclusion, not an opinion or contention 'that relates to fact or the application of law to fact' (Rule 33(a)(2)). Interrogatories seeking pure legal positions are improper.</w:t>
      </w:r>
    </w:p>
    <w:p>
      <w:pPr>
        <w:pStyle w:val="ListBullet"/>
      </w:pPr>
      <w:r>
        <w:rPr>
          <w:b w:val="0"/>
          <w:i w:val="0"/>
        </w:rPr>
        <w:t>Work product: counsel's mental impressions and legal theories (Rule 26(b)(3)(B)).</w:t>
      </w:r>
    </w:p>
    <w:p>
      <w:pPr>
        <w:pStyle w:val="ListBullet"/>
      </w:pPr>
      <w:r>
        <w:rPr>
          <w:b w:val="0"/>
          <w:i w:val="0"/>
        </w:rPr>
        <w:t>Premature: the issue will be presented by motion under 9 U.S.C. §§ 3–4 (CMO ¶ 17). Under § 9.1's delegation language, arbitrability is for the arbitrator.</w:t>
      </w:r>
    </w:p>
    <w:p>
      <w:pPr>
        <w:pStyle w:val="ListBullet"/>
      </w:pPr>
      <w:r>
        <w:rPr>
          <w:b w:val="0"/>
          <w:i w:val="0"/>
        </w:rPr>
        <w:t>Beyond the numerical limit if discrete subparts are counted.</w:t>
      </w:r>
    </w:p>
    <w:p>
      <w:pPr>
        <w:pStyle w:val="ListBullet"/>
      </w:pPr>
      <w:r>
        <w:rPr>
          <w:b w:val="0"/>
          <w:i w:val="0"/>
        </w:rPr>
        <w:t>Standing arbitration reservation.</w:t>
      </w:r>
    </w:p>
    <w:p>
      <w:r>
        <w:rPr>
          <w:b/>
        </w:rPr>
        <w:t xml:space="preserve">Recommended response: </w:t>
      </w:r>
      <w:r>
        <w:rPr>
          <w:b w:val="0"/>
          <w:i w:val="0"/>
        </w:rPr>
        <w:t>Stand on objections. No substantive answer. At most, add one sentence referring Trident to the Answer (¶¶ 13–18, 25; Ninth Affirmative Defense), which already states Whitmore's position that § 9.1 is valid, enforceable, and covers all claims. That shows the position is not hidden, without creating new merits discovery.</w:t>
      </w:r>
    </w:p>
    <w:p>
      <w:r>
        <w:rPr>
          <w:b/>
        </w:rPr>
        <w:t xml:space="preserve">Risks / notes: </w:t>
      </w:r>
      <w:r>
        <w:rPr>
          <w:b w:val="0"/>
          <w:i w:val="0"/>
        </w:rPr>
        <w:t>Coordinate with VC before serving (strategy memo § IV.D.3). Avoid words suggesting that the Court should decide arbitrability. Do not debate Complaint ¶¶ 93–95 here.</w:t>
      </w:r>
    </w:p>
    <w:p>
      <w:pPr>
        <w:pStyle w:val="Heading2"/>
      </w:pPr>
      <w:r>
        <w:t>No. 26 — Facts Supporting the Ninth Affirmative Defense (Arbitration)</w:t>
      </w:r>
    </w:p>
    <w:p>
      <w:r>
        <w:rPr>
          <w:b/>
        </w:rPr>
        <w:t xml:space="preserve">Request: </w:t>
      </w:r>
      <w:r>
        <w:t>Every fact showing § 9.1 is enforceable and applies to the claims.</w:t>
      </w:r>
    </w:p>
    <w:p>
      <w:r>
        <w:rPr>
          <w:b/>
        </w:rPr>
        <w:t>Objections to assert:</w:t>
      </w:r>
    </w:p>
    <w:p>
      <w:pPr>
        <w:pStyle w:val="ListBullet"/>
      </w:pPr>
      <w:r>
        <w:rPr>
          <w:b w:val="0"/>
          <w:i w:val="0"/>
        </w:rPr>
        <w:t>Exceeds the 25-interrogatory limit (Rule 33(a)(1); CMO ¶ 5).</w:t>
      </w:r>
    </w:p>
    <w:p>
      <w:pPr>
        <w:pStyle w:val="ListBullet"/>
      </w:pPr>
      <w:r>
        <w:rPr>
          <w:b w:val="0"/>
          <w:i w:val="0"/>
        </w:rPr>
        <w:t>In the alternative: premature contention interrogatory (Local Civ. R. 33.3(c)); work product; arbitrability is delegated to the arbitrator; standing reservation.</w:t>
      </w:r>
    </w:p>
    <w:p>
      <w:r>
        <w:rPr>
          <w:b/>
        </w:rPr>
        <w:t xml:space="preserve">Recommended response: </w:t>
      </w:r>
      <w:r>
        <w:rPr>
          <w:b w:val="0"/>
          <w:i w:val="0"/>
        </w:rPr>
        <w:t>Stand on the numerosity objection, and assert the alternative objections to preserve them. No answer.</w:t>
      </w:r>
    </w:p>
    <w:p>
      <w:r>
        <w:rPr>
          <w:b/>
        </w:rPr>
        <w:t xml:space="preserve">Risks / notes: </w:t>
      </w:r>
      <w:r>
        <w:rPr>
          <w:b w:val="0"/>
          <w:i w:val="0"/>
        </w:rPr>
        <w:t>Refusing to state the facts behind our own defense will not prejudice the motion to compel. Those facts will be set out in the motion papers, which is the proper vehicle.</w:t>
      </w:r>
    </w:p>
    <w:p>
      <w:pPr>
        <w:pStyle w:val="Heading2"/>
      </w:pPr>
      <w:r>
        <w:t>No. 27 — Communications Regarding the $47,500 Charges</w:t>
      </w:r>
    </w:p>
    <w:p>
      <w:r>
        <w:rPr>
          <w:b/>
        </w:rPr>
        <w:t xml:space="preserve">Request: </w:t>
      </w:r>
      <w:r>
        <w:t>Communications with the GP, Anand or Bowen about the Q1–Q4 2022 technology charges.</w:t>
      </w:r>
    </w:p>
    <w:p>
      <w:r>
        <w:rPr>
          <w:b/>
        </w:rPr>
        <w:t>Objections to assert:</w:t>
      </w:r>
    </w:p>
    <w:p>
      <w:pPr>
        <w:pStyle w:val="ListBullet"/>
      </w:pPr>
      <w:r>
        <w:rPr>
          <w:b w:val="0"/>
          <w:i w:val="0"/>
        </w:rPr>
        <w:t>Exceeds the numerical limit.</w:t>
      </w:r>
    </w:p>
    <w:p>
      <w:r>
        <w:rPr>
          <w:b/>
        </w:rPr>
        <w:t xml:space="preserve">Recommended response: </w:t>
      </w:r>
      <w:r>
        <w:rPr>
          <w:b w:val="0"/>
          <w:i w:val="0"/>
        </w:rPr>
        <w:t>Stand on numerosity. In the cover letter, note that responsive communications will be produced in response to document requests.</w:t>
      </w:r>
    </w:p>
    <w:p>
      <w:r>
        <w:rPr>
          <w:b/>
        </w:rPr>
        <w:t xml:space="preserve">Risks / notes: </w:t>
      </w:r>
      <w:r>
        <w:rPr>
          <w:b w:val="0"/>
          <w:i w:val="0"/>
        </w:rPr>
        <w:t>Internally, collect these now. Answer ¶ 57 and FASA § 4.6 (15-day written invoice dispute notice) support our position if Trident paid without timely written objection.</w:t>
      </w:r>
    </w:p>
    <w:p>
      <w:pPr>
        <w:pStyle w:val="Heading2"/>
      </w:pPr>
      <w:r>
        <w:t>No. 28 — Documents Supporting the § 4.7(b) 'Specifically for the Benefit of Client' Determination</w:t>
      </w:r>
    </w:p>
    <w:p>
      <w:r>
        <w:rPr>
          <w:b/>
        </w:rPr>
        <w:t xml:space="preserve">Request: </w:t>
      </w:r>
      <w:r>
        <w:t>Identify and describe documents supporting Whitmore's determination that the costs qualified under § 4.7(b).</w:t>
      </w:r>
    </w:p>
    <w:p>
      <w:r>
        <w:rPr>
          <w:b/>
        </w:rPr>
        <w:t>Objections to assert:</w:t>
      </w:r>
    </w:p>
    <w:p>
      <w:pPr>
        <w:pStyle w:val="ListBullet"/>
      </w:pPr>
      <w:r>
        <w:rPr>
          <w:b w:val="0"/>
          <w:i w:val="0"/>
        </w:rPr>
        <w:t>Exceeds the numerical limit; 'describe contents' burden.</w:t>
      </w:r>
    </w:p>
    <w:p>
      <w:r>
        <w:rPr>
          <w:b/>
        </w:rPr>
        <w:t xml:space="preserve">Recommended response: </w:t>
      </w:r>
      <w:r>
        <w:rPr>
          <w:b w:val="0"/>
          <w:i w:val="0"/>
        </w:rPr>
        <w:t>Stand on numerosity.</w:t>
      </w:r>
    </w:p>
    <w:p>
      <w:r>
        <w:rPr>
          <w:b/>
        </w:rPr>
        <w:t xml:space="preserve">Risks / notes: </w:t>
      </w:r>
      <w:r>
        <w:rPr>
          <w:b w:val="0"/>
          <w:i w:val="0"/>
        </w:rPr>
        <w:t>Expect re-service. Use the time to complete the Issue #2 review. This interrogatory goes to the heart of the fee claim.</w:t>
      </w:r>
    </w:p>
    <w:p>
      <w:pPr>
        <w:pStyle w:val="Heading2"/>
      </w:pPr>
      <w:r>
        <w:t>No. 29 — Maintenance of $10M Professional Liability Coverage</w:t>
      </w:r>
    </w:p>
    <w:p>
      <w:r>
        <w:rPr>
          <w:b/>
        </w:rPr>
        <w:t xml:space="preserve">Request: </w:t>
      </w:r>
      <w:r>
        <w:t>Whether $10M coverage was maintained throughout, and any lapse or reduction.</w:t>
      </w:r>
    </w:p>
    <w:p>
      <w:r>
        <w:rPr>
          <w:b/>
        </w:rPr>
        <w:t>Objections to assert:</w:t>
      </w:r>
    </w:p>
    <w:p>
      <w:pPr>
        <w:pStyle w:val="ListBullet"/>
      </w:pPr>
      <w:r>
        <w:rPr>
          <w:b w:val="0"/>
          <w:i w:val="0"/>
        </w:rPr>
        <w:t>Exceeds the numerical limit.</w:t>
      </w:r>
    </w:p>
    <w:p>
      <w:r>
        <w:rPr>
          <w:b/>
        </w:rPr>
        <w:t xml:space="preserve">Recommended response: </w:t>
      </w:r>
      <w:r>
        <w:rPr>
          <w:b w:val="0"/>
          <w:i w:val="0"/>
        </w:rPr>
        <w:t>Stand on numerosity. The cover letter may note that Answer ¶ 23 already admits continuous coverage (Aldersgate Policy No. PL-2021-44892; $10M; $250,000 SIR, within the $500,000 SIR ceiling in FASA § 13.1).</w:t>
      </w:r>
    </w:p>
    <w:p>
      <w:r>
        <w:rPr>
          <w:b/>
        </w:rPr>
        <w:t xml:space="preserve">Risks / notes: </w:t>
      </w:r>
      <w:r>
        <w:rPr>
          <w:b w:val="0"/>
          <w:i w:val="0"/>
        </w:rPr>
        <w:t>Before relying on 'continuous coverage,' confirm it for 2018–2020. The policy number suggests a 2021 inception, so identify any predecessor policies and carriers' A.M. Best ratings (§ 13.1).</w:t>
      </w:r>
    </w:p>
    <w:p>
      <w:pPr>
        <w:pStyle w:val="Heading2"/>
      </w:pPr>
      <w:r>
        <w:t>No. 30 — Insurance Policies and Reservation of Rights</w:t>
      </w:r>
    </w:p>
    <w:p>
      <w:r>
        <w:rPr>
          <w:b/>
        </w:rPr>
        <w:t xml:space="preserve">Request: </w:t>
      </w:r>
      <w:r>
        <w:t>Insurer, policy number, period, limits, SIR, and any reservation of rights or denial.</w:t>
      </w:r>
    </w:p>
    <w:p>
      <w:r>
        <w:rPr>
          <w:b/>
        </w:rPr>
        <w:t>Objections to assert:</w:t>
      </w:r>
    </w:p>
    <w:p>
      <w:pPr>
        <w:pStyle w:val="ListBullet"/>
      </w:pPr>
      <w:r>
        <w:rPr>
          <w:b w:val="0"/>
          <w:i w:val="0"/>
        </w:rPr>
        <w:t>Exceeds the numerical limit.</w:t>
      </w:r>
    </w:p>
    <w:p>
      <w:r>
        <w:rPr>
          <w:b/>
        </w:rPr>
        <w:t xml:space="preserve">Recommended response: </w:t>
      </w:r>
      <w:r>
        <w:rPr>
          <w:b w:val="0"/>
          <w:i w:val="0"/>
        </w:rPr>
        <w:t>Stand on numerosity. The cover letter should refer to the Rule 26(a)(1)(A)(iv) disclosure. Per strategy memo § VIII, the Oct. 28, 2024 reservation-of-rights letter should be produced in response to an RFP. Supplement initial disclosures if the policy period is missing.</w:t>
      </w:r>
    </w:p>
    <w:p>
      <w:r>
        <w:rPr>
          <w:b/>
        </w:rPr>
        <w:t xml:space="preserve">Risks / notes: </w:t>
      </w:r>
      <w:r>
        <w:rPr>
          <w:b w:val="0"/>
          <w:i w:val="0"/>
        </w:rPr>
        <w:t>This information is plainly discoverable. Objecting on numerosity is proper only because answering would waive the objection for Nos. 26–28. Handle it cooperatively in correspondence. Coordinate any Aldersgate correspondence beyond the policy and the ROR letter with VC.</w:t>
      </w:r>
    </w:p>
    <w:p>
      <w:pPr>
        <w:pStyle w:val="Heading1"/>
      </w:pPr>
      <w:r>
        <w:t>VIII. Meet-and-Confer Positions</w:t>
      </w:r>
    </w:p>
    <w:p>
      <w:pPr>
        <w:pStyle w:val="ListBullet"/>
      </w:pPr>
      <w:r>
        <w:rPr>
          <w:b/>
          <w:i w:val="0"/>
        </w:rPr>
        <w:t>Relevant Period.</w:t>
      </w:r>
      <w:r>
        <w:rPr>
          <w:b w:val="0"/>
          <w:i w:val="0"/>
        </w:rPr>
        <w:t xml:space="preserve"> Propose March 1, 2018 to Feb. 28, 2025 as the default, and Jan. 1, 2020 to Dec. 31, 2022 for valuation-specific requests. Trident's own disclosures define the Relevant Period as Q3 2021–Q2 2022, and its correspondence request (Disclosures § II.3) also reaches back to 2009 without explanation.</w:t>
      </w:r>
    </w:p>
    <w:p>
      <w:pPr>
        <w:pStyle w:val="ListBullet"/>
      </w:pPr>
      <w:r>
        <w:rPr>
          <w:b/>
          <w:i w:val="0"/>
        </w:rPr>
        <w:t>Numerosity.</w:t>
      </w:r>
      <w:r>
        <w:rPr>
          <w:b w:val="0"/>
          <w:i w:val="0"/>
        </w:rPr>
        <w:t xml:space="preserve"> Invite Trident to designate which five (or more) interrogatories it withdraws. Do not agree to answer any of Nos. 26–30 informally. Offer the insurance information through the disclosure supplement and the ROR letter through RFP production.</w:t>
      </w:r>
    </w:p>
    <w:p>
      <w:pPr>
        <w:pStyle w:val="ListBullet"/>
      </w:pPr>
      <w:r>
        <w:rPr>
          <w:b/>
          <w:i w:val="0"/>
        </w:rPr>
        <w:t>Other-client information (Nos. 2, 12, 24).</w:t>
      </w:r>
      <w:r>
        <w:rPr>
          <w:b w:val="0"/>
          <w:i w:val="0"/>
        </w:rPr>
        <w:t xml:space="preserve"> Rely on FASA § 11.2, including Trident's covenant not to seek such disclosure without notice. Any compromise must be anonymized, aggregated, AEO, and preceded by client notice. Obtain VC approval first.</w:t>
      </w:r>
    </w:p>
    <w:p>
      <w:pPr>
        <w:pStyle w:val="ListBullet"/>
      </w:pPr>
      <w:r>
        <w:rPr>
          <w:b/>
          <w:i w:val="0"/>
        </w:rPr>
        <w:t>Privilege logging.</w:t>
      </w:r>
      <w:r>
        <w:rPr>
          <w:b w:val="0"/>
          <w:i w:val="0"/>
        </w:rPr>
        <w:t xml:space="preserve"> Propose that communications with litigation counsel after Sept. 12, 2024 need not be logged, and that Sept. 2022–Sept. 2024 counsel communications be logged categorically under Local Civ. R. 26.2(c).</w:t>
      </w:r>
    </w:p>
    <w:p>
      <w:pPr>
        <w:pStyle w:val="ListBullet"/>
      </w:pPr>
      <w:r>
        <w:rPr>
          <w:b/>
          <w:i w:val="0"/>
        </w:rPr>
        <w:t>Contention interrogatories (Nos. 11, 18, 26).</w:t>
      </w:r>
      <w:r>
        <w:rPr>
          <w:b w:val="0"/>
          <w:i w:val="0"/>
        </w:rPr>
        <w:t xml:space="preserve"> Offer to supplement Nos. 11 and 18 by a date certain after document production substantially concludes (for example, 30 days before the Aug. 15, 2025 cutoff). Make no commitment on No. 26.</w:t>
      </w:r>
    </w:p>
    <w:p>
      <w:pPr>
        <w:pStyle w:val="ListBullet"/>
      </w:pPr>
      <w:r>
        <w:rPr>
          <w:b/>
          <w:i w:val="0"/>
        </w:rPr>
        <w:t>Arbitration.</w:t>
      </w:r>
      <w:r>
        <w:rPr>
          <w:b w:val="0"/>
          <w:i w:val="0"/>
        </w:rPr>
        <w:t xml:space="preserve"> No meet-and-confer statement may suggest that Whitmore accepts this forum. All discussion of Nos. 25–26 must be pre-cleared by VC.</w:t>
      </w:r>
    </w:p>
    <w:p>
      <w:pPr>
        <w:pStyle w:val="Heading1"/>
      </w:pPr>
      <w:r>
        <w:t>IX. Action Items Before March 5, 2025</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432"/>
            <w:shd w:val="clear" w:color="auto" w:fill="D9E2F3"/>
          </w:tcPr>
          <w:p>
            <w:r/>
            <w:r>
              <w:rPr>
                <w:b/>
                <w:sz w:val="19"/>
              </w:rPr>
              <w:t>#</w:t>
            </w:r>
          </w:p>
        </w:tc>
        <w:tc>
          <w:tcPr>
            <w:tcW w:type="dxa" w:w="5760"/>
            <w:shd w:val="clear" w:color="auto" w:fill="D9E2F3"/>
          </w:tcPr>
          <w:p>
            <w:r/>
            <w:r>
              <w:rPr>
                <w:b/>
                <w:sz w:val="19"/>
              </w:rPr>
              <w:t>Task</w:t>
            </w:r>
          </w:p>
        </w:tc>
        <w:tc>
          <w:tcPr>
            <w:tcW w:type="dxa" w:w="1728"/>
            <w:shd w:val="clear" w:color="auto" w:fill="D9E2F3"/>
          </w:tcPr>
          <w:p>
            <w:r/>
            <w:r>
              <w:rPr>
                <w:b/>
                <w:sz w:val="19"/>
              </w:rPr>
              <w:t>Owner</w:t>
            </w:r>
          </w:p>
        </w:tc>
        <w:tc>
          <w:tcPr>
            <w:tcW w:type="dxa" w:w="1152"/>
            <w:shd w:val="clear" w:color="auto" w:fill="D9E2F3"/>
          </w:tcPr>
          <w:p>
            <w:r/>
            <w:r>
              <w:rPr>
                <w:b/>
                <w:sz w:val="19"/>
              </w:rPr>
              <w:t>Target</w:t>
            </w:r>
          </w:p>
        </w:tc>
      </w:tr>
      <w:tr>
        <w:tc>
          <w:tcPr>
            <w:tcW w:type="dxa" w:w="432"/>
          </w:tcPr>
          <w:p>
            <w:r/>
            <w:r>
              <w:rPr>
                <w:b w:val="0"/>
                <w:i w:val="0"/>
                <w:sz w:val="19"/>
              </w:rPr>
              <w:t>1</w:t>
            </w:r>
          </w:p>
        </w:tc>
        <w:tc>
          <w:tcPr>
            <w:tcW w:type="dxa" w:w="5760"/>
          </w:tcPr>
          <w:p>
            <w:r/>
            <w:r>
              <w:rPr>
                <w:b w:val="0"/>
                <w:i w:val="0"/>
                <w:sz w:val="19"/>
              </w:rPr>
              <w:t>Decide whether to move to compel arbitration and stay discovery, or seek an extension of the response deadline (Part III)</w:t>
            </w:r>
          </w:p>
        </w:tc>
        <w:tc>
          <w:tcPr>
            <w:tcW w:type="dxa" w:w="1728"/>
          </w:tcPr>
          <w:p>
            <w:r/>
            <w:r>
              <w:rPr>
                <w:b w:val="0"/>
                <w:i w:val="0"/>
                <w:sz w:val="19"/>
              </w:rPr>
              <w:t>VC</w:t>
            </w:r>
          </w:p>
        </w:tc>
        <w:tc>
          <w:tcPr>
            <w:tcW w:type="dxa" w:w="1152"/>
          </w:tcPr>
          <w:p>
            <w:r/>
            <w:r>
              <w:rPr>
                <w:b w:val="0"/>
                <w:i w:val="0"/>
                <w:sz w:val="19"/>
              </w:rPr>
              <w:t>Feb. 21</w:t>
            </w:r>
          </w:p>
        </w:tc>
      </w:tr>
      <w:tr>
        <w:tc>
          <w:tcPr>
            <w:tcW w:type="dxa" w:w="432"/>
          </w:tcPr>
          <w:p>
            <w:r/>
            <w:r>
              <w:rPr>
                <w:b w:val="0"/>
                <w:i w:val="0"/>
                <w:sz w:val="19"/>
              </w:rPr>
              <w:t>2</w:t>
            </w:r>
          </w:p>
        </w:tc>
        <w:tc>
          <w:tcPr>
            <w:tcW w:type="dxa" w:w="5760"/>
          </w:tcPr>
          <w:p>
            <w:r/>
            <w:r>
              <w:rPr>
                <w:b w:val="0"/>
                <w:i w:val="0"/>
                <w:sz w:val="19"/>
              </w:rPr>
              <w:t>Resolve which committee approved the marks: interview Huang and Tramonte; pull committee minutes for Q3 2021–Q2 2022 (Issue #1)</w:t>
            </w:r>
          </w:p>
        </w:tc>
        <w:tc>
          <w:tcPr>
            <w:tcW w:type="dxa" w:w="1728"/>
          </w:tcPr>
          <w:p>
            <w:r/>
            <w:r>
              <w:rPr>
                <w:b w:val="0"/>
                <w:i w:val="0"/>
                <w:sz w:val="19"/>
              </w:rPr>
              <w:t>JN / associate</w:t>
            </w:r>
          </w:p>
        </w:tc>
        <w:tc>
          <w:tcPr>
            <w:tcW w:type="dxa" w:w="1152"/>
          </w:tcPr>
          <w:p>
            <w:r/>
            <w:r>
              <w:rPr>
                <w:b w:val="0"/>
                <w:i w:val="0"/>
                <w:sz w:val="19"/>
              </w:rPr>
              <w:t>Feb. 21</w:t>
            </w:r>
          </w:p>
        </w:tc>
      </w:tr>
      <w:tr>
        <w:tc>
          <w:tcPr>
            <w:tcW w:type="dxa" w:w="432"/>
          </w:tcPr>
          <w:p>
            <w:r/>
            <w:r>
              <w:rPr>
                <w:b w:val="0"/>
                <w:i w:val="0"/>
                <w:sz w:val="19"/>
              </w:rPr>
              <w:t>3</w:t>
            </w:r>
          </w:p>
        </w:tc>
        <w:tc>
          <w:tcPr>
            <w:tcW w:type="dxa" w:w="5760"/>
          </w:tcPr>
          <w:p>
            <w:r/>
            <w:r>
              <w:rPr>
                <w:b w:val="0"/>
                <w:i w:val="0"/>
                <w:sz w:val="19"/>
              </w:rPr>
              <w:t>Vendor-file review of the $47,500 charges and any allocation methodology; confirm whether WhitmoreConnect is involved (Issue #2)</w:t>
            </w:r>
          </w:p>
        </w:tc>
        <w:tc>
          <w:tcPr>
            <w:tcW w:type="dxa" w:w="1728"/>
          </w:tcPr>
          <w:p>
            <w:r/>
            <w:r>
              <w:rPr>
                <w:b w:val="0"/>
                <w:i w:val="0"/>
                <w:sz w:val="19"/>
              </w:rPr>
              <w:t>JN / Tramonte</w:t>
            </w:r>
          </w:p>
        </w:tc>
        <w:tc>
          <w:tcPr>
            <w:tcW w:type="dxa" w:w="1152"/>
          </w:tcPr>
          <w:p>
            <w:r/>
            <w:r>
              <w:rPr>
                <w:b w:val="0"/>
                <w:i w:val="0"/>
                <w:sz w:val="19"/>
              </w:rPr>
              <w:t>Feb. 21</w:t>
            </w:r>
          </w:p>
        </w:tc>
      </w:tr>
      <w:tr>
        <w:tc>
          <w:tcPr>
            <w:tcW w:type="dxa" w:w="432"/>
          </w:tcPr>
          <w:p>
            <w:r/>
            <w:r>
              <w:rPr>
                <w:b w:val="0"/>
                <w:i w:val="0"/>
                <w:sz w:val="19"/>
              </w:rPr>
              <w:t>4</w:t>
            </w:r>
          </w:p>
        </w:tc>
        <w:tc>
          <w:tcPr>
            <w:tcW w:type="dxa" w:w="5760"/>
          </w:tcPr>
          <w:p>
            <w:r/>
            <w:r>
              <w:rPr>
                <w:b w:val="0"/>
                <w:i w:val="0"/>
                <w:sz w:val="19"/>
              </w:rPr>
              <w:t>Build the chronology for June–Oct. 2022 (letter, business review, transition review, Oct. 14 notice); privilege determinations document by document (Issue #4)</w:t>
            </w:r>
          </w:p>
        </w:tc>
        <w:tc>
          <w:tcPr>
            <w:tcW w:type="dxa" w:w="1728"/>
          </w:tcPr>
          <w:p>
            <w:r/>
            <w:r>
              <w:rPr>
                <w:b w:val="0"/>
                <w:i w:val="0"/>
                <w:sz w:val="19"/>
              </w:rPr>
              <w:t>JN</w:t>
            </w:r>
          </w:p>
        </w:tc>
        <w:tc>
          <w:tcPr>
            <w:tcW w:type="dxa" w:w="1152"/>
          </w:tcPr>
          <w:p>
            <w:r/>
            <w:r>
              <w:rPr>
                <w:b w:val="0"/>
                <w:i w:val="0"/>
                <w:sz w:val="19"/>
              </w:rPr>
              <w:t>Feb. 26</w:t>
            </w:r>
          </w:p>
        </w:tc>
      </w:tr>
      <w:tr>
        <w:tc>
          <w:tcPr>
            <w:tcW w:type="dxa" w:w="432"/>
          </w:tcPr>
          <w:p>
            <w:r/>
            <w:r>
              <w:rPr>
                <w:b w:val="0"/>
                <w:i w:val="0"/>
                <w:sz w:val="19"/>
              </w:rPr>
              <w:t>5</w:t>
            </w:r>
          </w:p>
        </w:tc>
        <w:tc>
          <w:tcPr>
            <w:tcW w:type="dxa" w:w="5760"/>
          </w:tcPr>
          <w:p>
            <w:r/>
            <w:r>
              <w:rPr>
                <w:b w:val="0"/>
                <w:i w:val="0"/>
                <w:sz w:val="19"/>
              </w:rPr>
              <w:t>Verify NAV report delivery dates for Q1 2021–Q4 2022 and the quarterly marks (Nos. 10, 21)</w:t>
            </w:r>
          </w:p>
        </w:tc>
        <w:tc>
          <w:tcPr>
            <w:tcW w:type="dxa" w:w="1728"/>
          </w:tcPr>
          <w:p>
            <w:r/>
            <w:r>
              <w:rPr>
                <w:b w:val="0"/>
                <w:i w:val="0"/>
                <w:sz w:val="19"/>
              </w:rPr>
              <w:t>Associate</w:t>
            </w:r>
          </w:p>
        </w:tc>
        <w:tc>
          <w:tcPr>
            <w:tcW w:type="dxa" w:w="1152"/>
          </w:tcPr>
          <w:p>
            <w:r/>
            <w:r>
              <w:rPr>
                <w:b w:val="0"/>
                <w:i w:val="0"/>
                <w:sz w:val="19"/>
              </w:rPr>
              <w:t>Feb. 26</w:t>
            </w:r>
          </w:p>
        </w:tc>
      </w:tr>
      <w:tr>
        <w:tc>
          <w:tcPr>
            <w:tcW w:type="dxa" w:w="432"/>
          </w:tcPr>
          <w:p>
            <w:r/>
            <w:r>
              <w:rPr>
                <w:b w:val="0"/>
                <w:i w:val="0"/>
                <w:sz w:val="19"/>
              </w:rPr>
              <w:t>6</w:t>
            </w:r>
          </w:p>
        </w:tc>
        <w:tc>
          <w:tcPr>
            <w:tcW w:type="dxa" w:w="5760"/>
          </w:tcPr>
          <w:p>
            <w:r/>
            <w:r>
              <w:rPr>
                <w:b w:val="0"/>
                <w:i w:val="0"/>
                <w:sz w:val="19"/>
              </w:rPr>
              <w:t>Confirm the billing and payment history for Q1 2018–Q4 2024 and compute the § 8.3 look-back (Nos. 9, 11)</w:t>
            </w:r>
          </w:p>
        </w:tc>
        <w:tc>
          <w:tcPr>
            <w:tcW w:type="dxa" w:w="1728"/>
          </w:tcPr>
          <w:p>
            <w:r/>
            <w:r>
              <w:rPr>
                <w:b w:val="0"/>
                <w:i w:val="0"/>
                <w:sz w:val="19"/>
              </w:rPr>
              <w:t>Associate</w:t>
            </w:r>
          </w:p>
        </w:tc>
        <w:tc>
          <w:tcPr>
            <w:tcW w:type="dxa" w:w="1152"/>
          </w:tcPr>
          <w:p>
            <w:r/>
            <w:r>
              <w:rPr>
                <w:b w:val="0"/>
                <w:i w:val="0"/>
                <w:sz w:val="19"/>
              </w:rPr>
              <w:t>Feb. 26</w:t>
            </w:r>
          </w:p>
        </w:tc>
      </w:tr>
      <w:tr>
        <w:tc>
          <w:tcPr>
            <w:tcW w:type="dxa" w:w="432"/>
          </w:tcPr>
          <w:p>
            <w:r/>
            <w:r>
              <w:rPr>
                <w:b w:val="0"/>
                <w:i w:val="0"/>
                <w:sz w:val="19"/>
              </w:rPr>
              <w:t>7</w:t>
            </w:r>
          </w:p>
        </w:tc>
        <w:tc>
          <w:tcPr>
            <w:tcW w:type="dxa" w:w="5760"/>
          </w:tcPr>
          <w:p>
            <w:r/>
            <w:r>
              <w:rPr>
                <w:b w:val="0"/>
                <w:i w:val="0"/>
                <w:sz w:val="19"/>
              </w:rPr>
              <w:t>Confirm protective order and 502(d) status; if not entered, submit a proposed order so confidential answers can be designated</w:t>
            </w:r>
          </w:p>
        </w:tc>
        <w:tc>
          <w:tcPr>
            <w:tcW w:type="dxa" w:w="1728"/>
          </w:tcPr>
          <w:p>
            <w:r/>
            <w:r>
              <w:rPr>
                <w:b w:val="0"/>
                <w:i w:val="0"/>
                <w:sz w:val="19"/>
              </w:rPr>
              <w:t>JN</w:t>
            </w:r>
          </w:p>
        </w:tc>
        <w:tc>
          <w:tcPr>
            <w:tcW w:type="dxa" w:w="1152"/>
          </w:tcPr>
          <w:p>
            <w:r/>
            <w:r>
              <w:rPr>
                <w:b w:val="0"/>
                <w:i w:val="0"/>
                <w:sz w:val="19"/>
              </w:rPr>
              <w:t>Feb. 19</w:t>
            </w:r>
          </w:p>
        </w:tc>
      </w:tr>
      <w:tr>
        <w:tc>
          <w:tcPr>
            <w:tcW w:type="dxa" w:w="432"/>
          </w:tcPr>
          <w:p>
            <w:r/>
            <w:r>
              <w:rPr>
                <w:b w:val="0"/>
                <w:i w:val="0"/>
                <w:sz w:val="19"/>
              </w:rPr>
              <w:t>8</w:t>
            </w:r>
          </w:p>
        </w:tc>
        <w:tc>
          <w:tcPr>
            <w:tcW w:type="dxa" w:w="5760"/>
          </w:tcPr>
          <w:p>
            <w:r/>
            <w:r>
              <w:rPr>
                <w:b w:val="0"/>
                <w:i w:val="0"/>
                <w:sz w:val="19"/>
              </w:rPr>
              <w:t>Confirm LLC membership and citizenship (No. 1; Issue #9); Key Personnel notice (Issue #5); pre-2021 insurance history (No. 29)</w:t>
            </w:r>
          </w:p>
        </w:tc>
        <w:tc>
          <w:tcPr>
            <w:tcW w:type="dxa" w:w="1728"/>
          </w:tcPr>
          <w:p>
            <w:r/>
            <w:r>
              <w:rPr>
                <w:b w:val="0"/>
                <w:i w:val="0"/>
                <w:sz w:val="19"/>
              </w:rPr>
              <w:t>Associate</w:t>
            </w:r>
          </w:p>
        </w:tc>
        <w:tc>
          <w:tcPr>
            <w:tcW w:type="dxa" w:w="1152"/>
          </w:tcPr>
          <w:p>
            <w:r/>
            <w:r>
              <w:rPr>
                <w:b w:val="0"/>
                <w:i w:val="0"/>
                <w:sz w:val="19"/>
              </w:rPr>
              <w:t>Feb. 21</w:t>
            </w:r>
          </w:p>
        </w:tc>
      </w:tr>
      <w:tr>
        <w:tc>
          <w:tcPr>
            <w:tcW w:type="dxa" w:w="432"/>
          </w:tcPr>
          <w:p>
            <w:r/>
            <w:r>
              <w:rPr>
                <w:b w:val="0"/>
                <w:i w:val="0"/>
                <w:sz w:val="19"/>
              </w:rPr>
              <w:t>9</w:t>
            </w:r>
          </w:p>
        </w:tc>
        <w:tc>
          <w:tcPr>
            <w:tcW w:type="dxa" w:w="5760"/>
          </w:tcPr>
          <w:p>
            <w:r/>
            <w:r>
              <w:rPr>
                <w:b w:val="0"/>
                <w:i w:val="0"/>
                <w:sz w:val="19"/>
              </w:rPr>
              <w:t>Circulate draft responses and objections with the standing reservation; officer verification (identify the verifying officer, likely Huang)</w:t>
            </w:r>
          </w:p>
        </w:tc>
        <w:tc>
          <w:tcPr>
            <w:tcW w:type="dxa" w:w="1728"/>
          </w:tcPr>
          <w:p>
            <w:r/>
            <w:r>
              <w:rPr>
                <w:b w:val="0"/>
                <w:i w:val="0"/>
                <w:sz w:val="19"/>
              </w:rPr>
              <w:t>Associate → JN → VC</w:t>
            </w:r>
          </w:p>
        </w:tc>
        <w:tc>
          <w:tcPr>
            <w:tcW w:type="dxa" w:w="1152"/>
          </w:tcPr>
          <w:p>
            <w:r/>
            <w:r>
              <w:rPr>
                <w:b w:val="0"/>
                <w:i w:val="0"/>
                <w:sz w:val="19"/>
              </w:rPr>
              <w:t>Mar. 3</w:t>
            </w:r>
          </w:p>
        </w:tc>
      </w:tr>
      <w:tr>
        <w:tc>
          <w:tcPr>
            <w:tcW w:type="dxa" w:w="432"/>
          </w:tcPr>
          <w:p>
            <w:r/>
            <w:r>
              <w:rPr>
                <w:b w:val="0"/>
                <w:i w:val="0"/>
                <w:sz w:val="19"/>
              </w:rPr>
              <w:t>10</w:t>
            </w:r>
          </w:p>
        </w:tc>
        <w:tc>
          <w:tcPr>
            <w:tcW w:type="dxa" w:w="5760"/>
          </w:tcPr>
          <w:p>
            <w:r/>
            <w:r>
              <w:rPr>
                <w:b w:val="0"/>
                <w:i w:val="0"/>
                <w:sz w:val="19"/>
              </w:rPr>
              <w:t>Serve responses and objections; serve the privilege log or a categorical-log proposal; supplement Rule 26(a) disclosures if needed</w:t>
            </w:r>
          </w:p>
        </w:tc>
        <w:tc>
          <w:tcPr>
            <w:tcW w:type="dxa" w:w="1728"/>
          </w:tcPr>
          <w:p>
            <w:r/>
            <w:r>
              <w:rPr>
                <w:b w:val="0"/>
                <w:i w:val="0"/>
                <w:sz w:val="19"/>
              </w:rPr>
              <w:t>JN</w:t>
            </w:r>
          </w:p>
        </w:tc>
        <w:tc>
          <w:tcPr>
            <w:tcW w:type="dxa" w:w="1152"/>
          </w:tcPr>
          <w:p>
            <w:r/>
            <w:r>
              <w:rPr>
                <w:b w:val="0"/>
                <w:i w:val="0"/>
                <w:sz w:val="19"/>
              </w:rPr>
              <w:t>Mar. 5</w:t>
            </w:r>
          </w:p>
        </w:tc>
      </w:tr>
      <w:tr>
        <w:tc>
          <w:tcPr>
            <w:tcW w:type="dxa" w:w="432"/>
          </w:tcPr>
          <w:p>
            <w:r/>
            <w:r>
              <w:rPr>
                <w:b w:val="0"/>
                <w:i w:val="0"/>
                <w:sz w:val="19"/>
              </w:rPr>
              <w:t>11</w:t>
            </w:r>
          </w:p>
        </w:tc>
        <w:tc>
          <w:tcPr>
            <w:tcW w:type="dxa" w:w="5760"/>
          </w:tcPr>
          <w:p>
            <w:r/>
            <w:r>
              <w:rPr>
                <w:b w:val="0"/>
                <w:i w:val="0"/>
                <w:sz w:val="19"/>
              </w:rPr>
              <w:t>Forward the served responses to Aldersgate per the reservation-of-rights requirements (strategy memo § XI.7)</w:t>
            </w:r>
          </w:p>
        </w:tc>
        <w:tc>
          <w:tcPr>
            <w:tcW w:type="dxa" w:w="1728"/>
          </w:tcPr>
          <w:p>
            <w:r/>
            <w:r>
              <w:rPr>
                <w:b w:val="0"/>
                <w:i w:val="0"/>
                <w:sz w:val="19"/>
              </w:rPr>
              <w:t>JN</w:t>
            </w:r>
          </w:p>
        </w:tc>
        <w:tc>
          <w:tcPr>
            <w:tcW w:type="dxa" w:w="1152"/>
          </w:tcPr>
          <w:p>
            <w:r/>
            <w:r>
              <w:rPr>
                <w:b w:val="0"/>
                <w:i w:val="0"/>
                <w:sz w:val="19"/>
              </w:rPr>
              <w:t>Mar. 5</w:t>
            </w:r>
          </w:p>
        </w:tc>
      </w:tr>
    </w:tbl>
    <w:p/>
    <w:p>
      <w:r>
        <w:rPr>
          <w:b w:val="0"/>
          <w:i/>
        </w:rPr>
        <w:t>This memorandum is based on the Verified Complaint, the Answer and Affirmative Defenses, the FASA, the January 15, 2023 renewal letter, the Case Management Order, Plaintiff's initial disclosures, Plaintiff's First Set of Interrogatories, and the January 20, 2025 defense discovery strategy memorandum. Case citations should be cite-checked before any are used in correspondence or motion papers.</w:t>
      </w:r>
    </w:p>
    <w:p>
      <w:pPr>
        <w:jc w:val="center"/>
      </w:pPr>
      <w:r>
        <w:rPr>
          <w:b/>
          <w:i w:val="0"/>
        </w:rPr>
        <w:t>PRIVILEGED AND CONFIDENTIAL — ATTORNEY WORK PRODUCT — DO NOT DISTRIBUTE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