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MEMORANDUM</w:t>
      </w:r>
    </w:p>
    <w:p>
      <w:pPr>
        <w:jc w:val="center"/>
      </w:pPr>
      <w:r>
        <w:rPr>
          <w:b/>
          <w:sz w:val="18"/>
        </w:rPr>
        <w:t>PRIVILEGED &amp; CONFIDENTIAL — ATTORNEY WORK PRODUCT</w:t>
      </w:r>
    </w:p>
    <w:tbl>
      <w:tblPr>
        <w:tblStyle w:val="TableGrid"/>
        <w:tblW w:type="auto" w:w="0"/>
        <w:tblLook w:firstColumn="1" w:firstRow="1" w:lastColumn="0" w:lastRow="0" w:noHBand="0" w:noVBand="1" w:val="04A0"/>
      </w:tblPr>
      <w:tblGrid>
        <w:gridCol w:w="4824"/>
        <w:gridCol w:w="4824"/>
      </w:tblGrid>
      <w:tr>
        <w:tc>
          <w:tcPr>
            <w:tcW w:type="dxa" w:w="1440"/>
            <w:shd w:val="clear" w:color="auto" w:fill="D9E2F3"/>
          </w:tcPr>
          <w:p>
            <w:r/>
            <w:r>
              <w:rPr>
                <w:b/>
                <w:sz w:val="19"/>
              </w:rPr>
            </w:r>
          </w:p>
        </w:tc>
        <w:tc>
          <w:tcPr>
            <w:tcW w:type="dxa" w:w="8208"/>
            <w:shd w:val="clear" w:color="auto" w:fill="D9E2F3"/>
          </w:tcPr>
          <w:p>
            <w:r/>
            <w:r>
              <w:rPr>
                <w:b/>
                <w:sz w:val="19"/>
              </w:rPr>
            </w:r>
          </w:p>
        </w:tc>
      </w:tr>
      <w:tr>
        <w:tc>
          <w:tcPr>
            <w:tcW w:type="dxa" w:w="1440"/>
          </w:tcPr>
          <w:p>
            <w:r/>
            <w:r>
              <w:rPr>
                <w:sz w:val="19"/>
              </w:rPr>
              <w:t>TO:</w:t>
            </w:r>
          </w:p>
        </w:tc>
        <w:tc>
          <w:tcPr>
            <w:tcW w:type="dxa" w:w="8208"/>
          </w:tcPr>
          <w:p>
            <w:r/>
            <w:r>
              <w:rPr>
                <w:sz w:val="19"/>
              </w:rPr>
              <w:t>Priya Malhotra, General Counsel, Colton Beverage Holdings, Inc.</w:t>
            </w:r>
          </w:p>
        </w:tc>
      </w:tr>
      <w:tr>
        <w:tc>
          <w:tcPr>
            <w:tcW w:type="dxa" w:w="1440"/>
          </w:tcPr>
          <w:p>
            <w:r/>
            <w:r>
              <w:rPr>
                <w:sz w:val="19"/>
              </w:rPr>
              <w:t>FROM:</w:t>
            </w:r>
          </w:p>
        </w:tc>
        <w:tc>
          <w:tcPr>
            <w:tcW w:type="dxa" w:w="8208"/>
          </w:tcPr>
          <w:p>
            <w:r/>
            <w:r>
              <w:rPr>
                <w:sz w:val="19"/>
              </w:rPr>
              <w:t>Legal Operations / Budget Review</w:t>
            </w:r>
          </w:p>
        </w:tc>
      </w:tr>
      <w:tr>
        <w:tc>
          <w:tcPr>
            <w:tcW w:type="dxa" w:w="1440"/>
          </w:tcPr>
          <w:p>
            <w:r/>
            <w:r>
              <w:rPr>
                <w:sz w:val="19"/>
              </w:rPr>
              <w:t>RE:</w:t>
            </w:r>
          </w:p>
        </w:tc>
        <w:tc>
          <w:tcPr>
            <w:tcW w:type="dxa" w:w="8208"/>
          </w:tcPr>
          <w:p>
            <w:r/>
            <w:r>
              <w:rPr>
                <w:sz w:val="19"/>
              </w:rPr>
              <w:t>Review of Whitfield Garrett LLP Litigation Budget Proposal (May 12, 2025) — Colton Beverage Holdings, Inc. v. Ridgewater Distribution Partners, LLC, No. 2024-CV-03821 (Fulton Cty. Super. Ct.)</w:t>
            </w:r>
          </w:p>
        </w:tc>
      </w:tr>
      <w:tr>
        <w:tc>
          <w:tcPr>
            <w:tcW w:type="dxa" w:w="1440"/>
          </w:tcPr>
          <w:p>
            <w:r/>
            <w:r>
              <w:rPr>
                <w:sz w:val="19"/>
              </w:rPr>
              <w:t>BASIS:</w:t>
            </w:r>
          </w:p>
        </w:tc>
        <w:tc>
          <w:tcPr>
            <w:tcW w:type="dxa" w:w="8208"/>
          </w:tcPr>
          <w:p>
            <w:r/>
            <w:r>
              <w:rPr>
                <w:sz w:val="19"/>
              </w:rPr>
              <w:t>Outside Counsel Guidelines v4.2 (eff. Jan. 1, 2025) ("OCG"); 2024 Budget-to-Actuals workbook (Jan. 31, 2025); rate increase notice (Dec. 15, 2024); timekeeper addition request (Apr. 25, 2025)</w:t>
            </w:r>
          </w:p>
        </w:tc>
      </w:tr>
    </w:tbl>
    <w:p/>
    <w:p>
      <w:pPr>
        <w:pStyle w:val="Heading1"/>
      </w:pPr>
      <w:r>
        <w:t>1. Executive Summary</w:t>
      </w:r>
    </w:p>
    <w:p>
      <w:r>
        <w:rPr>
          <w:b w:val="0"/>
          <w:i w:val="0"/>
        </w:rPr>
        <w:t>Whitfield Garrett requests approval of a $2,397,450 budget ($1,708,950 fees + $688,500 expenses) for May 1, 2025 – April 30, 2026. We recommend that the budget be RETURNED FOR REVISION and not approved in its current form. The submission has at least five problems that would each justify returning it on their own:</w:t>
      </w:r>
    </w:p>
    <w:p>
      <w:pPr>
        <w:pStyle w:val="ListBullet"/>
      </w:pPr>
      <w:r>
        <w:t>It does not reconcile. The phase table shows $1,708,950 in fees, but the staffing table (hours × rates) comes to $1,825,000. The $116,050 gap is not explained, and the proposal says the tables reconcile (OCG §5.2). The headline total understates the firm's own hours-times-rates figure by $116,050, so the true figure on the firm's own inputs is $2,513,500.</w:t>
      </w:r>
    </w:p>
    <w:p>
      <w:pPr>
        <w:pStyle w:val="ListBullet"/>
      </w:pPr>
      <w:r>
        <w:t>Three timekeepers are billed above the OCG rate caps: Croft at $850 against an $825 cap, Okeke at $575 against a $550 cap, and Hu at $225 against a $200 cap. In addition, the 2025 increases were requested on December 15, 2024, which is 46 days after the November 1 deadline (OCG §§3.1, 3.2).</w:t>
      </w:r>
    </w:p>
    <w:p>
      <w:pPr>
        <w:pStyle w:val="ListBullet"/>
      </w:pPr>
      <w:r>
        <w:t>It includes a $92,000 L700 post-trial/appeal reserve that the Company never requested (OCG §5.4; the firm's own 2024 workbook confirms that "No appellate planning was requested by the client").</w:t>
      </w:r>
    </w:p>
    <w:p>
      <w:pPr>
        <w:pStyle w:val="ListBullet"/>
      </w:pPr>
      <w:r>
        <w:t>Several items need GC approval that has not been obtained or documented: the paralegal addition, a possible second partner, a sole-sourced $285,000 e-discovery vendor, two experts above $75,000 each, a $95,000 mock trial, and business-class airfare (OCG §§4.3, 7.2–7.4, 7.7).</w:t>
      </w:r>
    </w:p>
    <w:p>
      <w:pPr>
        <w:pStyle w:val="ListBullet"/>
      </w:pPr>
      <w:r>
        <w:t>It includes $15,000 of internal copying, which the OCG never reimburses (§§7.5, 7.8(a)), and it plans for the full team to attend trial, above the two-attorney limit (§6.5).</w:t>
      </w:r>
    </w:p>
    <w:p>
      <w:r>
        <w:rPr>
          <w:b w:val="0"/>
          <w:i w:val="0"/>
        </w:rPr>
        <w:t>After the corrections that can be quantified (rates reset to cap or permitted levels, L700 removed, internal copying removed), a compliant budget would be about $2.33M–$2.34M. Another $555,000 of expenses and ~$61K of trial-attendance fees would stay contingent on GC pre-approval. The quantification is in Section 3.</w:t>
      </w:r>
    </w:p>
    <w:p>
      <w:pPr>
        <w:pStyle w:val="Heading1"/>
      </w:pPr>
      <w:r>
        <w:t>2. Issue Summary by Category</w:t>
      </w:r>
    </w:p>
    <w:p>
      <w:r>
        <w:rPr>
          <w:b w:val="0"/>
          <w:i/>
        </w:rPr>
        <w:t>Severity: High = clear OCG violation with direct dollar impact or grounds for automatic return; Medium = approval or documentation missing, or material risk; Low = accuracy, consistency or monitoring point.</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648"/>
            <w:shd w:val="clear" w:color="auto" w:fill="D9E2F3"/>
          </w:tcPr>
          <w:p>
            <w:r/>
            <w:r>
              <w:rPr>
                <w:b/>
                <w:sz w:val="19"/>
              </w:rPr>
              <w:t>No.</w:t>
            </w:r>
          </w:p>
        </w:tc>
        <w:tc>
          <w:tcPr>
            <w:tcW w:type="dxa" w:w="1152"/>
            <w:shd w:val="clear" w:color="auto" w:fill="D9E2F3"/>
          </w:tcPr>
          <w:p>
            <w:r/>
            <w:r>
              <w:rPr>
                <w:b/>
                <w:sz w:val="19"/>
              </w:rPr>
              <w:t>Category</w:t>
            </w:r>
          </w:p>
        </w:tc>
        <w:tc>
          <w:tcPr>
            <w:tcW w:type="dxa" w:w="4176"/>
            <w:shd w:val="clear" w:color="auto" w:fill="D9E2F3"/>
          </w:tcPr>
          <w:p>
            <w:r/>
            <w:r>
              <w:rPr>
                <w:b/>
                <w:sz w:val="19"/>
              </w:rPr>
              <w:t>Issue</w:t>
            </w:r>
          </w:p>
        </w:tc>
        <w:tc>
          <w:tcPr>
            <w:tcW w:type="dxa" w:w="1296"/>
            <w:shd w:val="clear" w:color="auto" w:fill="D9E2F3"/>
          </w:tcPr>
          <w:p>
            <w:r/>
            <w:r>
              <w:rPr>
                <w:b/>
                <w:sz w:val="19"/>
              </w:rPr>
              <w:t>OCG</w:t>
            </w:r>
          </w:p>
        </w:tc>
        <w:tc>
          <w:tcPr>
            <w:tcW w:type="dxa" w:w="1008"/>
            <w:shd w:val="clear" w:color="auto" w:fill="D9E2F3"/>
          </w:tcPr>
          <w:p>
            <w:r/>
            <w:r>
              <w:rPr>
                <w:b/>
                <w:sz w:val="19"/>
              </w:rPr>
              <w:t>Severity</w:t>
            </w:r>
          </w:p>
        </w:tc>
        <w:tc>
          <w:tcPr>
            <w:tcW w:type="dxa" w:w="1728"/>
            <w:shd w:val="clear" w:color="auto" w:fill="D9E2F3"/>
          </w:tcPr>
          <w:p>
            <w:r/>
            <w:r>
              <w:rPr>
                <w:b/>
                <w:sz w:val="19"/>
              </w:rPr>
              <w:t>Impact</w:t>
            </w:r>
          </w:p>
        </w:tc>
      </w:tr>
      <w:tr>
        <w:tc>
          <w:tcPr>
            <w:tcW w:type="dxa" w:w="648"/>
          </w:tcPr>
          <w:p>
            <w:r/>
            <w:r>
              <w:rPr>
                <w:sz w:val="19"/>
              </w:rPr>
              <w:t>A-1</w:t>
            </w:r>
          </w:p>
        </w:tc>
        <w:tc>
          <w:tcPr>
            <w:tcW w:type="dxa" w:w="1152"/>
          </w:tcPr>
          <w:p>
            <w:r/>
            <w:r>
              <w:rPr>
                <w:sz w:val="19"/>
              </w:rPr>
              <w:t>Rates</w:t>
            </w:r>
          </w:p>
        </w:tc>
        <w:tc>
          <w:tcPr>
            <w:tcW w:type="dxa" w:w="4176"/>
          </w:tcPr>
          <w:p>
            <w:r/>
            <w:r>
              <w:rPr>
                <w:sz w:val="19"/>
              </w:rPr>
              <w:t>Croft rate $850 exceeds $825 Equity Partner cap</w:t>
            </w:r>
          </w:p>
        </w:tc>
        <w:tc>
          <w:tcPr>
            <w:tcW w:type="dxa" w:w="1296"/>
          </w:tcPr>
          <w:p>
            <w:r/>
            <w:r>
              <w:rPr>
                <w:sz w:val="19"/>
              </w:rPr>
              <w:t>§3.1, §3.2(c)</w:t>
            </w:r>
          </w:p>
        </w:tc>
        <w:tc>
          <w:tcPr>
            <w:tcW w:type="dxa" w:w="1008"/>
            <w:shd w:val="clear" w:color="auto" w:fill="F4CCCC"/>
          </w:tcPr>
          <w:p>
            <w:r/>
            <w:r>
              <w:rPr>
                <w:sz w:val="19"/>
              </w:rPr>
              <w:t>High</w:t>
            </w:r>
          </w:p>
        </w:tc>
        <w:tc>
          <w:tcPr>
            <w:tcW w:type="dxa" w:w="1728"/>
          </w:tcPr>
          <w:p>
            <w:r/>
            <w:r>
              <w:rPr>
                <w:sz w:val="19"/>
              </w:rPr>
              <w:t>$15,500 (620 hrs)</w:t>
            </w:r>
          </w:p>
        </w:tc>
      </w:tr>
      <w:tr>
        <w:tc>
          <w:tcPr>
            <w:tcW w:type="dxa" w:w="648"/>
          </w:tcPr>
          <w:p>
            <w:r/>
            <w:r>
              <w:rPr>
                <w:sz w:val="19"/>
              </w:rPr>
              <w:t>A-2</w:t>
            </w:r>
          </w:p>
        </w:tc>
        <w:tc>
          <w:tcPr>
            <w:tcW w:type="dxa" w:w="1152"/>
          </w:tcPr>
          <w:p>
            <w:r/>
            <w:r>
              <w:rPr>
                <w:sz w:val="19"/>
              </w:rPr>
              <w:t>Rates</w:t>
            </w:r>
          </w:p>
        </w:tc>
        <w:tc>
          <w:tcPr>
            <w:tcW w:type="dxa" w:w="4176"/>
          </w:tcPr>
          <w:p>
            <w:r/>
            <w:r>
              <w:rPr>
                <w:sz w:val="19"/>
              </w:rPr>
              <w:t>Okeke rate $575 exceeds $550 Senior Associate cap; 4.5% increase without GC-approved justification</w:t>
            </w:r>
          </w:p>
        </w:tc>
        <w:tc>
          <w:tcPr>
            <w:tcW w:type="dxa" w:w="1296"/>
          </w:tcPr>
          <w:p>
            <w:r/>
            <w:r>
              <w:rPr>
                <w:sz w:val="19"/>
              </w:rPr>
              <w:t>§3.1, §3.2(a),(c)</w:t>
            </w:r>
          </w:p>
        </w:tc>
        <w:tc>
          <w:tcPr>
            <w:tcW w:type="dxa" w:w="1008"/>
            <w:shd w:val="clear" w:color="auto" w:fill="F4CCCC"/>
          </w:tcPr>
          <w:p>
            <w:r/>
            <w:r>
              <w:rPr>
                <w:sz w:val="19"/>
              </w:rPr>
              <w:t>High</w:t>
            </w:r>
          </w:p>
        </w:tc>
        <w:tc>
          <w:tcPr>
            <w:tcW w:type="dxa" w:w="1728"/>
          </w:tcPr>
          <w:p>
            <w:r/>
            <w:r>
              <w:rPr>
                <w:sz w:val="19"/>
              </w:rPr>
              <w:t>$24,500 (980 hrs)</w:t>
            </w:r>
          </w:p>
        </w:tc>
      </w:tr>
      <w:tr>
        <w:tc>
          <w:tcPr>
            <w:tcW w:type="dxa" w:w="648"/>
          </w:tcPr>
          <w:p>
            <w:r/>
            <w:r>
              <w:rPr>
                <w:sz w:val="19"/>
              </w:rPr>
              <w:t>A-3</w:t>
            </w:r>
          </w:p>
        </w:tc>
        <w:tc>
          <w:tcPr>
            <w:tcW w:type="dxa" w:w="1152"/>
          </w:tcPr>
          <w:p>
            <w:r/>
            <w:r>
              <w:rPr>
                <w:sz w:val="19"/>
              </w:rPr>
              <w:t>Rates</w:t>
            </w:r>
          </w:p>
        </w:tc>
        <w:tc>
          <w:tcPr>
            <w:tcW w:type="dxa" w:w="4176"/>
          </w:tcPr>
          <w:p>
            <w:r/>
            <w:r>
              <w:rPr>
                <w:sz w:val="19"/>
              </w:rPr>
              <w:t>Hu rate $225 exceeds $200 paralegal cap; fictitious "2024 rate" of $215 shown</w:t>
            </w:r>
          </w:p>
        </w:tc>
        <w:tc>
          <w:tcPr>
            <w:tcW w:type="dxa" w:w="1296"/>
          </w:tcPr>
          <w:p>
            <w:r/>
            <w:r>
              <w:rPr>
                <w:sz w:val="19"/>
              </w:rPr>
              <w:t>§3.1, §3.3</w:t>
            </w:r>
          </w:p>
        </w:tc>
        <w:tc>
          <w:tcPr>
            <w:tcW w:type="dxa" w:w="1008"/>
            <w:shd w:val="clear" w:color="auto" w:fill="F4CCCC"/>
          </w:tcPr>
          <w:p>
            <w:r/>
            <w:r>
              <w:rPr>
                <w:sz w:val="19"/>
              </w:rPr>
              <w:t>High</w:t>
            </w:r>
          </w:p>
        </w:tc>
        <w:tc>
          <w:tcPr>
            <w:tcW w:type="dxa" w:w="1728"/>
          </w:tcPr>
          <w:p>
            <w:r/>
            <w:r>
              <w:rPr>
                <w:sz w:val="19"/>
              </w:rPr>
              <w:t>$18,500 (740 hrs)</w:t>
            </w:r>
          </w:p>
        </w:tc>
      </w:tr>
      <w:tr>
        <w:tc>
          <w:tcPr>
            <w:tcW w:type="dxa" w:w="648"/>
          </w:tcPr>
          <w:p>
            <w:r/>
            <w:r>
              <w:rPr>
                <w:sz w:val="19"/>
              </w:rPr>
              <w:t>A-4</w:t>
            </w:r>
          </w:p>
        </w:tc>
        <w:tc>
          <w:tcPr>
            <w:tcW w:type="dxa" w:w="1152"/>
          </w:tcPr>
          <w:p>
            <w:r/>
            <w:r>
              <w:rPr>
                <w:sz w:val="19"/>
              </w:rPr>
              <w:t>Rates</w:t>
            </w:r>
          </w:p>
        </w:tc>
        <w:tc>
          <w:tcPr>
            <w:tcW w:type="dxa" w:w="4176"/>
          </w:tcPr>
          <w:p>
            <w:r/>
            <w:r>
              <w:rPr>
                <w:sz w:val="19"/>
              </w:rPr>
              <w:t>Yoon increase $410→$425 is 3.66% (&gt;3%); proposal misstates 2024 rate as $415 / 2.4%</w:t>
            </w:r>
          </w:p>
        </w:tc>
        <w:tc>
          <w:tcPr>
            <w:tcW w:type="dxa" w:w="1296"/>
          </w:tcPr>
          <w:p>
            <w:r/>
            <w:r>
              <w:rPr>
                <w:sz w:val="19"/>
              </w:rPr>
              <w:t>§3.2(a)</w:t>
            </w:r>
          </w:p>
        </w:tc>
        <w:tc>
          <w:tcPr>
            <w:tcW w:type="dxa" w:w="1008"/>
            <w:shd w:val="clear" w:color="auto" w:fill="FFF2CC"/>
          </w:tcPr>
          <w:p>
            <w:r/>
            <w:r>
              <w:rPr>
                <w:sz w:val="19"/>
              </w:rPr>
              <w:t>Medium</w:t>
            </w:r>
          </w:p>
        </w:tc>
        <w:tc>
          <w:tcPr>
            <w:tcW w:type="dxa" w:w="1728"/>
          </w:tcPr>
          <w:p>
            <w:r/>
            <w:r>
              <w:rPr>
                <w:sz w:val="19"/>
              </w:rPr>
              <w:t>$2,322 (to $422.30) or $12,900 (to $410)</w:t>
            </w:r>
          </w:p>
        </w:tc>
      </w:tr>
      <w:tr>
        <w:tc>
          <w:tcPr>
            <w:tcW w:type="dxa" w:w="648"/>
          </w:tcPr>
          <w:p>
            <w:r/>
            <w:r>
              <w:rPr>
                <w:sz w:val="19"/>
              </w:rPr>
              <w:t>A-5</w:t>
            </w:r>
          </w:p>
        </w:tc>
        <w:tc>
          <w:tcPr>
            <w:tcW w:type="dxa" w:w="1152"/>
          </w:tcPr>
          <w:p>
            <w:r/>
            <w:r>
              <w:rPr>
                <w:sz w:val="19"/>
              </w:rPr>
              <w:t>Rates</w:t>
            </w:r>
          </w:p>
        </w:tc>
        <w:tc>
          <w:tcPr>
            <w:tcW w:type="dxa" w:w="4176"/>
          </w:tcPr>
          <w:p>
            <w:r/>
            <w:r>
              <w:rPr>
                <w:sz w:val="19"/>
              </w:rPr>
              <w:t>Novak increase $360→$375 is 4.17% (&gt;3%); proposal and notice state 2024 rate as $365</w:t>
            </w:r>
          </w:p>
        </w:tc>
        <w:tc>
          <w:tcPr>
            <w:tcW w:type="dxa" w:w="1296"/>
          </w:tcPr>
          <w:p>
            <w:r/>
            <w:r>
              <w:rPr>
                <w:sz w:val="19"/>
              </w:rPr>
              <w:t>§3.2(a)</w:t>
            </w:r>
          </w:p>
        </w:tc>
        <w:tc>
          <w:tcPr>
            <w:tcW w:type="dxa" w:w="1008"/>
            <w:shd w:val="clear" w:color="auto" w:fill="FFF2CC"/>
          </w:tcPr>
          <w:p>
            <w:r/>
            <w:r>
              <w:rPr>
                <w:sz w:val="19"/>
              </w:rPr>
              <w:t>Medium</w:t>
            </w:r>
          </w:p>
        </w:tc>
        <w:tc>
          <w:tcPr>
            <w:tcW w:type="dxa" w:w="1728"/>
          </w:tcPr>
          <w:p>
            <w:r/>
            <w:r>
              <w:rPr>
                <w:sz w:val="19"/>
              </w:rPr>
              <w:t>$2,268 (to $370.80) or $8,100 (to $360)</w:t>
            </w:r>
          </w:p>
        </w:tc>
      </w:tr>
      <w:tr>
        <w:tc>
          <w:tcPr>
            <w:tcW w:type="dxa" w:w="648"/>
          </w:tcPr>
          <w:p>
            <w:r/>
            <w:r>
              <w:rPr>
                <w:sz w:val="19"/>
              </w:rPr>
              <w:t>A-6</w:t>
            </w:r>
          </w:p>
        </w:tc>
        <w:tc>
          <w:tcPr>
            <w:tcW w:type="dxa" w:w="1152"/>
          </w:tcPr>
          <w:p>
            <w:r/>
            <w:r>
              <w:rPr>
                <w:sz w:val="19"/>
              </w:rPr>
              <w:t>Rates</w:t>
            </w:r>
          </w:p>
        </w:tc>
        <w:tc>
          <w:tcPr>
            <w:tcW w:type="dxa" w:w="4176"/>
          </w:tcPr>
          <w:p>
            <w:r/>
            <w:r>
              <w:rPr>
                <w:sz w:val="19"/>
              </w:rPr>
              <w:t>All 2025 increases untimely (notice Dec. 15, 2024 vs. Nov. 1 deadline); no written GC approval on record</w:t>
            </w:r>
          </w:p>
        </w:tc>
        <w:tc>
          <w:tcPr>
            <w:tcW w:type="dxa" w:w="1296"/>
          </w:tcPr>
          <w:p>
            <w:r/>
            <w:r>
              <w:rPr>
                <w:sz w:val="19"/>
              </w:rPr>
              <w:t>§3.2(b),(d), §3.3</w:t>
            </w:r>
          </w:p>
        </w:tc>
        <w:tc>
          <w:tcPr>
            <w:tcW w:type="dxa" w:w="1008"/>
            <w:shd w:val="clear" w:color="auto" w:fill="F4CCCC"/>
          </w:tcPr>
          <w:p>
            <w:r/>
            <w:r>
              <w:rPr>
                <w:sz w:val="19"/>
              </w:rPr>
              <w:t>High</w:t>
            </w:r>
          </w:p>
        </w:tc>
        <w:tc>
          <w:tcPr>
            <w:tcW w:type="dxa" w:w="1728"/>
          </w:tcPr>
          <w:p>
            <w:r/>
            <w:r>
              <w:rPr>
                <w:sz w:val="19"/>
              </w:rPr>
              <w:t>Increases may be denied in full</w:t>
            </w:r>
          </w:p>
        </w:tc>
      </w:tr>
      <w:tr>
        <w:tc>
          <w:tcPr>
            <w:tcW w:type="dxa" w:w="648"/>
          </w:tcPr>
          <w:p>
            <w:r/>
            <w:r>
              <w:rPr>
                <w:sz w:val="19"/>
              </w:rPr>
              <w:t>A-7</w:t>
            </w:r>
          </w:p>
        </w:tc>
        <w:tc>
          <w:tcPr>
            <w:tcW w:type="dxa" w:w="1152"/>
          </w:tcPr>
          <w:p>
            <w:r/>
            <w:r>
              <w:rPr>
                <w:sz w:val="19"/>
              </w:rPr>
              <w:t>Rates</w:t>
            </w:r>
          </w:p>
        </w:tc>
        <w:tc>
          <w:tcPr>
            <w:tcW w:type="dxa" w:w="4176"/>
          </w:tcPr>
          <w:p>
            <w:r/>
            <w:r>
              <w:rPr>
                <w:sz w:val="19"/>
              </w:rPr>
              <w:t>Jan.–Apr. 2025 invoices likely already billed at unapproved rates</w:t>
            </w:r>
          </w:p>
        </w:tc>
        <w:tc>
          <w:tcPr>
            <w:tcW w:type="dxa" w:w="1296"/>
          </w:tcPr>
          <w:p>
            <w:r/>
            <w:r>
              <w:rPr>
                <w:sz w:val="19"/>
              </w:rPr>
              <w:t>§3.1, §3.2(d), §8.4</w:t>
            </w:r>
          </w:p>
        </w:tc>
        <w:tc>
          <w:tcPr>
            <w:tcW w:type="dxa" w:w="1008"/>
            <w:shd w:val="clear" w:color="auto" w:fill="FFF2CC"/>
          </w:tcPr>
          <w:p>
            <w:r/>
            <w:r>
              <w:rPr>
                <w:sz w:val="19"/>
              </w:rPr>
              <w:t>Medium</w:t>
            </w:r>
          </w:p>
        </w:tc>
        <w:tc>
          <w:tcPr>
            <w:tcW w:type="dxa" w:w="1728"/>
          </w:tcPr>
          <w:p>
            <w:r/>
            <w:r>
              <w:rPr>
                <w:sz w:val="19"/>
              </w:rPr>
              <w:t>Recovery to be quantified by Lexera</w:t>
            </w:r>
          </w:p>
        </w:tc>
      </w:tr>
      <w:tr>
        <w:tc>
          <w:tcPr>
            <w:tcW w:type="dxa" w:w="648"/>
          </w:tcPr>
          <w:p>
            <w:r/>
            <w:r>
              <w:rPr>
                <w:sz w:val="19"/>
              </w:rPr>
              <w:t>B-1</w:t>
            </w:r>
          </w:p>
        </w:tc>
        <w:tc>
          <w:tcPr>
            <w:tcW w:type="dxa" w:w="1152"/>
          </w:tcPr>
          <w:p>
            <w:r/>
            <w:r>
              <w:rPr>
                <w:sz w:val="19"/>
              </w:rPr>
              <w:t>Staffing</w:t>
            </w:r>
          </w:p>
        </w:tc>
        <w:tc>
          <w:tcPr>
            <w:tcW w:type="dxa" w:w="4176"/>
          </w:tcPr>
          <w:p>
            <w:r/>
            <w:r>
              <w:rPr>
                <w:sz w:val="19"/>
              </w:rPr>
              <w:t>Hu added on 1 business day's notice (Fri. Apr. 25 → Mon. Apr. 28); no GC approval, no exigency explanation, required details missing; name discrepancy (Hsu/Hu)</w:t>
            </w:r>
          </w:p>
        </w:tc>
        <w:tc>
          <w:tcPr>
            <w:tcW w:type="dxa" w:w="1296"/>
          </w:tcPr>
          <w:p>
            <w:r/>
            <w:r>
              <w:rPr>
                <w:sz w:val="19"/>
              </w:rPr>
              <w:t>§4.3, §3.3</w:t>
            </w:r>
          </w:p>
        </w:tc>
        <w:tc>
          <w:tcPr>
            <w:tcW w:type="dxa" w:w="1008"/>
            <w:shd w:val="clear" w:color="auto" w:fill="F4CCCC"/>
          </w:tcPr>
          <w:p>
            <w:r/>
            <w:r>
              <w:rPr>
                <w:sz w:val="19"/>
              </w:rPr>
              <w:t>High</w:t>
            </w:r>
          </w:p>
        </w:tc>
        <w:tc>
          <w:tcPr>
            <w:tcW w:type="dxa" w:w="1728"/>
          </w:tcPr>
          <w:p>
            <w:r/>
            <w:r>
              <w:rPr>
                <w:sz w:val="19"/>
              </w:rPr>
              <w:t>Pre-approval time not payable</w:t>
            </w:r>
          </w:p>
        </w:tc>
      </w:tr>
      <w:tr>
        <w:tc>
          <w:tcPr>
            <w:tcW w:type="dxa" w:w="648"/>
          </w:tcPr>
          <w:p>
            <w:r/>
            <w:r>
              <w:rPr>
                <w:sz w:val="19"/>
              </w:rPr>
              <w:t>B-2</w:t>
            </w:r>
          </w:p>
        </w:tc>
        <w:tc>
          <w:tcPr>
            <w:tcW w:type="dxa" w:w="1152"/>
          </w:tcPr>
          <w:p>
            <w:r/>
            <w:r>
              <w:rPr>
                <w:sz w:val="19"/>
              </w:rPr>
              <w:t>Staffing</w:t>
            </w:r>
          </w:p>
        </w:tc>
        <w:tc>
          <w:tcPr>
            <w:tcW w:type="dxa" w:w="4176"/>
          </w:tcPr>
          <w:p>
            <w:r/>
            <w:r>
              <w:rPr>
                <w:sz w:val="19"/>
              </w:rPr>
              <w:t>Boyd Whitaker (partner, ~60 hrs L400) not noticed, rate not disclosed, excluded from totals</w:t>
            </w:r>
          </w:p>
        </w:tc>
        <w:tc>
          <w:tcPr>
            <w:tcW w:type="dxa" w:w="1296"/>
          </w:tcPr>
          <w:p>
            <w:r/>
            <w:r>
              <w:rPr>
                <w:sz w:val="19"/>
              </w:rPr>
              <w:t>§4.2, §4.3, §5.2(b)</w:t>
            </w:r>
          </w:p>
        </w:tc>
        <w:tc>
          <w:tcPr>
            <w:tcW w:type="dxa" w:w="1008"/>
            <w:shd w:val="clear" w:color="auto" w:fill="FFF2CC"/>
          </w:tcPr>
          <w:p>
            <w:r/>
            <w:r>
              <w:rPr>
                <w:sz w:val="19"/>
              </w:rPr>
              <w:t>Medium</w:t>
            </w:r>
          </w:p>
        </w:tc>
        <w:tc>
          <w:tcPr>
            <w:tcW w:type="dxa" w:w="1728"/>
          </w:tcPr>
          <w:p>
            <w:r/>
            <w:r>
              <w:rPr>
                <w:sz w:val="19"/>
              </w:rPr>
              <w:t>Unbudgeted, up to ~$49,500</w:t>
            </w:r>
          </w:p>
        </w:tc>
      </w:tr>
      <w:tr>
        <w:tc>
          <w:tcPr>
            <w:tcW w:type="dxa" w:w="648"/>
          </w:tcPr>
          <w:p>
            <w:r/>
            <w:r>
              <w:rPr>
                <w:sz w:val="19"/>
              </w:rPr>
              <w:t>B-3</w:t>
            </w:r>
          </w:p>
        </w:tc>
        <w:tc>
          <w:tcPr>
            <w:tcW w:type="dxa" w:w="1152"/>
          </w:tcPr>
          <w:p>
            <w:r/>
            <w:r>
              <w:rPr>
                <w:sz w:val="19"/>
              </w:rPr>
              <w:t>Staffing</w:t>
            </w:r>
          </w:p>
        </w:tc>
        <w:tc>
          <w:tcPr>
            <w:tcW w:type="dxa" w:w="4176"/>
          </w:tcPr>
          <w:p>
            <w:r/>
            <w:r>
              <w:rPr>
                <w:sz w:val="19"/>
              </w:rPr>
              <w:t>Full team (4 attorneys + paralegal) at trial; limit is 2 attorneys absent pre-approval; Croft plus associate at depositions</w:t>
            </w:r>
          </w:p>
        </w:tc>
        <w:tc>
          <w:tcPr>
            <w:tcW w:type="dxa" w:w="1296"/>
          </w:tcPr>
          <w:p>
            <w:r/>
            <w:r>
              <w:rPr>
                <w:sz w:val="19"/>
              </w:rPr>
              <w:t>§6.5, §4.1</w:t>
            </w:r>
          </w:p>
        </w:tc>
        <w:tc>
          <w:tcPr>
            <w:tcW w:type="dxa" w:w="1008"/>
            <w:shd w:val="clear" w:color="auto" w:fill="F4CCCC"/>
          </w:tcPr>
          <w:p>
            <w:r/>
            <w:r>
              <w:rPr>
                <w:sz w:val="19"/>
              </w:rPr>
              <w:t>High</w:t>
            </w:r>
          </w:p>
        </w:tc>
        <w:tc>
          <w:tcPr>
            <w:tcW w:type="dxa" w:w="1728"/>
          </w:tcPr>
          <w:p>
            <w:r/>
            <w:r>
              <w:rPr>
                <w:sz w:val="19"/>
              </w:rPr>
              <w:t>~$61,300 L600 at risk</w:t>
            </w:r>
          </w:p>
        </w:tc>
      </w:tr>
      <w:tr>
        <w:tc>
          <w:tcPr>
            <w:tcW w:type="dxa" w:w="648"/>
          </w:tcPr>
          <w:p>
            <w:r/>
            <w:r>
              <w:rPr>
                <w:sz w:val="19"/>
              </w:rPr>
              <w:t>B-4</w:t>
            </w:r>
          </w:p>
        </w:tc>
        <w:tc>
          <w:tcPr>
            <w:tcW w:type="dxa" w:w="1152"/>
          </w:tcPr>
          <w:p>
            <w:r/>
            <w:r>
              <w:rPr>
                <w:sz w:val="19"/>
              </w:rPr>
              <w:t>Staffing</w:t>
            </w:r>
          </w:p>
        </w:tc>
        <w:tc>
          <w:tcPr>
            <w:tcW w:type="dxa" w:w="4176"/>
          </w:tcPr>
          <w:p>
            <w:r/>
            <w:r>
              <w:rPr>
                <w:sz w:val="19"/>
              </w:rPr>
              <w:t>Attorney cite-checking, binder preparation and "administrative" tasks assigned at attorney/paralegal rates</w:t>
            </w:r>
          </w:p>
        </w:tc>
        <w:tc>
          <w:tcPr>
            <w:tcW w:type="dxa" w:w="1296"/>
          </w:tcPr>
          <w:p>
            <w:r/>
            <w:r>
              <w:rPr>
                <w:sz w:val="19"/>
              </w:rPr>
              <w:t>§6.4(c),(g), §4.1</w:t>
            </w:r>
          </w:p>
        </w:tc>
        <w:tc>
          <w:tcPr>
            <w:tcW w:type="dxa" w:w="1008"/>
            <w:shd w:val="clear" w:color="auto" w:fill="FFF2CC"/>
          </w:tcPr>
          <w:p>
            <w:r/>
            <w:r>
              <w:rPr>
                <w:sz w:val="19"/>
              </w:rPr>
              <w:t>Medium</w:t>
            </w:r>
          </w:p>
        </w:tc>
        <w:tc>
          <w:tcPr>
            <w:tcW w:type="dxa" w:w="1728"/>
          </w:tcPr>
          <w:p>
            <w:r/>
            <w:r>
              <w:rPr>
                <w:sz w:val="19"/>
              </w:rPr>
              <w:t>Non-billable; pattern in 2024</w:t>
            </w:r>
          </w:p>
        </w:tc>
      </w:tr>
      <w:tr>
        <w:tc>
          <w:tcPr>
            <w:tcW w:type="dxa" w:w="648"/>
          </w:tcPr>
          <w:p>
            <w:r/>
            <w:r>
              <w:rPr>
                <w:sz w:val="19"/>
              </w:rPr>
              <w:t>B-5</w:t>
            </w:r>
          </w:p>
        </w:tc>
        <w:tc>
          <w:tcPr>
            <w:tcW w:type="dxa" w:w="1152"/>
          </w:tcPr>
          <w:p>
            <w:r/>
            <w:r>
              <w:rPr>
                <w:sz w:val="19"/>
              </w:rPr>
              <w:t>Staffing</w:t>
            </w:r>
          </w:p>
        </w:tc>
        <w:tc>
          <w:tcPr>
            <w:tcW w:type="dxa" w:w="4176"/>
          </w:tcPr>
          <w:p>
            <w:r/>
            <w:r>
              <w:rPr>
                <w:sz w:val="19"/>
              </w:rPr>
              <w:t>Paralegal Ferrante departure (Jan. 15, 2025) not reported; Dec. 15 notice says no paralegal assigned, which contradicts 2024 billing</w:t>
            </w:r>
          </w:p>
        </w:tc>
        <w:tc>
          <w:tcPr>
            <w:tcW w:type="dxa" w:w="1296"/>
          </w:tcPr>
          <w:p>
            <w:r/>
            <w:r>
              <w:rPr>
                <w:sz w:val="19"/>
              </w:rPr>
              <w:t>§9.1(d), §9.3</w:t>
            </w:r>
          </w:p>
        </w:tc>
        <w:tc>
          <w:tcPr>
            <w:tcW w:type="dxa" w:w="1008"/>
            <w:shd w:val="clear" w:color="auto" w:fill="D9EAD3"/>
          </w:tcPr>
          <w:p>
            <w:r/>
            <w:r>
              <w:rPr>
                <w:sz w:val="19"/>
              </w:rPr>
              <w:t>Low</w:t>
            </w:r>
          </w:p>
        </w:tc>
        <w:tc>
          <w:tcPr>
            <w:tcW w:type="dxa" w:w="1728"/>
          </w:tcPr>
          <w:p>
            <w:r/>
            <w:r>
              <w:rPr>
                <w:sz w:val="19"/>
              </w:rPr>
              <w:t>—</w:t>
            </w:r>
          </w:p>
        </w:tc>
      </w:tr>
      <w:tr>
        <w:tc>
          <w:tcPr>
            <w:tcW w:type="dxa" w:w="648"/>
          </w:tcPr>
          <w:p>
            <w:r/>
            <w:r>
              <w:rPr>
                <w:sz w:val="19"/>
              </w:rPr>
              <w:t>B-6</w:t>
            </w:r>
          </w:p>
        </w:tc>
        <w:tc>
          <w:tcPr>
            <w:tcW w:type="dxa" w:w="1152"/>
          </w:tcPr>
          <w:p>
            <w:r/>
            <w:r>
              <w:rPr>
                <w:sz w:val="19"/>
              </w:rPr>
              <w:t>Staffing</w:t>
            </w:r>
          </w:p>
        </w:tc>
        <w:tc>
          <w:tcPr>
            <w:tcW w:type="dxa" w:w="4176"/>
          </w:tcPr>
          <w:p>
            <w:r/>
            <w:r>
              <w:rPr>
                <w:sz w:val="19"/>
              </w:rPr>
              <w:t>Staffing efficiency (46.7%) and diversity (Okeke 32.7%) thresholds met; confirm quarterly</w:t>
            </w:r>
          </w:p>
        </w:tc>
        <w:tc>
          <w:tcPr>
            <w:tcW w:type="dxa" w:w="1296"/>
          </w:tcPr>
          <w:p>
            <w:r/>
            <w:r>
              <w:rPr>
                <w:sz w:val="19"/>
              </w:rPr>
              <w:t>§4.4, §4.5</w:t>
            </w:r>
          </w:p>
        </w:tc>
        <w:tc>
          <w:tcPr>
            <w:tcW w:type="dxa" w:w="1008"/>
            <w:shd w:val="clear" w:color="auto" w:fill="D9EAD3"/>
          </w:tcPr>
          <w:p>
            <w:r/>
            <w:r>
              <w:rPr>
                <w:sz w:val="19"/>
              </w:rPr>
              <w:t>Low</w:t>
            </w:r>
          </w:p>
        </w:tc>
        <w:tc>
          <w:tcPr>
            <w:tcW w:type="dxa" w:w="1728"/>
          </w:tcPr>
          <w:p>
            <w:r/>
            <w:r>
              <w:rPr>
                <w:sz w:val="19"/>
              </w:rPr>
              <w:t>Compliant</w:t>
            </w:r>
          </w:p>
        </w:tc>
      </w:tr>
      <w:tr>
        <w:tc>
          <w:tcPr>
            <w:tcW w:type="dxa" w:w="648"/>
          </w:tcPr>
          <w:p>
            <w:r/>
            <w:r>
              <w:rPr>
                <w:sz w:val="19"/>
              </w:rPr>
              <w:t>C-1</w:t>
            </w:r>
          </w:p>
        </w:tc>
        <w:tc>
          <w:tcPr>
            <w:tcW w:type="dxa" w:w="1152"/>
          </w:tcPr>
          <w:p>
            <w:r/>
            <w:r>
              <w:rPr>
                <w:sz w:val="19"/>
              </w:rPr>
              <w:t>Budget</w:t>
            </w:r>
          </w:p>
        </w:tc>
        <w:tc>
          <w:tcPr>
            <w:tcW w:type="dxa" w:w="4176"/>
          </w:tcPr>
          <w:p>
            <w:r/>
            <w:r>
              <w:rPr>
                <w:sz w:val="19"/>
              </w:rPr>
              <w:t>Phase fees ($1,708,950) do not reconcile to staffing fees ($1,825,000); $116,050 unexplained, and proposal claims reconciliation</w:t>
            </w:r>
          </w:p>
        </w:tc>
        <w:tc>
          <w:tcPr>
            <w:tcW w:type="dxa" w:w="1296"/>
          </w:tcPr>
          <w:p>
            <w:r/>
            <w:r>
              <w:rPr>
                <w:sz w:val="19"/>
              </w:rPr>
              <w:t>§5.2</w:t>
            </w:r>
          </w:p>
        </w:tc>
        <w:tc>
          <w:tcPr>
            <w:tcW w:type="dxa" w:w="1008"/>
            <w:shd w:val="clear" w:color="auto" w:fill="F4CCCC"/>
          </w:tcPr>
          <w:p>
            <w:r/>
            <w:r>
              <w:rPr>
                <w:sz w:val="19"/>
              </w:rPr>
              <w:t>High</w:t>
            </w:r>
          </w:p>
        </w:tc>
        <w:tc>
          <w:tcPr>
            <w:tcW w:type="dxa" w:w="1728"/>
          </w:tcPr>
          <w:p>
            <w:r/>
            <w:r>
              <w:rPr>
                <w:sz w:val="19"/>
              </w:rPr>
              <w:t>Understatement $116,050</w:t>
            </w:r>
          </w:p>
        </w:tc>
      </w:tr>
      <w:tr>
        <w:tc>
          <w:tcPr>
            <w:tcW w:type="dxa" w:w="648"/>
          </w:tcPr>
          <w:p>
            <w:r/>
            <w:r>
              <w:rPr>
                <w:sz w:val="19"/>
              </w:rPr>
              <w:t>C-2</w:t>
            </w:r>
          </w:p>
        </w:tc>
        <w:tc>
          <w:tcPr>
            <w:tcW w:type="dxa" w:w="1152"/>
          </w:tcPr>
          <w:p>
            <w:r/>
            <w:r>
              <w:rPr>
                <w:sz w:val="19"/>
              </w:rPr>
              <w:t>Budget</w:t>
            </w:r>
          </w:p>
        </w:tc>
        <w:tc>
          <w:tcPr>
            <w:tcW w:type="dxa" w:w="4176"/>
          </w:tcPr>
          <w:p>
            <w:r/>
            <w:r>
              <w:rPr>
                <w:sz w:val="19"/>
              </w:rPr>
              <w:t>Unrequested L700 post-trial/appeal reserve (200 hrs / $92,000; $95,000 at stated rates)</w:t>
            </w:r>
          </w:p>
        </w:tc>
        <w:tc>
          <w:tcPr>
            <w:tcW w:type="dxa" w:w="1296"/>
          </w:tcPr>
          <w:p>
            <w:r/>
            <w:r>
              <w:rPr>
                <w:sz w:val="19"/>
              </w:rPr>
              <w:t>§5.4, App. A</w:t>
            </w:r>
          </w:p>
        </w:tc>
        <w:tc>
          <w:tcPr>
            <w:tcW w:type="dxa" w:w="1008"/>
            <w:shd w:val="clear" w:color="auto" w:fill="F4CCCC"/>
          </w:tcPr>
          <w:p>
            <w:r/>
            <w:r>
              <w:rPr>
                <w:sz w:val="19"/>
              </w:rPr>
              <w:t>High</w:t>
            </w:r>
          </w:p>
        </w:tc>
        <w:tc>
          <w:tcPr>
            <w:tcW w:type="dxa" w:w="1728"/>
          </w:tcPr>
          <w:p>
            <w:r/>
            <w:r>
              <w:rPr>
                <w:sz w:val="19"/>
              </w:rPr>
              <w:t>Remove $92,000</w:t>
            </w:r>
          </w:p>
        </w:tc>
      </w:tr>
      <w:tr>
        <w:tc>
          <w:tcPr>
            <w:tcW w:type="dxa" w:w="648"/>
          </w:tcPr>
          <w:p>
            <w:r/>
            <w:r>
              <w:rPr>
                <w:sz w:val="19"/>
              </w:rPr>
              <w:t>C-3</w:t>
            </w:r>
          </w:p>
        </w:tc>
        <w:tc>
          <w:tcPr>
            <w:tcW w:type="dxa" w:w="1152"/>
          </w:tcPr>
          <w:p>
            <w:r/>
            <w:r>
              <w:rPr>
                <w:sz w:val="19"/>
              </w:rPr>
              <w:t>Budget</w:t>
            </w:r>
          </w:p>
        </w:tc>
        <w:tc>
          <w:tcPr>
            <w:tcW w:type="dxa" w:w="4176"/>
          </w:tcPr>
          <w:p>
            <w:r/>
            <w:r>
              <w:rPr>
                <w:sz w:val="19"/>
              </w:rPr>
              <w:t>No L100 phase; 2024 actuals used non-standard "L800" code</w:t>
            </w:r>
          </w:p>
        </w:tc>
        <w:tc>
          <w:tcPr>
            <w:tcW w:type="dxa" w:w="1296"/>
          </w:tcPr>
          <w:p>
            <w:r/>
            <w:r>
              <w:rPr>
                <w:sz w:val="19"/>
              </w:rPr>
              <w:t>§5.2(a), §6.2, App. A</w:t>
            </w:r>
          </w:p>
        </w:tc>
        <w:tc>
          <w:tcPr>
            <w:tcW w:type="dxa" w:w="1008"/>
            <w:shd w:val="clear" w:color="auto" w:fill="D9EAD3"/>
          </w:tcPr>
          <w:p>
            <w:r/>
            <w:r>
              <w:rPr>
                <w:sz w:val="19"/>
              </w:rPr>
              <w:t>Low</w:t>
            </w:r>
          </w:p>
        </w:tc>
        <w:tc>
          <w:tcPr>
            <w:tcW w:type="dxa" w:w="1728"/>
          </w:tcPr>
          <w:p>
            <w:r/>
            <w:r>
              <w:rPr>
                <w:sz w:val="19"/>
              </w:rPr>
              <w:t>—</w:t>
            </w:r>
          </w:p>
        </w:tc>
      </w:tr>
      <w:tr>
        <w:tc>
          <w:tcPr>
            <w:tcW w:type="dxa" w:w="648"/>
          </w:tcPr>
          <w:p>
            <w:r/>
            <w:r>
              <w:rPr>
                <w:sz w:val="19"/>
              </w:rPr>
              <w:t>D-1</w:t>
            </w:r>
          </w:p>
        </w:tc>
        <w:tc>
          <w:tcPr>
            <w:tcW w:type="dxa" w:w="1152"/>
          </w:tcPr>
          <w:p>
            <w:r/>
            <w:r>
              <w:rPr>
                <w:sz w:val="19"/>
              </w:rPr>
              <w:t>Expenses</w:t>
            </w:r>
          </w:p>
        </w:tc>
        <w:tc>
          <w:tcPr>
            <w:tcW w:type="dxa" w:w="4176"/>
          </w:tcPr>
          <w:p>
            <w:r/>
            <w:r>
              <w:rPr>
                <w:sz w:val="19"/>
              </w:rPr>
              <w:t>E-discovery $285,000 (life of matter ~$393,500) sole-sourced to Clearpoint without competitive bids</w:t>
            </w:r>
          </w:p>
        </w:tc>
        <w:tc>
          <w:tcPr>
            <w:tcW w:type="dxa" w:w="1296"/>
          </w:tcPr>
          <w:p>
            <w:r/>
            <w:r>
              <w:rPr>
                <w:sz w:val="19"/>
              </w:rPr>
              <w:t>§7.2(a)</w:t>
            </w:r>
          </w:p>
        </w:tc>
        <w:tc>
          <w:tcPr>
            <w:tcW w:type="dxa" w:w="1008"/>
            <w:shd w:val="clear" w:color="auto" w:fill="F4CCCC"/>
          </w:tcPr>
          <w:p>
            <w:r/>
            <w:r>
              <w:rPr>
                <w:sz w:val="19"/>
              </w:rPr>
              <w:t>High</w:t>
            </w:r>
          </w:p>
        </w:tc>
        <w:tc>
          <w:tcPr>
            <w:tcW w:type="dxa" w:w="1728"/>
          </w:tcPr>
          <w:p>
            <w:r/>
            <w:r>
              <w:rPr>
                <w:sz w:val="19"/>
              </w:rPr>
              <w:t>$285,000 pending approval</w:t>
            </w:r>
          </w:p>
        </w:tc>
      </w:tr>
      <w:tr>
        <w:tc>
          <w:tcPr>
            <w:tcW w:type="dxa" w:w="648"/>
          </w:tcPr>
          <w:p>
            <w:r/>
            <w:r>
              <w:rPr>
                <w:sz w:val="19"/>
              </w:rPr>
              <w:t>D-2</w:t>
            </w:r>
          </w:p>
        </w:tc>
        <w:tc>
          <w:tcPr>
            <w:tcW w:type="dxa" w:w="1152"/>
          </w:tcPr>
          <w:p>
            <w:r/>
            <w:r>
              <w:rPr>
                <w:sz w:val="19"/>
              </w:rPr>
              <w:t>Expenses</w:t>
            </w:r>
          </w:p>
        </w:tc>
        <w:tc>
          <w:tcPr>
            <w:tcW w:type="dxa" w:w="4176"/>
          </w:tcPr>
          <w:p>
            <w:r/>
            <w:r>
              <w:rPr>
                <w:sz w:val="19"/>
              </w:rPr>
              <w:t>Two experts ($90,000 / $85,000), each above the $75,000 pre-approval threshold; no CVs, scope or fee schedules</w:t>
            </w:r>
          </w:p>
        </w:tc>
        <w:tc>
          <w:tcPr>
            <w:tcW w:type="dxa" w:w="1296"/>
          </w:tcPr>
          <w:p>
            <w:r/>
            <w:r>
              <w:rPr>
                <w:sz w:val="19"/>
              </w:rPr>
              <w:t>§7.3(a)</w:t>
            </w:r>
          </w:p>
        </w:tc>
        <w:tc>
          <w:tcPr>
            <w:tcW w:type="dxa" w:w="1008"/>
            <w:shd w:val="clear" w:color="auto" w:fill="FFF2CC"/>
          </w:tcPr>
          <w:p>
            <w:r/>
            <w:r>
              <w:rPr>
                <w:sz w:val="19"/>
              </w:rPr>
              <w:t>Medium</w:t>
            </w:r>
          </w:p>
        </w:tc>
        <w:tc>
          <w:tcPr>
            <w:tcW w:type="dxa" w:w="1728"/>
          </w:tcPr>
          <w:p>
            <w:r/>
            <w:r>
              <w:rPr>
                <w:sz w:val="19"/>
              </w:rPr>
              <w:t>$175,000 pending approval</w:t>
            </w:r>
          </w:p>
        </w:tc>
      </w:tr>
      <w:tr>
        <w:tc>
          <w:tcPr>
            <w:tcW w:type="dxa" w:w="648"/>
          </w:tcPr>
          <w:p>
            <w:r/>
            <w:r>
              <w:rPr>
                <w:sz w:val="19"/>
              </w:rPr>
              <w:t>D-3</w:t>
            </w:r>
          </w:p>
        </w:tc>
        <w:tc>
          <w:tcPr>
            <w:tcW w:type="dxa" w:w="1152"/>
          </w:tcPr>
          <w:p>
            <w:r/>
            <w:r>
              <w:rPr>
                <w:sz w:val="19"/>
              </w:rPr>
              <w:t>Expenses</w:t>
            </w:r>
          </w:p>
        </w:tc>
        <w:tc>
          <w:tcPr>
            <w:tcW w:type="dxa" w:w="4176"/>
          </w:tcPr>
          <w:p>
            <w:r/>
            <w:r>
              <w:rPr>
                <w:sz w:val="19"/>
              </w:rPr>
              <w:t>Business-class airfare for lead partner (domestic Miami/NY) without pre-approval; hotel/meal caps not addressed</w:t>
            </w:r>
          </w:p>
        </w:tc>
        <w:tc>
          <w:tcPr>
            <w:tcW w:type="dxa" w:w="1296"/>
          </w:tcPr>
          <w:p>
            <w:r/>
            <w:r>
              <w:rPr>
                <w:sz w:val="19"/>
              </w:rPr>
              <w:t>§7.4(a),(c),(d)</w:t>
            </w:r>
          </w:p>
        </w:tc>
        <w:tc>
          <w:tcPr>
            <w:tcW w:type="dxa" w:w="1008"/>
            <w:shd w:val="clear" w:color="auto" w:fill="FFF2CC"/>
          </w:tcPr>
          <w:p>
            <w:r/>
            <w:r>
              <w:rPr>
                <w:sz w:val="19"/>
              </w:rPr>
              <w:t>Medium</w:t>
            </w:r>
          </w:p>
        </w:tc>
        <w:tc>
          <w:tcPr>
            <w:tcW w:type="dxa" w:w="1728"/>
          </w:tcPr>
          <w:p>
            <w:r/>
            <w:r>
              <w:rPr>
                <w:sz w:val="19"/>
              </w:rPr>
              <w:t>Fare premium not reimbursable</w:t>
            </w:r>
          </w:p>
        </w:tc>
      </w:tr>
      <w:tr>
        <w:tc>
          <w:tcPr>
            <w:tcW w:type="dxa" w:w="648"/>
          </w:tcPr>
          <w:p>
            <w:r/>
            <w:r>
              <w:rPr>
                <w:sz w:val="19"/>
              </w:rPr>
              <w:t>D-4</w:t>
            </w:r>
          </w:p>
        </w:tc>
        <w:tc>
          <w:tcPr>
            <w:tcW w:type="dxa" w:w="1152"/>
          </w:tcPr>
          <w:p>
            <w:r/>
            <w:r>
              <w:rPr>
                <w:sz w:val="19"/>
              </w:rPr>
              <w:t>Expenses</w:t>
            </w:r>
          </w:p>
        </w:tc>
        <w:tc>
          <w:tcPr>
            <w:tcW w:type="dxa" w:w="4176"/>
          </w:tcPr>
          <w:p>
            <w:r/>
            <w:r>
              <w:rPr>
                <w:sz w:val="19"/>
              </w:rPr>
              <w:t>Mock trial / jury consulting $95,000; vendor already "identified" without GC approval</w:t>
            </w:r>
          </w:p>
        </w:tc>
        <w:tc>
          <w:tcPr>
            <w:tcW w:type="dxa" w:w="1296"/>
          </w:tcPr>
          <w:p>
            <w:r/>
            <w:r>
              <w:rPr>
                <w:sz w:val="19"/>
              </w:rPr>
              <w:t>§7.7</w:t>
            </w:r>
          </w:p>
        </w:tc>
        <w:tc>
          <w:tcPr>
            <w:tcW w:type="dxa" w:w="1008"/>
            <w:shd w:val="clear" w:color="auto" w:fill="FFF2CC"/>
          </w:tcPr>
          <w:p>
            <w:r/>
            <w:r>
              <w:rPr>
                <w:sz w:val="19"/>
              </w:rPr>
              <w:t>Medium</w:t>
            </w:r>
          </w:p>
        </w:tc>
        <w:tc>
          <w:tcPr>
            <w:tcW w:type="dxa" w:w="1728"/>
          </w:tcPr>
          <w:p>
            <w:r/>
            <w:r>
              <w:rPr>
                <w:sz w:val="19"/>
              </w:rPr>
              <w:t>$95,000 pending approval</w:t>
            </w:r>
          </w:p>
        </w:tc>
      </w:tr>
      <w:tr>
        <w:tc>
          <w:tcPr>
            <w:tcW w:type="dxa" w:w="648"/>
          </w:tcPr>
          <w:p>
            <w:r/>
            <w:r>
              <w:rPr>
                <w:sz w:val="19"/>
              </w:rPr>
              <w:t>D-5</w:t>
            </w:r>
          </w:p>
        </w:tc>
        <w:tc>
          <w:tcPr>
            <w:tcW w:type="dxa" w:w="1152"/>
          </w:tcPr>
          <w:p>
            <w:r/>
            <w:r>
              <w:rPr>
                <w:sz w:val="19"/>
              </w:rPr>
              <w:t>Expenses</w:t>
            </w:r>
          </w:p>
        </w:tc>
        <w:tc>
          <w:tcPr>
            <w:tcW w:type="dxa" w:w="4176"/>
          </w:tcPr>
          <w:p>
            <w:r/>
            <w:r>
              <w:rPr>
                <w:sz w:val="19"/>
              </w:rPr>
              <w:t>Internal copying/printing $15,000 budgeted</w:t>
            </w:r>
          </w:p>
        </w:tc>
        <w:tc>
          <w:tcPr>
            <w:tcW w:type="dxa" w:w="1296"/>
          </w:tcPr>
          <w:p>
            <w:r/>
            <w:r>
              <w:rPr>
                <w:sz w:val="19"/>
              </w:rPr>
              <w:t>§7.5, §7.8(a)</w:t>
            </w:r>
          </w:p>
        </w:tc>
        <w:tc>
          <w:tcPr>
            <w:tcW w:type="dxa" w:w="1008"/>
            <w:shd w:val="clear" w:color="auto" w:fill="F4CCCC"/>
          </w:tcPr>
          <w:p>
            <w:r/>
            <w:r>
              <w:rPr>
                <w:sz w:val="19"/>
              </w:rPr>
              <w:t>High</w:t>
            </w:r>
          </w:p>
        </w:tc>
        <w:tc>
          <w:tcPr>
            <w:tcW w:type="dxa" w:w="1728"/>
          </w:tcPr>
          <w:p>
            <w:r/>
            <w:r>
              <w:rPr>
                <w:sz w:val="19"/>
              </w:rPr>
              <w:t>Remove $15,000</w:t>
            </w:r>
          </w:p>
        </w:tc>
      </w:tr>
      <w:tr>
        <w:tc>
          <w:tcPr>
            <w:tcW w:type="dxa" w:w="648"/>
          </w:tcPr>
          <w:p>
            <w:r/>
            <w:r>
              <w:rPr>
                <w:sz w:val="19"/>
              </w:rPr>
              <w:t>D-6</w:t>
            </w:r>
          </w:p>
        </w:tc>
        <w:tc>
          <w:tcPr>
            <w:tcW w:type="dxa" w:w="1152"/>
          </w:tcPr>
          <w:p>
            <w:r/>
            <w:r>
              <w:rPr>
                <w:sz w:val="19"/>
              </w:rPr>
              <w:t>Expenses</w:t>
            </w:r>
          </w:p>
        </w:tc>
        <w:tc>
          <w:tcPr>
            <w:tcW w:type="dxa" w:w="4176"/>
          </w:tcPr>
          <w:p>
            <w:r/>
            <w:r>
              <w:rPr>
                <w:sz w:val="19"/>
              </w:rPr>
              <w:t>Court reporter ($42,000) appears to cover fact depositions only; 2–4 expert depositions possibly unbudgeted</w:t>
            </w:r>
          </w:p>
        </w:tc>
        <w:tc>
          <w:tcPr>
            <w:tcW w:type="dxa" w:w="1296"/>
          </w:tcPr>
          <w:p>
            <w:r/>
            <w:r>
              <w:rPr>
                <w:sz w:val="19"/>
              </w:rPr>
              <w:t>§5.2(c),(d)</w:t>
            </w:r>
          </w:p>
        </w:tc>
        <w:tc>
          <w:tcPr>
            <w:tcW w:type="dxa" w:w="1008"/>
            <w:shd w:val="clear" w:color="auto" w:fill="D9EAD3"/>
          </w:tcPr>
          <w:p>
            <w:r/>
            <w:r>
              <w:rPr>
                <w:sz w:val="19"/>
              </w:rPr>
              <w:t>Low</w:t>
            </w:r>
          </w:p>
        </w:tc>
        <w:tc>
          <w:tcPr>
            <w:tcW w:type="dxa" w:w="1728"/>
          </w:tcPr>
          <w:p>
            <w:r/>
            <w:r>
              <w:rPr>
                <w:sz w:val="19"/>
              </w:rPr>
              <w:t>Clarify</w:t>
            </w:r>
          </w:p>
        </w:tc>
      </w:tr>
      <w:tr>
        <w:tc>
          <w:tcPr>
            <w:tcW w:type="dxa" w:w="648"/>
          </w:tcPr>
          <w:p>
            <w:r/>
            <w:r>
              <w:rPr>
                <w:sz w:val="19"/>
              </w:rPr>
              <w:t>E-1</w:t>
            </w:r>
          </w:p>
        </w:tc>
        <w:tc>
          <w:tcPr>
            <w:tcW w:type="dxa" w:w="1152"/>
          </w:tcPr>
          <w:p>
            <w:r/>
            <w:r>
              <w:rPr>
                <w:sz w:val="19"/>
              </w:rPr>
              <w:t>Billing Terms</w:t>
            </w:r>
          </w:p>
        </w:tc>
        <w:tc>
          <w:tcPr>
            <w:tcW w:type="dxa" w:w="4176"/>
          </w:tcPr>
          <w:p>
            <w:r/>
            <w:r>
              <w:rPr>
                <w:sz w:val="19"/>
              </w:rPr>
              <w:t>Payment "net 45 from submission" and submission "through Lexera" misstate OCG terms (receipt of compliant invoice; LEDES 1998B via e-billing platform)</w:t>
            </w:r>
          </w:p>
        </w:tc>
        <w:tc>
          <w:tcPr>
            <w:tcW w:type="dxa" w:w="1296"/>
          </w:tcPr>
          <w:p>
            <w:r/>
            <w:r>
              <w:rPr>
                <w:sz w:val="19"/>
              </w:rPr>
              <w:t>§6.1, §8.1, §8.3</w:t>
            </w:r>
          </w:p>
        </w:tc>
        <w:tc>
          <w:tcPr>
            <w:tcW w:type="dxa" w:w="1008"/>
            <w:shd w:val="clear" w:color="auto" w:fill="FFF2CC"/>
          </w:tcPr>
          <w:p>
            <w:r/>
            <w:r>
              <w:rPr>
                <w:sz w:val="19"/>
              </w:rPr>
              <w:t>Medium</w:t>
            </w:r>
          </w:p>
        </w:tc>
        <w:tc>
          <w:tcPr>
            <w:tcW w:type="dxa" w:w="1728"/>
          </w:tcPr>
          <w:p>
            <w:r/>
            <w:r>
              <w:rPr>
                <w:sz w:val="19"/>
              </w:rPr>
              <w:t>—</w:t>
            </w:r>
          </w:p>
        </w:tc>
      </w:tr>
      <w:tr>
        <w:tc>
          <w:tcPr>
            <w:tcW w:type="dxa" w:w="648"/>
          </w:tcPr>
          <w:p>
            <w:r/>
            <w:r>
              <w:rPr>
                <w:sz w:val="19"/>
              </w:rPr>
              <w:t>E-2</w:t>
            </w:r>
          </w:p>
        </w:tc>
        <w:tc>
          <w:tcPr>
            <w:tcW w:type="dxa" w:w="1152"/>
          </w:tcPr>
          <w:p>
            <w:r/>
            <w:r>
              <w:rPr>
                <w:sz w:val="19"/>
              </w:rPr>
              <w:t>Billing Terms</w:t>
            </w:r>
          </w:p>
        </w:tc>
        <w:tc>
          <w:tcPr>
            <w:tcW w:type="dxa" w:w="4176"/>
          </w:tcPr>
          <w:p>
            <w:r/>
            <w:r>
              <w:rPr>
                <w:sz w:val="19"/>
              </w:rPr>
              <w:t>Firm proposes to administer timekeeper/expense approvals "in coordination with Lexera"; the GC alone holds approval authority</w:t>
            </w:r>
          </w:p>
        </w:tc>
        <w:tc>
          <w:tcPr>
            <w:tcW w:type="dxa" w:w="1296"/>
          </w:tcPr>
          <w:p>
            <w:r/>
            <w:r>
              <w:rPr>
                <w:sz w:val="19"/>
              </w:rPr>
              <w:t>§1.2, §1.3, §8.2</w:t>
            </w:r>
          </w:p>
        </w:tc>
        <w:tc>
          <w:tcPr>
            <w:tcW w:type="dxa" w:w="1008"/>
            <w:shd w:val="clear" w:color="auto" w:fill="FFF2CC"/>
          </w:tcPr>
          <w:p>
            <w:r/>
            <w:r>
              <w:rPr>
                <w:sz w:val="19"/>
              </w:rPr>
              <w:t>Medium</w:t>
            </w:r>
          </w:p>
        </w:tc>
        <w:tc>
          <w:tcPr>
            <w:tcW w:type="dxa" w:w="1728"/>
          </w:tcPr>
          <w:p>
            <w:r/>
            <w:r>
              <w:rPr>
                <w:sz w:val="19"/>
              </w:rPr>
              <w:t>—</w:t>
            </w:r>
          </w:p>
        </w:tc>
      </w:tr>
      <w:tr>
        <w:tc>
          <w:tcPr>
            <w:tcW w:type="dxa" w:w="648"/>
          </w:tcPr>
          <w:p>
            <w:r/>
            <w:r>
              <w:rPr>
                <w:sz w:val="19"/>
              </w:rPr>
              <w:t>E-3</w:t>
            </w:r>
          </w:p>
        </w:tc>
        <w:tc>
          <w:tcPr>
            <w:tcW w:type="dxa" w:w="1152"/>
          </w:tcPr>
          <w:p>
            <w:r/>
            <w:r>
              <w:rPr>
                <w:sz w:val="19"/>
              </w:rPr>
              <w:t>Billing Terms</w:t>
            </w:r>
          </w:p>
        </w:tc>
        <w:tc>
          <w:tcPr>
            <w:tcW w:type="dxa" w:w="4176"/>
          </w:tcPr>
          <w:p>
            <w:r/>
            <w:r>
              <w:rPr>
                <w:sz w:val="19"/>
              </w:rPr>
              <w:t>Conflicts certification references firm policy only, not OCG; qualified "not aware"</w:t>
            </w:r>
          </w:p>
        </w:tc>
        <w:tc>
          <w:tcPr>
            <w:tcW w:type="dxa" w:w="1296"/>
          </w:tcPr>
          <w:p>
            <w:r/>
            <w:r>
              <w:rPr>
                <w:sz w:val="19"/>
              </w:rPr>
              <w:t>§2.2</w:t>
            </w:r>
          </w:p>
        </w:tc>
        <w:tc>
          <w:tcPr>
            <w:tcW w:type="dxa" w:w="1008"/>
            <w:shd w:val="clear" w:color="auto" w:fill="D9EAD3"/>
          </w:tcPr>
          <w:p>
            <w:r/>
            <w:r>
              <w:rPr>
                <w:sz w:val="19"/>
              </w:rPr>
              <w:t>Low</w:t>
            </w:r>
          </w:p>
        </w:tc>
        <w:tc>
          <w:tcPr>
            <w:tcW w:type="dxa" w:w="1728"/>
          </w:tcPr>
          <w:p>
            <w:r/>
            <w:r>
              <w:rPr>
                <w:sz w:val="19"/>
              </w:rPr>
              <w:t>—</w:t>
            </w:r>
          </w:p>
        </w:tc>
      </w:tr>
      <w:tr>
        <w:tc>
          <w:tcPr>
            <w:tcW w:type="dxa" w:w="648"/>
          </w:tcPr>
          <w:p>
            <w:r/>
            <w:r>
              <w:rPr>
                <w:sz w:val="19"/>
              </w:rPr>
              <w:t>F-1</w:t>
            </w:r>
          </w:p>
        </w:tc>
        <w:tc>
          <w:tcPr>
            <w:tcW w:type="dxa" w:w="1152"/>
          </w:tcPr>
          <w:p>
            <w:r/>
            <w:r>
              <w:rPr>
                <w:sz w:val="19"/>
              </w:rPr>
              <w:t>Historical</w:t>
            </w:r>
          </w:p>
        </w:tc>
        <w:tc>
          <w:tcPr>
            <w:tcW w:type="dxa" w:w="4176"/>
          </w:tcPr>
          <w:p>
            <w:r/>
            <w:r>
              <w:rPr>
                <w:sz w:val="19"/>
              </w:rPr>
              <w:t>2024 gross billings ($518,000) exceeded the $485,000 approved budget; "under budget" narrative relies on netting Lexera reductions, and budget itself shown "net" of fictitious $55,150 audit reduction</w:t>
            </w:r>
          </w:p>
        </w:tc>
        <w:tc>
          <w:tcPr>
            <w:tcW w:type="dxa" w:w="1296"/>
          </w:tcPr>
          <w:p>
            <w:r/>
            <w:r>
              <w:rPr>
                <w:sz w:val="19"/>
              </w:rPr>
              <w:t>§5.3, §9.1(c)</w:t>
            </w:r>
          </w:p>
        </w:tc>
        <w:tc>
          <w:tcPr>
            <w:tcW w:type="dxa" w:w="1008"/>
            <w:shd w:val="clear" w:color="auto" w:fill="FFF2CC"/>
          </w:tcPr>
          <w:p>
            <w:r/>
            <w:r>
              <w:rPr>
                <w:sz w:val="19"/>
              </w:rPr>
              <w:t>Medium</w:t>
            </w:r>
          </w:p>
        </w:tc>
        <w:tc>
          <w:tcPr>
            <w:tcW w:type="dxa" w:w="1728"/>
          </w:tcPr>
          <w:p>
            <w:r/>
            <w:r>
              <w:rPr>
                <w:sz w:val="19"/>
              </w:rPr>
              <w:t>$33,000 gross overage</w:t>
            </w:r>
          </w:p>
        </w:tc>
      </w:tr>
      <w:tr>
        <w:tc>
          <w:tcPr>
            <w:tcW w:type="dxa" w:w="648"/>
          </w:tcPr>
          <w:p>
            <w:r/>
            <w:r>
              <w:rPr>
                <w:sz w:val="19"/>
              </w:rPr>
              <w:t>F-2</w:t>
            </w:r>
          </w:p>
        </w:tc>
        <w:tc>
          <w:tcPr>
            <w:tcW w:type="dxa" w:w="1152"/>
          </w:tcPr>
          <w:p>
            <w:r/>
            <w:r>
              <w:rPr>
                <w:sz w:val="19"/>
              </w:rPr>
              <w:t>Historical</w:t>
            </w:r>
          </w:p>
        </w:tc>
        <w:tc>
          <w:tcPr>
            <w:tcW w:type="dxa" w:w="4176"/>
          </w:tcPr>
          <w:p>
            <w:r/>
            <w:r>
              <w:rPr>
                <w:sz w:val="19"/>
              </w:rPr>
              <w:t>2024 phase detail does not tie: parent phases total 788 hrs / $348,150 vs. timekeeper total 988 hrs / $462,350 (≈200 hrs / $114,200 unallocated)</w:t>
            </w:r>
          </w:p>
        </w:tc>
        <w:tc>
          <w:tcPr>
            <w:tcW w:type="dxa" w:w="1296"/>
          </w:tcPr>
          <w:p>
            <w:r/>
            <w:r>
              <w:rPr>
                <w:sz w:val="19"/>
              </w:rPr>
              <w:t>§5.2, §6.2</w:t>
            </w:r>
          </w:p>
        </w:tc>
        <w:tc>
          <w:tcPr>
            <w:tcW w:type="dxa" w:w="1008"/>
            <w:shd w:val="clear" w:color="auto" w:fill="FFF2CC"/>
          </w:tcPr>
          <w:p>
            <w:r/>
            <w:r>
              <w:rPr>
                <w:sz w:val="19"/>
              </w:rPr>
              <w:t>Medium</w:t>
            </w:r>
          </w:p>
        </w:tc>
        <w:tc>
          <w:tcPr>
            <w:tcW w:type="dxa" w:w="1728"/>
          </w:tcPr>
          <w:p>
            <w:r/>
            <w:r>
              <w:rPr>
                <w:sz w:val="19"/>
              </w:rPr>
              <w:t>Integrity concern</w:t>
            </w:r>
          </w:p>
        </w:tc>
      </w:tr>
      <w:tr>
        <w:tc>
          <w:tcPr>
            <w:tcW w:type="dxa" w:w="648"/>
          </w:tcPr>
          <w:p>
            <w:r/>
            <w:r>
              <w:rPr>
                <w:sz w:val="19"/>
              </w:rPr>
              <w:t>F-3</w:t>
            </w:r>
          </w:p>
        </w:tc>
        <w:tc>
          <w:tcPr>
            <w:tcW w:type="dxa" w:w="1152"/>
          </w:tcPr>
          <w:p>
            <w:r/>
            <w:r>
              <w:rPr>
                <w:sz w:val="19"/>
              </w:rPr>
              <w:t>Historical</w:t>
            </w:r>
          </w:p>
        </w:tc>
        <w:tc>
          <w:tcPr>
            <w:tcW w:type="dxa" w:w="4176"/>
          </w:tcPr>
          <w:p>
            <w:r/>
            <w:r>
              <w:rPr>
                <w:sz w:val="19"/>
              </w:rPr>
              <w:t>Lexera cut $55,650 (10.7% of gross) in 2024, incl. $22,400 block billing and $7,100 administrative work; this conflicts with the firm's compliance representations</w:t>
            </w:r>
          </w:p>
        </w:tc>
        <w:tc>
          <w:tcPr>
            <w:tcW w:type="dxa" w:w="1296"/>
          </w:tcPr>
          <w:p>
            <w:r/>
            <w:r>
              <w:rPr>
                <w:sz w:val="19"/>
              </w:rPr>
              <w:t>§6.3, §6.4</w:t>
            </w:r>
          </w:p>
        </w:tc>
        <w:tc>
          <w:tcPr>
            <w:tcW w:type="dxa" w:w="1008"/>
            <w:shd w:val="clear" w:color="auto" w:fill="FFF2CC"/>
          </w:tcPr>
          <w:p>
            <w:r/>
            <w:r>
              <w:rPr>
                <w:sz w:val="19"/>
              </w:rPr>
              <w:t>Medium</w:t>
            </w:r>
          </w:p>
        </w:tc>
        <w:tc>
          <w:tcPr>
            <w:tcW w:type="dxa" w:w="1728"/>
          </w:tcPr>
          <w:p>
            <w:r/>
            <w:r>
              <w:rPr>
                <w:sz w:val="19"/>
              </w:rPr>
              <w:t>Heightened audit recommended</w:t>
            </w:r>
          </w:p>
        </w:tc>
      </w:tr>
    </w:tbl>
    <w:p/>
    <w:p>
      <w:pPr>
        <w:pStyle w:val="Heading1"/>
      </w:pPr>
      <w:r>
        <w:t>3. Financial Impact</w:t>
      </w:r>
    </w:p>
    <w:p>
      <w:r>
        <w:rPr>
          <w:b w:val="0"/>
          <w:i w:val="0"/>
        </w:rPr>
        <w:t>Table 3.1 re-prices the firm's own Section 7 phase-by-timekeeper hours. Scenario A: rates set at the lower of the OCG cap or a 3% increase over the 2024 rate, assuming the GC waives the late notice. Scenario B: the late notice is enforced and 2024 rates continue (Hu at the $200 cap, subject to her approval).</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872"/>
            <w:shd w:val="clear" w:color="auto" w:fill="D9E2F3"/>
          </w:tcPr>
          <w:p>
            <w:r/>
            <w:r>
              <w:rPr>
                <w:b/>
                <w:sz w:val="19"/>
              </w:rPr>
              <w:t>Phase</w:t>
            </w:r>
          </w:p>
        </w:tc>
        <w:tc>
          <w:tcPr>
            <w:tcW w:type="dxa" w:w="2016"/>
            <w:shd w:val="clear" w:color="auto" w:fill="D9E2F3"/>
          </w:tcPr>
          <w:p>
            <w:r/>
            <w:r>
              <w:rPr>
                <w:b/>
                <w:sz w:val="19"/>
              </w:rPr>
              <w:t>Proposal (phase table)</w:t>
            </w:r>
          </w:p>
        </w:tc>
        <w:tc>
          <w:tcPr>
            <w:tcW w:type="dxa" w:w="2016"/>
            <w:shd w:val="clear" w:color="auto" w:fill="D9E2F3"/>
          </w:tcPr>
          <w:p>
            <w:r/>
            <w:r>
              <w:rPr>
                <w:b/>
                <w:sz w:val="19"/>
              </w:rPr>
              <w:t>Proposal (hrs × rates)</w:t>
            </w:r>
          </w:p>
        </w:tc>
        <w:tc>
          <w:tcPr>
            <w:tcW w:type="dxa" w:w="1872"/>
            <w:shd w:val="clear" w:color="auto" w:fill="D9E2F3"/>
          </w:tcPr>
          <w:p>
            <w:r/>
            <w:r>
              <w:rPr>
                <w:b/>
                <w:sz w:val="19"/>
              </w:rPr>
              <w:t>Scenario A</w:t>
            </w:r>
          </w:p>
        </w:tc>
        <w:tc>
          <w:tcPr>
            <w:tcW w:type="dxa" w:w="1872"/>
            <w:shd w:val="clear" w:color="auto" w:fill="D9E2F3"/>
          </w:tcPr>
          <w:p>
            <w:r/>
            <w:r>
              <w:rPr>
                <w:b/>
                <w:sz w:val="19"/>
              </w:rPr>
              <w:t>Scenario B</w:t>
            </w:r>
          </w:p>
        </w:tc>
      </w:tr>
      <w:tr>
        <w:tc>
          <w:tcPr>
            <w:tcW w:type="dxa" w:w="1872"/>
          </w:tcPr>
          <w:p>
            <w:r/>
            <w:r>
              <w:rPr>
                <w:sz w:val="19"/>
              </w:rPr>
              <w:t>L200</w:t>
            </w:r>
          </w:p>
        </w:tc>
        <w:tc>
          <w:tcPr>
            <w:tcW w:type="dxa" w:w="2016"/>
          </w:tcPr>
          <w:p>
            <w:r/>
            <w:r>
              <w:rPr>
                <w:sz w:val="19"/>
              </w:rPr>
              <w:t>$148,800</w:t>
            </w:r>
          </w:p>
        </w:tc>
        <w:tc>
          <w:tcPr>
            <w:tcW w:type="dxa" w:w="2016"/>
          </w:tcPr>
          <w:p>
            <w:r/>
            <w:r>
              <w:rPr>
                <w:sz w:val="19"/>
              </w:rPr>
              <w:t>$150,000</w:t>
            </w:r>
          </w:p>
        </w:tc>
        <w:tc>
          <w:tcPr>
            <w:tcW w:type="dxa" w:w="1872"/>
          </w:tcPr>
          <w:p>
            <w:r/>
            <w:r>
              <w:rPr>
                <w:sz w:val="19"/>
              </w:rPr>
              <w:t>$145,032</w:t>
            </w:r>
          </w:p>
        </w:tc>
        <w:tc>
          <w:tcPr>
            <w:tcW w:type="dxa" w:w="1872"/>
          </w:tcPr>
          <w:p>
            <w:r/>
            <w:r>
              <w:rPr>
                <w:sz w:val="19"/>
              </w:rPr>
              <w:t>$143,400</w:t>
            </w:r>
          </w:p>
        </w:tc>
      </w:tr>
      <w:tr>
        <w:tc>
          <w:tcPr>
            <w:tcW w:type="dxa" w:w="1872"/>
          </w:tcPr>
          <w:p>
            <w:r/>
            <w:r>
              <w:rPr>
                <w:sz w:val="19"/>
              </w:rPr>
              <w:t>L300</w:t>
            </w:r>
          </w:p>
        </w:tc>
        <w:tc>
          <w:tcPr>
            <w:tcW w:type="dxa" w:w="2016"/>
          </w:tcPr>
          <w:p>
            <w:r/>
            <w:r>
              <w:rPr>
                <w:sz w:val="19"/>
              </w:rPr>
              <w:t>$589,250</w:t>
            </w:r>
          </w:p>
        </w:tc>
        <w:tc>
          <w:tcPr>
            <w:tcW w:type="dxa" w:w="2016"/>
          </w:tcPr>
          <w:p>
            <w:r/>
            <w:r>
              <w:rPr>
                <w:sz w:val="19"/>
              </w:rPr>
              <w:t>$646,250</w:t>
            </w:r>
          </w:p>
        </w:tc>
        <w:tc>
          <w:tcPr>
            <w:tcW w:type="dxa" w:w="1872"/>
          </w:tcPr>
          <w:p>
            <w:r/>
            <w:r>
              <w:rPr>
                <w:sz w:val="19"/>
              </w:rPr>
              <w:t>$623,629</w:t>
            </w:r>
          </w:p>
        </w:tc>
        <w:tc>
          <w:tcPr>
            <w:tcW w:type="dxa" w:w="1872"/>
          </w:tcPr>
          <w:p>
            <w:r/>
            <w:r>
              <w:rPr>
                <w:sz w:val="19"/>
              </w:rPr>
              <w:t>$616,300</w:t>
            </w:r>
          </w:p>
        </w:tc>
      </w:tr>
      <w:tr>
        <w:tc>
          <w:tcPr>
            <w:tcW w:type="dxa" w:w="1872"/>
          </w:tcPr>
          <w:p>
            <w:r/>
            <w:r>
              <w:rPr>
                <w:sz w:val="19"/>
              </w:rPr>
              <w:t>L400</w:t>
            </w:r>
          </w:p>
        </w:tc>
        <w:tc>
          <w:tcPr>
            <w:tcW w:type="dxa" w:w="2016"/>
          </w:tcPr>
          <w:p>
            <w:r/>
            <w:r>
              <w:rPr>
                <w:sz w:val="19"/>
              </w:rPr>
              <w:t>$266,800</w:t>
            </w:r>
          </w:p>
        </w:tc>
        <w:tc>
          <w:tcPr>
            <w:tcW w:type="dxa" w:w="2016"/>
          </w:tcPr>
          <w:p>
            <w:r/>
            <w:r>
              <w:rPr>
                <w:sz w:val="19"/>
              </w:rPr>
              <w:t>$318,000</w:t>
            </w:r>
          </w:p>
        </w:tc>
        <w:tc>
          <w:tcPr>
            <w:tcW w:type="dxa" w:w="1872"/>
          </w:tcPr>
          <w:p>
            <w:r/>
            <w:r>
              <w:rPr>
                <w:sz w:val="19"/>
              </w:rPr>
              <w:t>$307,870</w:t>
            </w:r>
          </w:p>
        </w:tc>
        <w:tc>
          <w:tcPr>
            <w:tcW w:type="dxa" w:w="1872"/>
          </w:tcPr>
          <w:p>
            <w:r/>
            <w:r>
              <w:rPr>
                <w:sz w:val="19"/>
              </w:rPr>
              <w:t>$305,500</w:t>
            </w:r>
          </w:p>
        </w:tc>
      </w:tr>
      <w:tr>
        <w:tc>
          <w:tcPr>
            <w:tcW w:type="dxa" w:w="1872"/>
          </w:tcPr>
          <w:p>
            <w:r/>
            <w:r>
              <w:rPr>
                <w:sz w:val="19"/>
              </w:rPr>
              <w:t>L500</w:t>
            </w:r>
          </w:p>
        </w:tc>
        <w:tc>
          <w:tcPr>
            <w:tcW w:type="dxa" w:w="2016"/>
          </w:tcPr>
          <w:p>
            <w:r/>
            <w:r>
              <w:rPr>
                <w:sz w:val="19"/>
              </w:rPr>
              <w:t>$348,100</w:t>
            </w:r>
          </w:p>
        </w:tc>
        <w:tc>
          <w:tcPr>
            <w:tcW w:type="dxa" w:w="2016"/>
          </w:tcPr>
          <w:p>
            <w:r/>
            <w:r>
              <w:rPr>
                <w:sz w:val="19"/>
              </w:rPr>
              <w:t>$350,250</w:t>
            </w:r>
          </w:p>
        </w:tc>
        <w:tc>
          <w:tcPr>
            <w:tcW w:type="dxa" w:w="1872"/>
          </w:tcPr>
          <w:p>
            <w:r/>
            <w:r>
              <w:rPr>
                <w:sz w:val="19"/>
              </w:rPr>
              <w:t>$337,286</w:t>
            </w:r>
          </w:p>
        </w:tc>
        <w:tc>
          <w:tcPr>
            <w:tcW w:type="dxa" w:w="1872"/>
          </w:tcPr>
          <w:p>
            <w:r/>
            <w:r>
              <w:rPr>
                <w:sz w:val="19"/>
              </w:rPr>
              <w:t>$334,700</w:t>
            </w:r>
          </w:p>
        </w:tc>
      </w:tr>
      <w:tr>
        <w:tc>
          <w:tcPr>
            <w:tcW w:type="dxa" w:w="1872"/>
          </w:tcPr>
          <w:p>
            <w:r/>
            <w:r>
              <w:rPr>
                <w:sz w:val="19"/>
              </w:rPr>
              <w:t>L600</w:t>
            </w:r>
          </w:p>
        </w:tc>
        <w:tc>
          <w:tcPr>
            <w:tcW w:type="dxa" w:w="2016"/>
          </w:tcPr>
          <w:p>
            <w:r/>
            <w:r>
              <w:rPr>
                <w:sz w:val="19"/>
              </w:rPr>
              <w:t>$264,000</w:t>
            </w:r>
          </w:p>
        </w:tc>
        <w:tc>
          <w:tcPr>
            <w:tcW w:type="dxa" w:w="2016"/>
          </w:tcPr>
          <w:p>
            <w:r/>
            <w:r>
              <w:rPr>
                <w:sz w:val="19"/>
              </w:rPr>
              <w:t>$265,500</w:t>
            </w:r>
          </w:p>
        </w:tc>
        <w:tc>
          <w:tcPr>
            <w:tcW w:type="dxa" w:w="1872"/>
          </w:tcPr>
          <w:p>
            <w:r/>
            <w:r>
              <w:rPr>
                <w:sz w:val="19"/>
              </w:rPr>
              <w:t>$256,785</w:t>
            </w:r>
          </w:p>
        </w:tc>
        <w:tc>
          <w:tcPr>
            <w:tcW w:type="dxa" w:w="1872"/>
          </w:tcPr>
          <w:p>
            <w:r/>
            <w:r>
              <w:rPr>
                <w:sz w:val="19"/>
              </w:rPr>
              <w:t>$255,000</w:t>
            </w:r>
          </w:p>
        </w:tc>
      </w:tr>
      <w:tr>
        <w:tc>
          <w:tcPr>
            <w:tcW w:type="dxa" w:w="1872"/>
          </w:tcPr>
          <w:p>
            <w:r/>
            <w:r>
              <w:rPr>
                <w:sz w:val="19"/>
              </w:rPr>
              <w:t>L700 (remove)</w:t>
            </w:r>
          </w:p>
        </w:tc>
        <w:tc>
          <w:tcPr>
            <w:tcW w:type="dxa" w:w="2016"/>
          </w:tcPr>
          <w:p>
            <w:r/>
            <w:r>
              <w:rPr>
                <w:sz w:val="19"/>
              </w:rPr>
              <w:t>$92,000</w:t>
            </w:r>
          </w:p>
        </w:tc>
        <w:tc>
          <w:tcPr>
            <w:tcW w:type="dxa" w:w="2016"/>
          </w:tcPr>
          <w:p>
            <w:r/>
            <w:r>
              <w:rPr>
                <w:sz w:val="19"/>
              </w:rPr>
              <w:t>$95,000</w:t>
            </w:r>
          </w:p>
        </w:tc>
        <w:tc>
          <w:tcPr>
            <w:tcW w:type="dxa" w:w="1872"/>
          </w:tcPr>
          <w:p>
            <w:r/>
            <w:r>
              <w:rPr>
                <w:sz w:val="19"/>
              </w:rPr>
              <w:t>$0</w:t>
            </w:r>
          </w:p>
        </w:tc>
        <w:tc>
          <w:tcPr>
            <w:tcW w:type="dxa" w:w="1872"/>
          </w:tcPr>
          <w:p>
            <w:r/>
            <w:r>
              <w:rPr>
                <w:sz w:val="19"/>
              </w:rPr>
              <w:t>$0</w:t>
            </w:r>
          </w:p>
        </w:tc>
      </w:tr>
      <w:tr>
        <w:tc>
          <w:tcPr>
            <w:tcW w:type="dxa" w:w="1872"/>
          </w:tcPr>
          <w:p>
            <w:r/>
            <w:r>
              <w:rPr>
                <w:b/>
                <w:sz w:val="19"/>
              </w:rPr>
              <w:t>Total Fees</w:t>
            </w:r>
          </w:p>
        </w:tc>
        <w:tc>
          <w:tcPr>
            <w:tcW w:type="dxa" w:w="2016"/>
          </w:tcPr>
          <w:p>
            <w:r/>
            <w:r>
              <w:rPr>
                <w:b/>
                <w:sz w:val="19"/>
              </w:rPr>
              <w:t>$1,708,950</w:t>
            </w:r>
          </w:p>
        </w:tc>
        <w:tc>
          <w:tcPr>
            <w:tcW w:type="dxa" w:w="2016"/>
          </w:tcPr>
          <w:p>
            <w:r/>
            <w:r>
              <w:rPr>
                <w:b/>
                <w:sz w:val="19"/>
              </w:rPr>
              <w:t>$1,825,000</w:t>
            </w:r>
          </w:p>
        </w:tc>
        <w:tc>
          <w:tcPr>
            <w:tcW w:type="dxa" w:w="1872"/>
          </w:tcPr>
          <w:p>
            <w:r/>
            <w:r>
              <w:rPr>
                <w:b/>
                <w:sz w:val="19"/>
              </w:rPr>
              <w:t>$1,670,602</w:t>
            </w:r>
          </w:p>
        </w:tc>
        <w:tc>
          <w:tcPr>
            <w:tcW w:type="dxa" w:w="1872"/>
          </w:tcPr>
          <w:p>
            <w:r/>
            <w:r>
              <w:rPr>
                <w:b/>
                <w:sz w:val="19"/>
              </w:rPr>
              <w:t>$1,654,900</w:t>
            </w:r>
          </w:p>
        </w:tc>
      </w:tr>
    </w:tbl>
    <w:p/>
    <w:p>
      <w:r>
        <w:rPr>
          <w:b/>
          <w:i w:val="0"/>
        </w:rPr>
        <w:t>Table 3.2 — Rates</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2160"/>
            <w:shd w:val="clear" w:color="auto" w:fill="D9E2F3"/>
          </w:tcPr>
          <w:p>
            <w:r/>
            <w:r>
              <w:rPr>
                <w:b/>
                <w:sz w:val="19"/>
              </w:rPr>
              <w:t>Timekeeper</w:t>
            </w:r>
          </w:p>
        </w:tc>
        <w:tc>
          <w:tcPr>
            <w:tcW w:type="dxa" w:w="1296"/>
            <w:shd w:val="clear" w:color="auto" w:fill="D9E2F3"/>
          </w:tcPr>
          <w:p>
            <w:r/>
            <w:r>
              <w:rPr>
                <w:b/>
                <w:sz w:val="19"/>
              </w:rPr>
              <w:t>2024 Approved</w:t>
            </w:r>
          </w:p>
        </w:tc>
        <w:tc>
          <w:tcPr>
            <w:tcW w:type="dxa" w:w="1296"/>
            <w:shd w:val="clear" w:color="auto" w:fill="D9E2F3"/>
          </w:tcPr>
          <w:p>
            <w:r/>
            <w:r>
              <w:rPr>
                <w:b/>
                <w:sz w:val="19"/>
              </w:rPr>
              <w:t>Proposed 2025</w:t>
            </w:r>
          </w:p>
        </w:tc>
        <w:tc>
          <w:tcPr>
            <w:tcW w:type="dxa" w:w="1008"/>
            <w:shd w:val="clear" w:color="auto" w:fill="D9E2F3"/>
          </w:tcPr>
          <w:p>
            <w:r/>
            <w:r>
              <w:rPr>
                <w:b/>
                <w:sz w:val="19"/>
              </w:rPr>
              <w:t>OCG Cap</w:t>
            </w:r>
          </w:p>
        </w:tc>
        <w:tc>
          <w:tcPr>
            <w:tcW w:type="dxa" w:w="1584"/>
            <w:shd w:val="clear" w:color="auto" w:fill="D9E2F3"/>
          </w:tcPr>
          <w:p>
            <w:r/>
            <w:r>
              <w:rPr>
                <w:b/>
                <w:sz w:val="19"/>
              </w:rPr>
              <w:t>Max Permitted (A)</w:t>
            </w:r>
          </w:p>
        </w:tc>
        <w:tc>
          <w:tcPr>
            <w:tcW w:type="dxa" w:w="2304"/>
            <w:shd w:val="clear" w:color="auto" w:fill="D9E2F3"/>
          </w:tcPr>
          <w:p>
            <w:r/>
            <w:r>
              <w:rPr>
                <w:b/>
                <w:sz w:val="19"/>
              </w:rPr>
              <w:t>Excess × Hours (vs. A)</w:t>
            </w:r>
          </w:p>
        </w:tc>
      </w:tr>
      <w:tr>
        <w:tc>
          <w:tcPr>
            <w:tcW w:type="dxa" w:w="2160"/>
          </w:tcPr>
          <w:p>
            <w:r/>
            <w:r>
              <w:rPr>
                <w:sz w:val="19"/>
              </w:rPr>
              <w:t>Croft (Equity Partner)</w:t>
            </w:r>
          </w:p>
        </w:tc>
        <w:tc>
          <w:tcPr>
            <w:tcW w:type="dxa" w:w="1296"/>
          </w:tcPr>
          <w:p>
            <w:r/>
            <w:r>
              <w:rPr>
                <w:sz w:val="19"/>
              </w:rPr>
              <w:t>$825</w:t>
            </w:r>
          </w:p>
        </w:tc>
        <w:tc>
          <w:tcPr>
            <w:tcW w:type="dxa" w:w="1296"/>
          </w:tcPr>
          <w:p>
            <w:r/>
            <w:r>
              <w:rPr>
                <w:sz w:val="19"/>
              </w:rPr>
              <w:t>$850</w:t>
            </w:r>
          </w:p>
        </w:tc>
        <w:tc>
          <w:tcPr>
            <w:tcW w:type="dxa" w:w="1008"/>
          </w:tcPr>
          <w:p>
            <w:r/>
            <w:r>
              <w:rPr>
                <w:sz w:val="19"/>
              </w:rPr>
              <w:t>$825</w:t>
            </w:r>
          </w:p>
        </w:tc>
        <w:tc>
          <w:tcPr>
            <w:tcW w:type="dxa" w:w="1584"/>
          </w:tcPr>
          <w:p>
            <w:r/>
            <w:r>
              <w:rPr>
                <w:sz w:val="19"/>
              </w:rPr>
              <w:t>$825.00</w:t>
            </w:r>
          </w:p>
        </w:tc>
        <w:tc>
          <w:tcPr>
            <w:tcW w:type="dxa" w:w="2304"/>
          </w:tcPr>
          <w:p>
            <w:r/>
            <w:r>
              <w:rPr>
                <w:sz w:val="19"/>
              </w:rPr>
              <w:t>$25 × 620 = $15,500</w:t>
            </w:r>
          </w:p>
        </w:tc>
      </w:tr>
      <w:tr>
        <w:tc>
          <w:tcPr>
            <w:tcW w:type="dxa" w:w="2160"/>
          </w:tcPr>
          <w:p>
            <w:r/>
            <w:r>
              <w:rPr>
                <w:sz w:val="19"/>
              </w:rPr>
              <w:t>Okeke (Sr. Assoc., 8th yr)</w:t>
            </w:r>
          </w:p>
        </w:tc>
        <w:tc>
          <w:tcPr>
            <w:tcW w:type="dxa" w:w="1296"/>
          </w:tcPr>
          <w:p>
            <w:r/>
            <w:r>
              <w:rPr>
                <w:sz w:val="19"/>
              </w:rPr>
              <w:t>$550</w:t>
            </w:r>
          </w:p>
        </w:tc>
        <w:tc>
          <w:tcPr>
            <w:tcW w:type="dxa" w:w="1296"/>
          </w:tcPr>
          <w:p>
            <w:r/>
            <w:r>
              <w:rPr>
                <w:sz w:val="19"/>
              </w:rPr>
              <w:t>$575</w:t>
            </w:r>
          </w:p>
        </w:tc>
        <w:tc>
          <w:tcPr>
            <w:tcW w:type="dxa" w:w="1008"/>
          </w:tcPr>
          <w:p>
            <w:r/>
            <w:r>
              <w:rPr>
                <w:sz w:val="19"/>
              </w:rPr>
              <w:t>$550</w:t>
            </w:r>
          </w:p>
        </w:tc>
        <w:tc>
          <w:tcPr>
            <w:tcW w:type="dxa" w:w="1584"/>
          </w:tcPr>
          <w:p>
            <w:r/>
            <w:r>
              <w:rPr>
                <w:sz w:val="19"/>
              </w:rPr>
              <w:t>$550.00</w:t>
            </w:r>
          </w:p>
        </w:tc>
        <w:tc>
          <w:tcPr>
            <w:tcW w:type="dxa" w:w="2304"/>
          </w:tcPr>
          <w:p>
            <w:r/>
            <w:r>
              <w:rPr>
                <w:sz w:val="19"/>
              </w:rPr>
              <w:t>$25 × 980 = $24,500</w:t>
            </w:r>
          </w:p>
        </w:tc>
      </w:tr>
      <w:tr>
        <w:tc>
          <w:tcPr>
            <w:tcW w:type="dxa" w:w="2160"/>
          </w:tcPr>
          <w:p>
            <w:r/>
            <w:r>
              <w:rPr>
                <w:sz w:val="19"/>
              </w:rPr>
              <w:t>Yoon (Mid-level, 4th yr)</w:t>
            </w:r>
          </w:p>
        </w:tc>
        <w:tc>
          <w:tcPr>
            <w:tcW w:type="dxa" w:w="1296"/>
          </w:tcPr>
          <w:p>
            <w:r/>
            <w:r>
              <w:rPr>
                <w:sz w:val="19"/>
              </w:rPr>
              <w:t>$410*</w:t>
            </w:r>
          </w:p>
        </w:tc>
        <w:tc>
          <w:tcPr>
            <w:tcW w:type="dxa" w:w="1296"/>
          </w:tcPr>
          <w:p>
            <w:r/>
            <w:r>
              <w:rPr>
                <w:sz w:val="19"/>
              </w:rPr>
              <w:t>$425</w:t>
            </w:r>
          </w:p>
        </w:tc>
        <w:tc>
          <w:tcPr>
            <w:tcW w:type="dxa" w:w="1008"/>
          </w:tcPr>
          <w:p>
            <w:r/>
            <w:r>
              <w:rPr>
                <w:sz w:val="19"/>
              </w:rPr>
              <w:t>$425</w:t>
            </w:r>
          </w:p>
        </w:tc>
        <w:tc>
          <w:tcPr>
            <w:tcW w:type="dxa" w:w="1584"/>
          </w:tcPr>
          <w:p>
            <w:r/>
            <w:r>
              <w:rPr>
                <w:sz w:val="19"/>
              </w:rPr>
              <w:t>$422.30</w:t>
            </w:r>
          </w:p>
        </w:tc>
        <w:tc>
          <w:tcPr>
            <w:tcW w:type="dxa" w:w="2304"/>
          </w:tcPr>
          <w:p>
            <w:r/>
            <w:r>
              <w:rPr>
                <w:sz w:val="19"/>
              </w:rPr>
              <w:t>$2.70 × 860 = $2,322</w:t>
            </w:r>
          </w:p>
        </w:tc>
      </w:tr>
      <w:tr>
        <w:tc>
          <w:tcPr>
            <w:tcW w:type="dxa" w:w="2160"/>
          </w:tcPr>
          <w:p>
            <w:r/>
            <w:r>
              <w:rPr>
                <w:sz w:val="19"/>
              </w:rPr>
              <w:t>Novak (Junior, 2nd yr)</w:t>
            </w:r>
          </w:p>
        </w:tc>
        <w:tc>
          <w:tcPr>
            <w:tcW w:type="dxa" w:w="1296"/>
          </w:tcPr>
          <w:p>
            <w:r/>
            <w:r>
              <w:rPr>
                <w:sz w:val="19"/>
              </w:rPr>
              <w:t>$360*</w:t>
            </w:r>
          </w:p>
        </w:tc>
        <w:tc>
          <w:tcPr>
            <w:tcW w:type="dxa" w:w="1296"/>
          </w:tcPr>
          <w:p>
            <w:r/>
            <w:r>
              <w:rPr>
                <w:sz w:val="19"/>
              </w:rPr>
              <w:t>$375</w:t>
            </w:r>
          </w:p>
        </w:tc>
        <w:tc>
          <w:tcPr>
            <w:tcW w:type="dxa" w:w="1008"/>
          </w:tcPr>
          <w:p>
            <w:r/>
            <w:r>
              <w:rPr>
                <w:sz w:val="19"/>
              </w:rPr>
              <w:t>$375</w:t>
            </w:r>
          </w:p>
        </w:tc>
        <w:tc>
          <w:tcPr>
            <w:tcW w:type="dxa" w:w="1584"/>
          </w:tcPr>
          <w:p>
            <w:r/>
            <w:r>
              <w:rPr>
                <w:sz w:val="19"/>
              </w:rPr>
              <w:t>$370.80</w:t>
            </w:r>
          </w:p>
        </w:tc>
        <w:tc>
          <w:tcPr>
            <w:tcW w:type="dxa" w:w="2304"/>
          </w:tcPr>
          <w:p>
            <w:r/>
            <w:r>
              <w:rPr>
                <w:sz w:val="19"/>
              </w:rPr>
              <w:t>$4.20 × 540 = $2,268</w:t>
            </w:r>
          </w:p>
        </w:tc>
      </w:tr>
      <w:tr>
        <w:tc>
          <w:tcPr>
            <w:tcW w:type="dxa" w:w="2160"/>
          </w:tcPr>
          <w:p>
            <w:r/>
            <w:r>
              <w:rPr>
                <w:sz w:val="19"/>
              </w:rPr>
              <w:t>Hu (Paralegal, new)</w:t>
            </w:r>
          </w:p>
        </w:tc>
        <w:tc>
          <w:tcPr>
            <w:tcW w:type="dxa" w:w="1296"/>
          </w:tcPr>
          <w:p>
            <w:r/>
            <w:r>
              <w:rPr>
                <w:sz w:val="19"/>
              </w:rPr>
              <w:t>None</w:t>
            </w:r>
          </w:p>
        </w:tc>
        <w:tc>
          <w:tcPr>
            <w:tcW w:type="dxa" w:w="1296"/>
          </w:tcPr>
          <w:p>
            <w:r/>
            <w:r>
              <w:rPr>
                <w:sz w:val="19"/>
              </w:rPr>
              <w:t>$225</w:t>
            </w:r>
          </w:p>
        </w:tc>
        <w:tc>
          <w:tcPr>
            <w:tcW w:type="dxa" w:w="1008"/>
          </w:tcPr>
          <w:p>
            <w:r/>
            <w:r>
              <w:rPr>
                <w:sz w:val="19"/>
              </w:rPr>
              <w:t>$200</w:t>
            </w:r>
          </w:p>
        </w:tc>
        <w:tc>
          <w:tcPr>
            <w:tcW w:type="dxa" w:w="1584"/>
          </w:tcPr>
          <w:p>
            <w:r/>
            <w:r>
              <w:rPr>
                <w:sz w:val="19"/>
              </w:rPr>
              <w:t>$200.00</w:t>
            </w:r>
          </w:p>
        </w:tc>
        <w:tc>
          <w:tcPr>
            <w:tcW w:type="dxa" w:w="2304"/>
          </w:tcPr>
          <w:p>
            <w:r/>
            <w:r>
              <w:rPr>
                <w:sz w:val="19"/>
              </w:rPr>
              <w:t>$25 × 740 = $18,500</w:t>
            </w:r>
          </w:p>
        </w:tc>
      </w:tr>
      <w:tr>
        <w:tc>
          <w:tcPr>
            <w:tcW w:type="dxa" w:w="2160"/>
          </w:tcPr>
          <w:p>
            <w:r/>
            <w:r>
              <w:rPr>
                <w:b/>
                <w:sz w:val="19"/>
              </w:rPr>
              <w:t>Total</w:t>
            </w:r>
          </w:p>
        </w:tc>
        <w:tc>
          <w:tcPr>
            <w:tcW w:type="dxa" w:w="1296"/>
          </w:tcPr>
          <w:p>
            <w:r/>
            <w:r>
              <w:rPr>
                <w:b/>
                <w:sz w:val="19"/>
              </w:rPr>
            </w:r>
          </w:p>
        </w:tc>
        <w:tc>
          <w:tcPr>
            <w:tcW w:type="dxa" w:w="1296"/>
          </w:tcPr>
          <w:p>
            <w:r/>
            <w:r>
              <w:rPr>
                <w:b/>
                <w:sz w:val="19"/>
              </w:rPr>
            </w:r>
          </w:p>
        </w:tc>
        <w:tc>
          <w:tcPr>
            <w:tcW w:type="dxa" w:w="1008"/>
          </w:tcPr>
          <w:p>
            <w:r/>
            <w:r>
              <w:rPr>
                <w:b/>
                <w:sz w:val="19"/>
              </w:rPr>
            </w:r>
          </w:p>
        </w:tc>
        <w:tc>
          <w:tcPr>
            <w:tcW w:type="dxa" w:w="1584"/>
          </w:tcPr>
          <w:p>
            <w:r/>
            <w:r>
              <w:rPr>
                <w:b/>
                <w:sz w:val="19"/>
              </w:rPr>
            </w:r>
          </w:p>
        </w:tc>
        <w:tc>
          <w:tcPr>
            <w:tcW w:type="dxa" w:w="2304"/>
          </w:tcPr>
          <w:p>
            <w:r/>
            <w:r>
              <w:rPr>
                <w:b/>
                <w:sz w:val="19"/>
              </w:rPr>
              <w:t>$63,090</w:t>
            </w:r>
          </w:p>
        </w:tc>
      </w:tr>
    </w:tbl>
    <w:p/>
    <w:p>
      <w:r>
        <w:rPr>
          <w:b w:val="0"/>
          <w:i/>
        </w:rPr>
        <w:t>* The 2024 workbook shows Yoon at $410 (the Dec. 15 notice agrees; the proposal says $415) and Novak at $360 (her 2024 actuals were billed at $360; the notice and proposal say $365). Percentages are calculated on the rates actually billed and approved.</w:t>
      </w:r>
    </w:p>
    <w:p>
      <w:r>
        <w:rPr>
          <w:b/>
          <w:i w:val="0"/>
        </w:rPr>
        <w:t>Table 3.3 — Adjusted Budget Overview</w:t>
      </w:r>
    </w:p>
    <w:tbl>
      <w:tblPr>
        <w:tblStyle w:val="TableGrid"/>
        <w:tblW w:type="auto" w:w="0"/>
        <w:tblLook w:firstColumn="1" w:firstRow="1" w:lastColumn="0" w:lastRow="0" w:noHBand="0" w:noVBand="1" w:val="04A0"/>
      </w:tblPr>
      <w:tblGrid>
        <w:gridCol w:w="4824"/>
        <w:gridCol w:w="4824"/>
      </w:tblGrid>
      <w:tr>
        <w:tc>
          <w:tcPr>
            <w:tcW w:type="dxa" w:w="7200"/>
            <w:shd w:val="clear" w:color="auto" w:fill="D9E2F3"/>
          </w:tcPr>
          <w:p>
            <w:r/>
            <w:r>
              <w:rPr>
                <w:b/>
                <w:sz w:val="19"/>
              </w:rPr>
              <w:t>Item</w:t>
            </w:r>
          </w:p>
        </w:tc>
        <w:tc>
          <w:tcPr>
            <w:tcW w:type="dxa" w:w="2304"/>
            <w:shd w:val="clear" w:color="auto" w:fill="D9E2F3"/>
          </w:tcPr>
          <w:p>
            <w:r/>
            <w:r>
              <w:rPr>
                <w:b/>
                <w:sz w:val="19"/>
              </w:rPr>
              <w:t>Amount</w:t>
            </w:r>
          </w:p>
        </w:tc>
      </w:tr>
      <w:tr>
        <w:tc>
          <w:tcPr>
            <w:tcW w:type="dxa" w:w="7200"/>
          </w:tcPr>
          <w:p>
            <w:r/>
            <w:r>
              <w:rPr>
                <w:sz w:val="19"/>
              </w:rPr>
              <w:t>Proposal as submitted</w:t>
            </w:r>
          </w:p>
        </w:tc>
        <w:tc>
          <w:tcPr>
            <w:tcW w:type="dxa" w:w="2304"/>
          </w:tcPr>
          <w:p>
            <w:r/>
            <w:r>
              <w:rPr>
                <w:sz w:val="19"/>
              </w:rPr>
              <w:t>$2,397,450</w:t>
            </w:r>
          </w:p>
        </w:tc>
      </w:tr>
      <w:tr>
        <w:tc>
          <w:tcPr>
            <w:tcW w:type="dxa" w:w="7200"/>
          </w:tcPr>
          <w:p>
            <w:r/>
            <w:r>
              <w:rPr>
                <w:sz w:val="19"/>
              </w:rPr>
              <w:t>Proposal restated on firm's own hours × rates ($1,825,000 + $688,500)</w:t>
            </w:r>
          </w:p>
        </w:tc>
        <w:tc>
          <w:tcPr>
            <w:tcW w:type="dxa" w:w="2304"/>
          </w:tcPr>
          <w:p>
            <w:r/>
            <w:r>
              <w:rPr>
                <w:sz w:val="19"/>
              </w:rPr>
              <w:t>$2,513,500</w:t>
            </w:r>
          </w:p>
        </w:tc>
      </w:tr>
      <w:tr>
        <w:tc>
          <w:tcPr>
            <w:tcW w:type="dxa" w:w="7200"/>
          </w:tcPr>
          <w:p>
            <w:r/>
            <w:r>
              <w:rPr>
                <w:sz w:val="19"/>
              </w:rPr>
              <w:t>Less: rate corrections to Scenario A (all phases)</w:t>
            </w:r>
          </w:p>
        </w:tc>
        <w:tc>
          <w:tcPr>
            <w:tcW w:type="dxa" w:w="2304"/>
          </w:tcPr>
          <w:p>
            <w:r/>
            <w:r>
              <w:rPr>
                <w:sz w:val="19"/>
              </w:rPr>
              <w:t>($63,090)</w:t>
            </w:r>
          </w:p>
        </w:tc>
      </w:tr>
      <w:tr>
        <w:tc>
          <w:tcPr>
            <w:tcW w:type="dxa" w:w="7200"/>
          </w:tcPr>
          <w:p>
            <w:r/>
            <w:r>
              <w:rPr>
                <w:sz w:val="19"/>
              </w:rPr>
              <w:t>Less: L700 reserve at Scenario A rates</w:t>
            </w:r>
          </w:p>
        </w:tc>
        <w:tc>
          <w:tcPr>
            <w:tcW w:type="dxa" w:w="2304"/>
          </w:tcPr>
          <w:p>
            <w:r/>
            <w:r>
              <w:rPr>
                <w:sz w:val="19"/>
              </w:rPr>
              <w:t>($91,308)</w:t>
            </w:r>
          </w:p>
        </w:tc>
      </w:tr>
      <w:tr>
        <w:tc>
          <w:tcPr>
            <w:tcW w:type="dxa" w:w="7200"/>
          </w:tcPr>
          <w:p>
            <w:r/>
            <w:r>
              <w:rPr>
                <w:sz w:val="19"/>
              </w:rPr>
              <w:t>Less: internal copying</w:t>
            </w:r>
          </w:p>
        </w:tc>
        <w:tc>
          <w:tcPr>
            <w:tcW w:type="dxa" w:w="2304"/>
          </w:tcPr>
          <w:p>
            <w:r/>
            <w:r>
              <w:rPr>
                <w:sz w:val="19"/>
              </w:rPr>
              <w:t>($15,000)</w:t>
            </w:r>
          </w:p>
        </w:tc>
      </w:tr>
      <w:tr>
        <w:tc>
          <w:tcPr>
            <w:tcW w:type="dxa" w:w="7200"/>
          </w:tcPr>
          <w:p>
            <w:r/>
            <w:r>
              <w:rPr>
                <w:sz w:val="19"/>
              </w:rPr>
              <w:t>Compliant budget — Scenario A ($1,670,602 fees + $673,500 expenses)</w:t>
            </w:r>
          </w:p>
        </w:tc>
        <w:tc>
          <w:tcPr>
            <w:tcW w:type="dxa" w:w="2304"/>
          </w:tcPr>
          <w:p>
            <w:r/>
            <w:r>
              <w:rPr>
                <w:sz w:val="19"/>
              </w:rPr>
              <w:t>$2,344,102</w:t>
            </w:r>
          </w:p>
        </w:tc>
      </w:tr>
      <w:tr>
        <w:tc>
          <w:tcPr>
            <w:tcW w:type="dxa" w:w="7200"/>
          </w:tcPr>
          <w:p>
            <w:r/>
            <w:r>
              <w:rPr>
                <w:sz w:val="19"/>
              </w:rPr>
              <w:t>Compliant budget — Scenario B ($1,654,900 fees + $673,500 expenses)</w:t>
            </w:r>
          </w:p>
        </w:tc>
        <w:tc>
          <w:tcPr>
            <w:tcW w:type="dxa" w:w="2304"/>
          </w:tcPr>
          <w:p>
            <w:r/>
            <w:r>
              <w:rPr>
                <w:sz w:val="19"/>
              </w:rPr>
              <w:t>$2,328,400</w:t>
            </w:r>
          </w:p>
        </w:tc>
      </w:tr>
      <w:tr>
        <w:tc>
          <w:tcPr>
            <w:tcW w:type="dxa" w:w="7200"/>
          </w:tcPr>
          <w:p>
            <w:r/>
            <w:r>
              <w:rPr>
                <w:sz w:val="19"/>
              </w:rPr>
              <w:t>Held pending GC pre-approval (within the above): e-discovery $285,000; experts $175,000; mock trial $95,000</w:t>
            </w:r>
          </w:p>
        </w:tc>
        <w:tc>
          <w:tcPr>
            <w:tcW w:type="dxa" w:w="2304"/>
          </w:tcPr>
          <w:p>
            <w:r/>
            <w:r>
              <w:rPr>
                <w:sz w:val="19"/>
              </w:rPr>
              <w:t>$555,000</w:t>
            </w:r>
          </w:p>
        </w:tc>
      </w:tr>
      <w:tr>
        <w:tc>
          <w:tcPr>
            <w:tcW w:type="dxa" w:w="7200"/>
          </w:tcPr>
          <w:p>
            <w:r/>
            <w:r>
              <w:rPr>
                <w:sz w:val="19"/>
              </w:rPr>
              <w:t>At risk under §6.5 (Yoon/Novak L600 hours at Scenario A rates) unless attendance is pre-approved</w:t>
            </w:r>
          </w:p>
        </w:tc>
        <w:tc>
          <w:tcPr>
            <w:tcW w:type="dxa" w:w="2304"/>
          </w:tcPr>
          <w:p>
            <w:r/>
            <w:r>
              <w:rPr>
                <w:sz w:val="19"/>
              </w:rPr>
              <w:t>~$61,285</w:t>
            </w:r>
          </w:p>
        </w:tc>
      </w:tr>
      <w:tr>
        <w:tc>
          <w:tcPr>
            <w:tcW w:type="dxa" w:w="7200"/>
          </w:tcPr>
          <w:p>
            <w:r/>
            <w:r>
              <w:rPr>
                <w:sz w:val="19"/>
              </w:rPr>
              <w:t>Unbudgeted potential: Whitaker 60 hrs (≤ $825 cap)</w:t>
            </w:r>
          </w:p>
        </w:tc>
        <w:tc>
          <w:tcPr>
            <w:tcW w:type="dxa" w:w="2304"/>
          </w:tcPr>
          <w:p>
            <w:r/>
            <w:r>
              <w:rPr>
                <w:sz w:val="19"/>
              </w:rPr>
              <w:t>up to $49,500</w:t>
            </w:r>
          </w:p>
        </w:tc>
      </w:tr>
    </w:tbl>
    <w:p/>
    <w:p>
      <w:pPr>
        <w:pStyle w:val="Heading1"/>
      </w:pPr>
      <w:r>
        <w:t>4. Detailed Findings</w:t>
      </w:r>
    </w:p>
    <w:p>
      <w:pPr>
        <w:pStyle w:val="Heading2"/>
      </w:pPr>
      <w:r>
        <w:t>Category A — Billing Rates and Rate Adjustments</w:t>
      </w:r>
    </w:p>
    <w:p>
      <w:pPr>
        <w:pStyle w:val="Heading3"/>
      </w:pPr>
      <w:r>
        <w:t>A-1 / A-2. Croft and Okeke rates exceed absolute caps</w:t>
      </w:r>
    </w:p>
    <w:p>
      <w:r>
        <w:rPr>
          <w:b/>
        </w:rPr>
        <w:t xml:space="preserve">Severity: </w:t>
      </w:r>
      <w:r>
        <w:t xml:space="preserve">High    </w:t>
      </w:r>
      <w:r>
        <w:rPr>
          <w:b/>
        </w:rPr>
        <w:t xml:space="preserve">OCG: </w:t>
      </w:r>
      <w:r>
        <w:t>§3.1; §3.2(a), (c); App. B</w:t>
      </w:r>
    </w:p>
    <w:p>
      <w:r>
        <w:rPr>
          <w:b/>
        </w:rPr>
        <w:t xml:space="preserve">Facts. </w:t>
      </w:r>
      <w:r>
        <w:t>Croft's rate goes from $825 to $850, described as the firm's "standard 3% annual increase." Okeke's goes from $550 to $575 (4.5%) for "increased responsibilities and seniority." The 2024 workbook itself notes that both 2024 rates were already at the cap and that "any 2025 increase would exceed the cap."</w:t>
      </w:r>
    </w:p>
    <w:p>
      <w:r>
        <w:rPr>
          <w:b/>
        </w:rPr>
        <w:t xml:space="preserve">Analysis. </w:t>
      </w:r>
      <w:r>
        <w:t>The caps are "absolute ceilings." Under §3.2(c), a permitted percentage increase cannot take a rate above the cap; if it would, the rate is set at the cap. The OCG's own example is a senior associate at $540 who is capped at $550. The firm's "standard" increase policy does not matter. Okeke's increase also exceeds 3% without the written justification and advance GC approval that §3.2(a) requires. §3.1 bars firms from putting over-cap rates in budget submissions at all.</w:t>
      </w:r>
    </w:p>
    <w:p>
      <w:r>
        <w:rPr>
          <w:b/>
        </w:rPr>
        <w:t xml:space="preserve">Recommendation. </w:t>
      </w:r>
      <w:r>
        <w:t>Reset Croft to $825 and Okeke to $550 throughout the budget ($40,000 in total). Tell the firm that Lexera will automatically reduce any over-cap entries.</w:t>
      </w:r>
    </w:p>
    <w:p>
      <w:pPr>
        <w:pStyle w:val="Heading3"/>
      </w:pPr>
      <w:r>
        <w:t>A-3. Paralegal rate exceeds cap; prior rate misrepresented</w:t>
      </w:r>
    </w:p>
    <w:p>
      <w:r>
        <w:rPr>
          <w:b/>
        </w:rPr>
        <w:t xml:space="preserve">Severity: </w:t>
      </w:r>
      <w:r>
        <w:t xml:space="preserve">High    </w:t>
      </w:r>
      <w:r>
        <w:rPr>
          <w:b/>
        </w:rPr>
        <w:t xml:space="preserve">OCG: </w:t>
      </w:r>
      <w:r>
        <w:t>§3.1; §3.3</w:t>
      </w:r>
    </w:p>
    <w:p>
      <w:r>
        <w:rPr>
          <w:b/>
        </w:rPr>
        <w:t xml:space="preserve">Facts. </w:t>
      </w:r>
      <w:r>
        <w:t>Hu is proposed at $225/hr. Appendix A of the proposal lists a "2024 rate" of $215 and a 4.7% "increase." Hu was not on the matter in 2024: the Dec. 15, 2024 notice says no paralegal was assigned, and she was added on April 28, 2025. The predecessor paralegal, Ferrante, billed $195/hr.</w:t>
      </w:r>
    </w:p>
    <w:p>
      <w:r>
        <w:rPr>
          <w:b/>
        </w:rPr>
        <w:t xml:space="preserve">Analysis. </w:t>
      </w:r>
      <w:r>
        <w:t>All paralegals are capped at $200. A new timekeeper has no prior-year rate, so showing an "increase" gives a misleading picture of rate history. Under §3.3, a new timekeeper's rate must be approved together with the §4.3 addition, and the Company may negotiate below the cap.</w:t>
      </w:r>
    </w:p>
    <w:p>
      <w:r>
        <w:rPr>
          <w:b/>
        </w:rPr>
        <w:t xml:space="preserve">Recommendation. </w:t>
      </w:r>
      <w:r>
        <w:t>Cap Hu at $200 or lower ($18,500 reduction). Ask the firm to correct Appendix A and explain the $215 figure.</w:t>
      </w:r>
    </w:p>
    <w:p>
      <w:pPr>
        <w:pStyle w:val="Heading3"/>
      </w:pPr>
      <w:r>
        <w:t>A-4 / A-5. Yoon and Novak increases exceed 3%; prior rates misstated</w:t>
      </w:r>
    </w:p>
    <w:p>
      <w:r>
        <w:rPr>
          <w:b/>
        </w:rPr>
        <w:t xml:space="preserve">Severity: </w:t>
      </w:r>
      <w:r>
        <w:t xml:space="preserve">Medium    </w:t>
      </w:r>
      <w:r>
        <w:rPr>
          <w:b/>
        </w:rPr>
        <w:t xml:space="preserve">OCG: </w:t>
      </w:r>
      <w:r>
        <w:t>§3.2(a)</w:t>
      </w:r>
    </w:p>
    <w:p>
      <w:r>
        <w:rPr>
          <w:b/>
        </w:rPr>
        <w:t xml:space="preserve">Facts. </w:t>
      </w:r>
      <w:r>
        <w:t>The workbook shows 2024 billed and approved rates of $410 for Yoon and $360 for Novak, and Novak's 168 actual hours tie to $60,480 at $360. The proposal lists Yoon at $415 (2.4%) and Novak at $365 (2.7%). The Dec. 15 notice lists Yoon at $410 (3.7%) and Novak at $365.</w:t>
      </w:r>
    </w:p>
    <w:p>
      <w:r>
        <w:rPr>
          <w:b/>
        </w:rPr>
        <w:t xml:space="preserve">Analysis. </w:t>
      </w:r>
      <w:r>
        <w:t>Measured against the approved rates, the increases are 3.66% and 4.17%. Both exceed the per-timekeeper 3% limit, and no justification or approval exists. The new rates sit at the category caps, but that does not cure an increase above 3%. The maximum permitted rates are $422.30 and $370.80. Because the prior-year figures are inconsistent across documents, the stated percentages are understated.</w:t>
      </w:r>
    </w:p>
    <w:p>
      <w:r>
        <w:rPr>
          <w:b/>
        </w:rPr>
        <w:t xml:space="preserve">Recommendation. </w:t>
      </w:r>
      <w:r>
        <w:t>Hold Yoon at $422.30 and Novak at $370.80, or at 2024 rates if the late notice is enforced (see A-6). Ask the firm to reconcile the prior-year rates across all three documents.</w:t>
      </w:r>
    </w:p>
    <w:p>
      <w:pPr>
        <w:pStyle w:val="Heading3"/>
      </w:pPr>
      <w:r>
        <w:t>A-6 / A-7. Untimely rate notice; no written approval; possible retroactive billing</w:t>
      </w:r>
    </w:p>
    <w:p>
      <w:r>
        <w:rPr>
          <w:b/>
        </w:rPr>
        <w:t xml:space="preserve">Severity: </w:t>
      </w:r>
      <w:r>
        <w:t xml:space="preserve">High    </w:t>
      </w:r>
      <w:r>
        <w:rPr>
          <w:b/>
        </w:rPr>
        <w:t xml:space="preserve">OCG: </w:t>
      </w:r>
      <w:r>
        <w:t>§3.2(b), (d); §3.3</w:t>
      </w:r>
    </w:p>
    <w:p>
      <w:r>
        <w:rPr>
          <w:b/>
        </w:rPr>
        <w:t xml:space="preserve">Facts. </w:t>
      </w:r>
      <w:r>
        <w:t>The notice was emailed on Sunday, December 15, 2024, 17 days before the effective date. The deadline for January 1 increases is November 1, and the notice period is 60 days. The notice asserts that it "satisf[ies] its obligations" under the OCG and says invoices "for January 2025 forward will reflect the new rates." The record contains no written GC confirmation.</w:t>
      </w:r>
    </w:p>
    <w:p>
      <w:r>
        <w:rPr>
          <w:b/>
        </w:rPr>
        <w:t xml:space="preserve">Analysis. </w:t>
      </w:r>
      <w:r>
        <w:t>Untimely requests "may be rejected without further consideration." No increase counts as approved until the GC confirms it in writing. The firm cannot deem its own notice sufficient. If January–April 2025 invoices used the new rates, those amounts exceeded approved rates.</w:t>
      </w:r>
    </w:p>
    <w:p>
      <w:r>
        <w:rPr>
          <w:b/>
        </w:rPr>
        <w:t xml:space="preserve">Recommendation. </w:t>
      </w:r>
      <w:r>
        <w:t>Decide whether to deny the 2025 increases in full (Scenario B) or accept them only up to cap and 3% (Scenario A). Instruct Lexera to audit 2025 invoices to date and recover any overbilling (§8.4).</w:t>
      </w:r>
    </w:p>
    <w:p>
      <w:pPr>
        <w:pStyle w:val="Heading2"/>
      </w:pPr>
      <w:r>
        <w:t>Category B — Staffing and Timekeepers</w:t>
      </w:r>
    </w:p>
    <w:p>
      <w:pPr>
        <w:pStyle w:val="Heading3"/>
      </w:pPr>
      <w:r>
        <w:t>B-1. Improper addition of paralegal Margaret Hu/Hsu</w:t>
      </w:r>
    </w:p>
    <w:p>
      <w:r>
        <w:rPr>
          <w:b/>
        </w:rPr>
        <w:t xml:space="preserve">Severity: </w:t>
      </w:r>
      <w:r>
        <w:t xml:space="preserve">High    </w:t>
      </w:r>
      <w:r>
        <w:rPr>
          <w:b/>
        </w:rPr>
        <w:t xml:space="preserve">OCG: </w:t>
      </w:r>
      <w:r>
        <w:t>§4.3; §3.3</w:t>
      </w:r>
    </w:p>
    <w:p>
      <w:r>
        <w:rPr>
          <w:b/>
        </w:rPr>
        <w:t xml:space="preserve">Facts. </w:t>
      </w:r>
      <w:r>
        <w:t>The request was sent on Friday, April 25, 2025 at 3:47 pm for a start on Monday, April 28, which is one business day's notice. The request omits bar/experience years, a qualifications background and any explanation of exigency. It also proposes an over-cap rate. The request calls her "Margaret Hsu" and then "Ms. Hu," and the workbook uses "Hsu." Ferrante left on January 15, 2025, more than three months before the request, so the staffing need was foreseeable. The request also justifies Hu partly as a way to move "administrative and organizational tasks" off associates.</w:t>
      </w:r>
    </w:p>
    <w:p>
      <w:r>
        <w:rPr>
          <w:b/>
        </w:rPr>
        <w:t xml:space="preserve">Analysis. </w:t>
      </w:r>
      <w:r>
        <w:t>Ten business days' notice and written GC approval are both prerequisites. Time billed by a timekeeper who has not been properly noticed and approved "will not be paid." Discovery volume is not a genuine exigency given the three-month gap. Administrative tasks are non-billable at any rate (§6.4(c)).</w:t>
      </w:r>
    </w:p>
    <w:p>
      <w:r>
        <w:rPr>
          <w:b/>
        </w:rPr>
        <w:t xml:space="preserve">Recommendation. </w:t>
      </w:r>
      <w:r>
        <w:t>Do not approve Hu until the firm submits a compliant §4.3 notice (correct legal name, experience, qualifications, rate ≤ $200). Treat any time billed before approval as non-payable. Remind the firm that administrative work is not billable.</w:t>
      </w:r>
    </w:p>
    <w:p>
      <w:pPr>
        <w:pStyle w:val="Heading3"/>
      </w:pPr>
      <w:r>
        <w:t>B-2. Undisclosed potential second partner (Boyd Whitaker)</w:t>
      </w:r>
    </w:p>
    <w:p>
      <w:r>
        <w:rPr>
          <w:b/>
        </w:rPr>
        <w:t xml:space="preserve">Severity: </w:t>
      </w:r>
      <w:r>
        <w:t xml:space="preserve">Medium    </w:t>
      </w:r>
      <w:r>
        <w:rPr>
          <w:b/>
        </w:rPr>
        <w:t xml:space="preserve">OCG: </w:t>
      </w:r>
      <w:r>
        <w:t>§4.2; §4.3; §5.2(b), (e)</w:t>
      </w:r>
    </w:p>
    <w:p>
      <w:r>
        <w:rPr>
          <w:b/>
        </w:rPr>
        <w:t xml:space="preserve">Facts. </w:t>
      </w:r>
      <w:r>
        <w:t>The proposal mentions Whitaker, at about 60 hours in L400, in the narrative and biographies. He is left out of the staffing table and totals, and no rate is given.</w:t>
      </w:r>
    </w:p>
    <w:p>
      <w:r>
        <w:rPr>
          <w:b/>
        </w:rPr>
        <w:t xml:space="preserve">Analysis. </w:t>
      </w:r>
      <w:r>
        <w:t>He would be the second partner, which is within the two-partner limit, but he still needs a §4.3 notice and approval. Keeping him out of the totals understates L400 by up to $49,500 at the cap. It also invites a later phase overrun under §5.3, and §6.4(h) "getting up to speed" time is a risk.</w:t>
      </w:r>
    </w:p>
    <w:p>
      <w:r>
        <w:rPr>
          <w:b/>
        </w:rPr>
        <w:t xml:space="preserve">Recommendation. </w:t>
      </w:r>
      <w:r>
        <w:t>Require the firm to either include Whitaker in the budget with a proposed rate and file a §4.3 request, or remove him. Any approval should state that ramp-up time is non-billable.</w:t>
      </w:r>
    </w:p>
    <w:p>
      <w:pPr>
        <w:pStyle w:val="Heading3"/>
      </w:pPr>
      <w:r>
        <w:t>B-3. Multiple-attorney attendance at trial and depositions</w:t>
      </w:r>
    </w:p>
    <w:p>
      <w:r>
        <w:rPr>
          <w:b/>
        </w:rPr>
        <w:t xml:space="preserve">Severity: </w:t>
      </w:r>
      <w:r>
        <w:t xml:space="preserve">High    </w:t>
      </w:r>
      <w:r>
        <w:rPr>
          <w:b/>
        </w:rPr>
        <w:t xml:space="preserve">OCG: </w:t>
      </w:r>
      <w:r>
        <w:t>§6.5; §4.1</w:t>
      </w:r>
    </w:p>
    <w:p>
      <w:r>
        <w:rPr>
          <w:b/>
        </w:rPr>
        <w:t xml:space="preserve">Facts. </w:t>
      </w:r>
      <w:r>
        <w:t>Section 2.5 states that "the full trial team will be in attendance throughout": Croft, Okeke, Yoon, Novak and Hu. Section 7 says Croft attends "key depositions" that Okeke conducts.</w:t>
      </w:r>
    </w:p>
    <w:p>
      <w:r>
        <w:rPr>
          <w:b/>
        </w:rPr>
        <w:t xml:space="preserve">Analysis. </w:t>
      </w:r>
      <w:r>
        <w:t>Without advance written GC approval, no more than two attorneys may attend a trial session, and only one attorney may attend a deposition. Time for any additional attorneys is disallowed. The L600 hours for Yoon (110) and Novak (40), about $61,285 at Scenario A rates, are at risk to the extent they are courtroom attendance.</w:t>
      </w:r>
    </w:p>
    <w:p>
      <w:r>
        <w:rPr>
          <w:b/>
        </w:rPr>
        <w:t xml:space="preserve">Recommendation. </w:t>
      </w:r>
      <w:r>
        <w:t>Require a trial-staffing justification and a separate §6.5 approval request. Otherwise, re-allocate or remove the courtroom hours of the third and fourth attorneys. Ask for a deposition-by-deposition attendance plan.</w:t>
      </w:r>
    </w:p>
    <w:p>
      <w:pPr>
        <w:pStyle w:val="Heading3"/>
      </w:pPr>
      <w:r>
        <w:t>B-4. Work assigned at inappropriate levels</w:t>
      </w:r>
    </w:p>
    <w:p>
      <w:r>
        <w:rPr>
          <w:b/>
        </w:rPr>
        <w:t xml:space="preserve">Severity: </w:t>
      </w:r>
      <w:r>
        <w:t xml:space="preserve">Medium    </w:t>
      </w:r>
      <w:r>
        <w:rPr>
          <w:b/>
        </w:rPr>
        <w:t xml:space="preserve">OCG: </w:t>
      </w:r>
      <w:r>
        <w:t>§6.4(c), (g); §4.1</w:t>
      </w:r>
    </w:p>
    <w:p>
      <w:r>
        <w:rPr>
          <w:b/>
        </w:rPr>
        <w:t xml:space="preserve">Facts. </w:t>
      </w:r>
      <w:r>
        <w:t>Novak's biography lists "cite-checking, preparation of deposition exhibit binders, and... trial exhibit organization and logistics." Her 2024 entries include "document indexing" and "filing organization." Lexera removed $7,100 of administrative time in 2024.</w:t>
      </w:r>
    </w:p>
    <w:p>
      <w:r>
        <w:rPr>
          <w:b/>
        </w:rPr>
        <w:t xml:space="preserve">Analysis. </w:t>
      </w:r>
      <w:r>
        <w:t>Attorney cite-checking is non-billable at attorney rates. Filing and indexing are non-billable administrative tasks.</w:t>
      </w:r>
    </w:p>
    <w:p>
      <w:r>
        <w:rPr>
          <w:b/>
        </w:rPr>
        <w:t xml:space="preserve">Recommendation. </w:t>
      </w:r>
      <w:r>
        <w:t>Ask the firm to confirm these tasks will be moved to paralegal or support staff or not billed. Tell Lexera to watch for them.</w:t>
      </w:r>
    </w:p>
    <w:p>
      <w:pPr>
        <w:pStyle w:val="Heading3"/>
      </w:pPr>
      <w:r>
        <w:t>B-5 / B-6. Staffing reporting; efficiency and diversity metrics</w:t>
      </w:r>
    </w:p>
    <w:p>
      <w:r>
        <w:rPr>
          <w:b/>
        </w:rPr>
        <w:t xml:space="preserve">Severity: </w:t>
      </w:r>
      <w:r>
        <w:t xml:space="preserve">Low    </w:t>
      </w:r>
      <w:r>
        <w:rPr>
          <w:b/>
        </w:rPr>
        <w:t xml:space="preserve">OCG: </w:t>
      </w:r>
      <w:r>
        <w:t>§4.4; §4.5; §9.1(d); §9.3</w:t>
      </w:r>
    </w:p>
    <w:p>
      <w:r>
        <w:rPr>
          <w:b/>
        </w:rPr>
        <w:t xml:space="preserve">Facts. </w:t>
      </w:r>
      <w:r>
        <w:t>Ferrante's departure was not reported. The Dec. 15 notice's statement that "the firm does not currently have a paralegal assigned" is inconsistent with Ferrante billing through December 2024. The staffing-efficiency ratio is 1,400/3,000 = 46.7% (about 45.9% cumulative, including 2024 actuals of 410/943). Okeke's share of attorney hours is 32.7% (32.0% if Whitaker is added).</w:t>
      </w:r>
    </w:p>
    <w:p>
      <w:r>
        <w:rPr>
          <w:b/>
        </w:rPr>
        <w:t xml:space="preserve">Analysis. </w:t>
      </w:r>
      <w:r>
        <w:t>Staffing changes are material developments that must be reported within 24 hours. The efficiency and diversity thresholds are currently met, but they are measured cumulatively.</w:t>
      </w:r>
    </w:p>
    <w:p>
      <w:r>
        <w:rPr>
          <w:b/>
        </w:rPr>
        <w:t xml:space="preserve">Recommendation. </w:t>
      </w:r>
      <w:r>
        <w:t>Ask the firm to explain why the staffing change was not reported. Keep checking the ratios at each quarterly review.</w:t>
      </w:r>
    </w:p>
    <w:p>
      <w:pPr>
        <w:pStyle w:val="Heading2"/>
      </w:pPr>
      <w:r>
        <w:t>Category C — Budget Structure and Reconciliation</w:t>
      </w:r>
    </w:p>
    <w:p>
      <w:pPr>
        <w:pStyle w:val="Heading3"/>
      </w:pPr>
      <w:r>
        <w:t>C-1. Phase-level and staffing-level fees do not reconcile</w:t>
      </w:r>
    </w:p>
    <w:p>
      <w:r>
        <w:rPr>
          <w:b/>
        </w:rPr>
        <w:t xml:space="preserve">Severity: </w:t>
      </w:r>
      <w:r>
        <w:t xml:space="preserve">High    </w:t>
      </w:r>
      <w:r>
        <w:rPr>
          <w:b/>
        </w:rPr>
        <w:t xml:space="preserve">OCG: </w:t>
      </w:r>
      <w:r>
        <w:t>§5.2</w:t>
      </w:r>
    </w:p>
    <w:p>
      <w:r>
        <w:rPr>
          <w:b/>
        </w:rPr>
        <w:t xml:space="preserve">Facts. </w:t>
      </w:r>
      <w:r>
        <w:t>The phase table total is $1,708,950. The staffing table total is $1,825,000, and the same total results from pricing the Section 7 phase-by-timekeeper hours. Every phase is understated: L200 by $1,200, L300 by $57,000, L400 by $51,200, L500 by $2,150, L600 by $1,500 and L700 by $3,000. The proposal states that the tables "reconcile," uses the lower figure in the grand total, and gives no explanation.</w:t>
      </w:r>
    </w:p>
    <w:p>
      <w:r>
        <w:rPr>
          <w:b/>
        </w:rPr>
        <w:t xml:space="preserve">Analysis. </w:t>
      </w:r>
      <w:r>
        <w:t>An unexplained discrepancy means the budget is returned and not approved (§5.2). The headline $2,397,450 is $116,050 below the firm's own inputs, so phase-level overruns under §5.3 are likely almost immediately. This is most acute in L300 and L400.</w:t>
      </w:r>
    </w:p>
    <w:p>
      <w:r>
        <w:rPr>
          <w:b/>
        </w:rPr>
        <w:t xml:space="preserve">Recommendation. </w:t>
      </w:r>
      <w:r>
        <w:t>Return the budget. Require corrected phase fees calculated from hours × approved rates, and a restated grand total.</w:t>
      </w:r>
    </w:p>
    <w:p>
      <w:pPr>
        <w:pStyle w:val="Heading3"/>
      </w:pPr>
      <w:r>
        <w:t>C-2. Unauthorized L700 post-trial/appeal reserve</w:t>
      </w:r>
    </w:p>
    <w:p>
      <w:r>
        <w:rPr>
          <w:b/>
        </w:rPr>
        <w:t xml:space="preserve">Severity: </w:t>
      </w:r>
      <w:r>
        <w:t xml:space="preserve">High    </w:t>
      </w:r>
      <w:r>
        <w:rPr>
          <w:b/>
        </w:rPr>
        <w:t xml:space="preserve">OCG: </w:t>
      </w:r>
      <w:r>
        <w:t>§5.4; App. A</w:t>
      </w:r>
    </w:p>
    <w:p>
      <w:r>
        <w:rPr>
          <w:b/>
        </w:rPr>
        <w:t xml:space="preserve">Facts. </w:t>
      </w:r>
      <w:r>
        <w:t>The proposal includes 200 hours and $92,000 (priced at $95,000 on the staffing inputs) "as a matter of prudent planning." The firm's own workbook states that "No appellate planning was requested by the client."</w:t>
      </w:r>
    </w:p>
    <w:p>
      <w:r>
        <w:rPr>
          <w:b/>
        </w:rPr>
        <w:t xml:space="preserve">Analysis. </w:t>
      </w:r>
      <w:r>
        <w:t>An unrequested L700 reserve requires the budget to be returned, and the reserve cannot be approved without specific GC authorization and a supporting memorandum.</w:t>
      </w:r>
    </w:p>
    <w:p>
      <w:r>
        <w:rPr>
          <w:b/>
        </w:rPr>
        <w:t xml:space="preserve">Recommendation. </w:t>
      </w:r>
      <w:r>
        <w:t>Remove L700 in full. Any future appellate reserve should come only at the GC's request, as a separate line item.</w:t>
      </w:r>
    </w:p>
    <w:p>
      <w:pPr>
        <w:pStyle w:val="Heading3"/>
      </w:pPr>
      <w:r>
        <w:t>C-3. Phase code coverage</w:t>
      </w:r>
    </w:p>
    <w:p>
      <w:r>
        <w:rPr>
          <w:b/>
        </w:rPr>
        <w:t xml:space="preserve">Severity: </w:t>
      </w:r>
      <w:r>
        <w:t xml:space="preserve">Low    </w:t>
      </w:r>
      <w:r>
        <w:rPr>
          <w:b/>
        </w:rPr>
        <w:t xml:space="preserve">OCG: </w:t>
      </w:r>
      <w:r>
        <w:t>§5.2(a); §6.2; App. A</w:t>
      </w:r>
    </w:p>
    <w:p>
      <w:r>
        <w:rPr>
          <w:b/>
        </w:rPr>
        <w:t xml:space="preserve">Facts. </w:t>
      </w:r>
      <w:r>
        <w:t>The 2025 budget has no L100 phase, even though case administration continues. The 2024 actuals booked $41,200 to "L800," which is not a code in Appendix A.</w:t>
      </w:r>
    </w:p>
    <w:p>
      <w:r>
        <w:rPr>
          <w:b/>
        </w:rPr>
        <w:t xml:space="preserve">Analysis. </w:t>
      </w:r>
      <w:r>
        <w:t>Invoices must use the Appendix A codes. Work with no budget line tends to get pushed into other phases.</w:t>
      </w:r>
    </w:p>
    <w:p>
      <w:r>
        <w:rPr>
          <w:b/>
        </w:rPr>
        <w:t xml:space="preserve">Recommendation. </w:t>
      </w:r>
      <w:r>
        <w:t>Ask the firm to confirm where case-administration time will be coded and to stop using L800.</w:t>
      </w:r>
    </w:p>
    <w:p>
      <w:pPr>
        <w:pStyle w:val="Heading2"/>
      </w:pPr>
      <w:r>
        <w:t>Category D — Expenses</w:t>
      </w:r>
    </w:p>
    <w:p>
      <w:pPr>
        <w:pStyle w:val="Heading3"/>
      </w:pPr>
      <w:r>
        <w:t>D-1. E-discovery sole-sourced above $200,000 threshold</w:t>
      </w:r>
    </w:p>
    <w:p>
      <w:r>
        <w:rPr>
          <w:b/>
        </w:rPr>
        <w:t xml:space="preserve">Severity: </w:t>
      </w:r>
      <w:r>
        <w:t xml:space="preserve">High    </w:t>
      </w:r>
      <w:r>
        <w:rPr>
          <w:b/>
        </w:rPr>
        <w:t xml:space="preserve">OCG: </w:t>
      </w:r>
      <w:r>
        <w:t>§7.2(a), (b)</w:t>
      </w:r>
    </w:p>
    <w:p>
      <w:r>
        <w:rPr>
          <w:b/>
        </w:rPr>
        <w:t xml:space="preserve">Facts. </w:t>
      </w:r>
      <w:r>
        <w:t>The proposal budgets $285,000 for Clearpoint ("We have engaged..."), on top of $108,500 spent in 2024, for about $393,500 over the life of the matter. No competitive bids are documented. The assumed volume of 2.5 million documents compares with about 45,000 reviewed in 2024.</w:t>
      </w:r>
    </w:p>
    <w:p>
      <w:r>
        <w:rPr>
          <w:b/>
        </w:rPr>
        <w:t xml:space="preserve">Analysis. </w:t>
      </w:r>
      <w:r>
        <w:t>Above $200,000, the OCG requires bids from three vendors, or a documented sole-source justification with written GC approval, before the vendor is engaged. The jump in volume needs support.</w:t>
      </w:r>
    </w:p>
    <w:p>
      <w:r>
        <w:rPr>
          <w:b/>
        </w:rPr>
        <w:t xml:space="preserve">Recommendation. </w:t>
      </w:r>
      <w:r>
        <w:t>Hold the $285,000 until the firm submits bids or a sole-source justification, and support for the volume estimate. Require monthly e-discovery cost reporting under §7.2(b).</w:t>
      </w:r>
    </w:p>
    <w:p>
      <w:pPr>
        <w:pStyle w:val="Heading3"/>
      </w:pPr>
      <w:r>
        <w:t>D-2. Expert fees exceed pre-approval threshold</w:t>
      </w:r>
    </w:p>
    <w:p>
      <w:r>
        <w:rPr>
          <w:b/>
        </w:rPr>
        <w:t xml:space="preserve">Severity: </w:t>
      </w:r>
      <w:r>
        <w:t xml:space="preserve">Medium    </w:t>
      </w:r>
      <w:r>
        <w:rPr>
          <w:b/>
        </w:rPr>
        <w:t xml:space="preserve">OCG: </w:t>
      </w:r>
      <w:r>
        <w:t>§7.3(a), (c)</w:t>
      </w:r>
    </w:p>
    <w:p>
      <w:r>
        <w:rPr>
          <w:b/>
        </w:rPr>
        <w:t xml:space="preserve">Facts. </w:t>
      </w:r>
      <w:r>
        <w:t>The proposal budgets a damages expert at $90,000 and a forensics expert at $85,000. "Selection is currently underway."</w:t>
      </w:r>
    </w:p>
    <w:p>
      <w:r>
        <w:rPr>
          <w:b/>
        </w:rPr>
        <w:t xml:space="preserve">Analysis. </w:t>
      </w:r>
      <w:r>
        <w:t>Each expert exceeds $75,000, so each needs pre-approval (CV, scope, fee schedule, justification) before retention. Draft reports must reach the GC 15 business days before the deadline, and expert discovery closes on December 15, 2025.</w:t>
      </w:r>
    </w:p>
    <w:p>
      <w:r>
        <w:rPr>
          <w:b/>
        </w:rPr>
        <w:t xml:space="preserve">Recommendation. </w:t>
      </w:r>
      <w:r>
        <w:t>Approve these amounts only provisionally, pending §7.3 packages. Set a calendar date for delivery of draft reports.</w:t>
      </w:r>
    </w:p>
    <w:p>
      <w:pPr>
        <w:pStyle w:val="Heading3"/>
      </w:pPr>
      <w:r>
        <w:t>D-3. Business-class travel and travel caps</w:t>
      </w:r>
    </w:p>
    <w:p>
      <w:r>
        <w:rPr>
          <w:b/>
        </w:rPr>
        <w:t xml:space="preserve">Severity: </w:t>
      </w:r>
      <w:r>
        <w:t xml:space="preserve">Medium    </w:t>
      </w:r>
      <w:r>
        <w:rPr>
          <w:b/>
        </w:rPr>
        <w:t xml:space="preserve">OCG: </w:t>
      </w:r>
      <w:r>
        <w:t>§7.4(a), (c), (d), (e); §6.4(e)</w:t>
      </w:r>
    </w:p>
    <w:p>
      <w:r>
        <w:rPr>
          <w:b/>
        </w:rPr>
        <w:t xml:space="preserve">Facts. </w:t>
      </w:r>
      <w:r>
        <w:t>The proposal plans business class for Croft to Miami and New York "to accommodate scheduling demands," with hotels at "negotiated corporate rates." Travel is budgeted at $68,000, against $19,750 actually spent in 2024.</w:t>
      </w:r>
    </w:p>
    <w:p>
      <w:r>
        <w:rPr>
          <w:b/>
        </w:rPr>
        <w:t xml:space="preserve">Analysis. </w:t>
      </w:r>
      <w:r>
        <w:t>Domestic trips of this length do not meet the "extraordinary circumstances" standard. The fare premium would be limited to economy. Hotels must be at or below $275/$200 per night, meals at or below $75 per day, and alcohol is excluded. Travel time is non-billable unless it is approved and the trip exceeds 4 hours.</w:t>
      </w:r>
    </w:p>
    <w:p>
      <w:r>
        <w:rPr>
          <w:b/>
        </w:rPr>
        <w:t xml:space="preserve">Recommendation. </w:t>
      </w:r>
      <w:r>
        <w:t>Deny business class. Ask for a travel estimate built on economy fares and the OCG caps.</w:t>
      </w:r>
    </w:p>
    <w:p>
      <w:pPr>
        <w:pStyle w:val="Heading3"/>
      </w:pPr>
      <w:r>
        <w:t>D-4. Mock trial / jury consulting requires advance approval</w:t>
      </w:r>
    </w:p>
    <w:p>
      <w:r>
        <w:rPr>
          <w:b/>
        </w:rPr>
        <w:t xml:space="preserve">Severity: </w:t>
      </w:r>
      <w:r>
        <w:t xml:space="preserve">Medium    </w:t>
      </w:r>
      <w:r>
        <w:rPr>
          <w:b/>
        </w:rPr>
        <w:t xml:space="preserve">OCG: </w:t>
      </w:r>
      <w:r>
        <w:t>§7.7</w:t>
      </w:r>
    </w:p>
    <w:p>
      <w:r>
        <w:rPr>
          <w:b/>
        </w:rPr>
        <w:t xml:space="preserve">Facts. </w:t>
      </w:r>
      <w:r>
        <w:t>The proposal budgets $95,000 for Silvermark and says it has already "identified" the vendor.</w:t>
      </w:r>
    </w:p>
    <w:p>
      <w:r>
        <w:rPr>
          <w:b/>
        </w:rPr>
        <w:t xml:space="preserve">Analysis. </w:t>
      </w:r>
      <w:r>
        <w:t>Jury consultants and mock trials above $10,000 need advance written GC approval. Nothing was budgeted or spent on this in 2024.</w:t>
      </w:r>
    </w:p>
    <w:p>
      <w:r>
        <w:rPr>
          <w:b/>
        </w:rPr>
        <w:t xml:space="preserve">Recommendation. </w:t>
      </w:r>
      <w:r>
        <w:t>Treat the mock trial as a separate decision item. Ask for a Silvermark proposal and a cost-benefit rationale, including a scaled-down option such as one panel.</w:t>
      </w:r>
    </w:p>
    <w:p>
      <w:pPr>
        <w:pStyle w:val="Heading3"/>
      </w:pPr>
      <w:r>
        <w:t>D-5. Internal copying/printing</w:t>
      </w:r>
    </w:p>
    <w:p>
      <w:r>
        <w:rPr>
          <w:b/>
        </w:rPr>
        <w:t xml:space="preserve">Severity: </w:t>
      </w:r>
      <w:r>
        <w:t xml:space="preserve">High    </w:t>
      </w:r>
      <w:r>
        <w:rPr>
          <w:b/>
        </w:rPr>
        <w:t xml:space="preserve">OCG: </w:t>
      </w:r>
      <w:r>
        <w:t>§7.5; §7.8(a)</w:t>
      </w:r>
    </w:p>
    <w:p>
      <w:r>
        <w:rPr>
          <w:b/>
        </w:rPr>
        <w:t xml:space="preserve">Facts. </w:t>
      </w:r>
      <w:r>
        <w:t>The proposal budgets $15,000 for "internal document reproduction." In 2024 the firm correctly budgeted third-party copying only, $3,100 actual.</w:t>
      </w:r>
    </w:p>
    <w:p>
      <w:r>
        <w:rPr>
          <w:b/>
        </w:rPr>
        <w:t xml:space="preserve">Analysis. </w:t>
      </w:r>
      <w:r>
        <w:t>Internal copying is overhead and is not reimbursable "regardless of how... labeled."</w:t>
      </w:r>
    </w:p>
    <w:p>
      <w:r>
        <w:rPr>
          <w:b/>
        </w:rPr>
        <w:t xml:space="preserve">Recommendation. </w:t>
      </w:r>
      <w:r>
        <w:t>Remove the $15,000. Only third-party vendor costs with invoices may be claimed.</w:t>
      </w:r>
    </w:p>
    <w:p>
      <w:pPr>
        <w:pStyle w:val="Heading3"/>
      </w:pPr>
      <w:r>
        <w:t>D-6. Deposition cost coverage</w:t>
      </w:r>
    </w:p>
    <w:p>
      <w:r>
        <w:rPr>
          <w:b/>
        </w:rPr>
        <w:t xml:space="preserve">Severity: </w:t>
      </w:r>
      <w:r>
        <w:t xml:space="preserve">Low    </w:t>
      </w:r>
      <w:r>
        <w:rPr>
          <w:b/>
        </w:rPr>
        <w:t xml:space="preserve">OCG: </w:t>
      </w:r>
      <w:r>
        <w:t>§5.2(c), (d)</w:t>
      </w:r>
    </w:p>
    <w:p>
      <w:r>
        <w:rPr>
          <w:b/>
        </w:rPr>
        <w:t xml:space="preserve">Facts. </w:t>
      </w:r>
      <w:r>
        <w:t>The proposal budgets $42,000 for 12–15 fact depositions. Its assumptions also include 2–4 expert depositions. The 2024 cost was about $4,700 per deposition.</w:t>
      </w:r>
    </w:p>
    <w:p>
      <w:r>
        <w:rPr>
          <w:b/>
        </w:rPr>
        <w:t xml:space="preserve">Analysis. </w:t>
      </w:r>
      <w:r>
        <w:t>The figure may not cover the expert depositions, which creates overrun risk.</w:t>
      </w:r>
    </w:p>
    <w:p>
      <w:r>
        <w:rPr>
          <w:b/>
        </w:rPr>
        <w:t xml:space="preserve">Recommendation. </w:t>
      </w:r>
      <w:r>
        <w:t>Ask the firm to confirm the scope of the estimate.</w:t>
      </w:r>
    </w:p>
    <w:p>
      <w:pPr>
        <w:pStyle w:val="Heading2"/>
      </w:pPr>
      <w:r>
        <w:t>Category E — Billing Terms and Compliance Representations</w:t>
      </w:r>
    </w:p>
    <w:p>
      <w:pPr>
        <w:pStyle w:val="Heading3"/>
      </w:pPr>
      <w:r>
        <w:t>E-1 / E-2 / E-3. Mischaracterized OCG terms and approval channel</w:t>
      </w:r>
    </w:p>
    <w:p>
      <w:r>
        <w:rPr>
          <w:b/>
        </w:rPr>
        <w:t xml:space="preserve">Severity: </w:t>
      </w:r>
      <w:r>
        <w:t xml:space="preserve">Medium    </w:t>
      </w:r>
      <w:r>
        <w:rPr>
          <w:b/>
        </w:rPr>
        <w:t xml:space="preserve">OCG: </w:t>
      </w:r>
      <w:r>
        <w:t>§§1.2, 1.3, 2.2, 6.1, 8.1–8.3</w:t>
      </w:r>
    </w:p>
    <w:p>
      <w:r>
        <w:rPr>
          <w:b/>
        </w:rPr>
        <w:t xml:space="preserve">Facts. </w:t>
      </w:r>
      <w:r>
        <w:t>Section 8 of the proposal says invoices are "payable net 45 days from the date of submission" and are submitted "through Lexera." It says timekeeper approvals and expense pre-approvals "will be administered in coordination with Lexera." The conflicts certification refers only to the firm's internal policies.</w:t>
      </w:r>
    </w:p>
    <w:p>
      <w:r>
        <w:rPr>
          <w:b/>
        </w:rPr>
        <w:t xml:space="preserve">Analysis. </w:t>
      </w:r>
      <w:r>
        <w:t>Payment is due 45 days from receipt of a compliant invoice, and the period restarts if an invoice is returned. Invoices go in LEDES 1998B format through the designated e-billing platform. Only the GC may grant approvals, and firms may not negotiate with Lexera. §2.2 requires a certification that no conflicts exist at budget submission.</w:t>
      </w:r>
    </w:p>
    <w:p>
      <w:r>
        <w:rPr>
          <w:b/>
        </w:rPr>
        <w:t xml:space="preserve">Recommendation. </w:t>
      </w:r>
      <w:r>
        <w:t>Require the revised budget to restate these terms correctly and to give an unqualified §2.2 conflicts certification.</w:t>
      </w:r>
    </w:p>
    <w:p>
      <w:pPr>
        <w:pStyle w:val="Heading2"/>
      </w:pPr>
      <w:r>
        <w:t>Category F — Historical Performance and Data Integrity</w:t>
      </w:r>
    </w:p>
    <w:p>
      <w:pPr>
        <w:pStyle w:val="Heading3"/>
      </w:pPr>
      <w:r>
        <w:t>F-1. 2024 "under budget" presentation is misleading</w:t>
      </w:r>
    </w:p>
    <w:p>
      <w:r>
        <w:rPr>
          <w:b/>
        </w:rPr>
        <w:t xml:space="preserve">Severity: </w:t>
      </w:r>
      <w:r>
        <w:t xml:space="preserve">Medium    </w:t>
      </w:r>
      <w:r>
        <w:rPr>
          <w:b/>
        </w:rPr>
        <w:t xml:space="preserve">OCG: </w:t>
      </w:r>
      <w:r>
        <w:t>§5.3; §9.1(c)</w:t>
      </w:r>
    </w:p>
    <w:p>
      <w:r>
        <w:rPr>
          <w:b/>
        </w:rPr>
        <w:t xml:space="preserve">Facts. </w:t>
      </w:r>
      <w:r>
        <w:t>The workbook reports $462,350 in actual spend against a $485,000 budget, 4.7% under. But the firm billed $518,000 gross, which is $33,000 (6.8%) over the approved budget. It reaches "net" by subtracting Lexera's reductions. The workbook also shows the original budget as $540,150 "gross" less a $55,150 "audit adjustment," which makes no sense for a budget.</w:t>
      </w:r>
    </w:p>
    <w:p>
      <w:r>
        <w:rPr>
          <w:b/>
        </w:rPr>
        <w:t xml:space="preserve">Analysis. </w:t>
      </w:r>
      <w:r>
        <w:t>Budget discipline should be measured on what the firm billed. The firm stayed "under budget" only because of the auditor's reductions.</w:t>
      </w:r>
    </w:p>
    <w:p>
      <w:r>
        <w:rPr>
          <w:b/>
        </w:rPr>
        <w:t xml:space="preserve">Recommendation. </w:t>
      </w:r>
      <w:r>
        <w:t>Ask for 2024 budget-to-actual figures on a gross-billed basis. Keep the overrun in mind when assessing how realistic the 2025 budget is.</w:t>
      </w:r>
    </w:p>
    <w:p>
      <w:pPr>
        <w:pStyle w:val="Heading3"/>
      </w:pPr>
      <w:r>
        <w:t>F-2. 2024 phase detail does not tie out</w:t>
      </w:r>
    </w:p>
    <w:p>
      <w:r>
        <w:rPr>
          <w:b/>
        </w:rPr>
        <w:t xml:space="preserve">Severity: </w:t>
      </w:r>
      <w:r>
        <w:t xml:space="preserve">Medium    </w:t>
      </w:r>
      <w:r>
        <w:rPr>
          <w:b/>
        </w:rPr>
        <w:t xml:space="preserve">OCG: </w:t>
      </w:r>
      <w:r>
        <w:t>§5.2; §6.2</w:t>
      </w:r>
    </w:p>
    <w:p>
      <w:r>
        <w:rPr>
          <w:b/>
        </w:rPr>
        <w:t xml:space="preserve">Facts. </w:t>
      </w:r>
      <w:r>
        <w:t>The parent-level phases (L100–L800) sum to 788 hours / $348,150. The "including L300" total of 988 hours / $462,350 cannot be reached by adding the sub-phases, which would give 1,153 hours / $510,650. It matches the timekeeper totals instead. About 200 hours and $114,200 are not allocated to any phase.</w:t>
      </w:r>
    </w:p>
    <w:p>
      <w:r>
        <w:rPr>
          <w:b/>
        </w:rPr>
        <w:t xml:space="preserve">Analysis. </w:t>
      </w:r>
      <w:r>
        <w:t>Phase reporting that cannot be reconciled undermines budget-to-actual monitoring.</w:t>
      </w:r>
    </w:p>
    <w:p>
      <w:r>
        <w:rPr>
          <w:b/>
        </w:rPr>
        <w:t xml:space="preserve">Recommendation. </w:t>
      </w:r>
      <w:r>
        <w:t>Ask the firm to reconcile the 2024 phase actuals to the timekeeper actuals, entry by entry.</w:t>
      </w:r>
    </w:p>
    <w:p>
      <w:pPr>
        <w:pStyle w:val="Heading3"/>
      </w:pPr>
      <w:r>
        <w:t>F-3. Pattern of billing non-compliance</w:t>
      </w:r>
    </w:p>
    <w:p>
      <w:r>
        <w:rPr>
          <w:b/>
        </w:rPr>
        <w:t xml:space="preserve">Severity: </w:t>
      </w:r>
      <w:r>
        <w:t xml:space="preserve">Medium    </w:t>
      </w:r>
      <w:r>
        <w:rPr>
          <w:b/>
        </w:rPr>
        <w:t xml:space="preserve">OCG: </w:t>
      </w:r>
      <w:r>
        <w:t>§6.3; §6.4</w:t>
      </w:r>
    </w:p>
    <w:p>
      <w:r>
        <w:rPr>
          <w:b/>
        </w:rPr>
        <w:t xml:space="preserve">Facts. </w:t>
      </w:r>
      <w:r>
        <w:t>Lexera cut $55,650 (10.7% of gross) in 2024: $22,400 for block billing, $12,850 for vague entries, $9,200 for excessive time, $7,100 for administrative tasks and $4,100 other. The proposal nonetheless represents that "block billing will not be used."</w:t>
      </w:r>
    </w:p>
    <w:p>
      <w:r>
        <w:rPr>
          <w:b/>
        </w:rPr>
        <w:t xml:space="preserve">Analysis. </w:t>
      </w:r>
      <w:r>
        <w:t>The history conflicts with the firm's compliance representations.</w:t>
      </w:r>
    </w:p>
    <w:p>
      <w:r>
        <w:rPr>
          <w:b/>
        </w:rPr>
        <w:t xml:space="preserve">Recommendation. </w:t>
      </w:r>
      <w:r>
        <w:t>Put the firm on notice. Ask Lexera for enhanced review in 2025, and consider a corrective action plan (§1.3).</w:t>
      </w:r>
    </w:p>
    <w:p>
      <w:pPr>
        <w:pStyle w:val="Heading1"/>
      </w:pPr>
      <w:r>
        <w:t>5. Document Inconsistencies Noted</w:t>
      </w:r>
    </w:p>
    <w:tbl>
      <w:tblPr>
        <w:tblStyle w:val="TableGrid"/>
        <w:tblW w:type="auto" w:w="0"/>
        <w:tblLook w:firstColumn="1" w:firstRow="1" w:lastColumn="0" w:lastRow="0" w:noHBand="0" w:noVBand="1" w:val="04A0"/>
      </w:tblPr>
      <w:tblGrid>
        <w:gridCol w:w="3216"/>
        <w:gridCol w:w="3216"/>
        <w:gridCol w:w="3216"/>
      </w:tblGrid>
      <w:tr>
        <w:tc>
          <w:tcPr>
            <w:tcW w:type="dxa" w:w="2304"/>
            <w:shd w:val="clear" w:color="auto" w:fill="D9E2F3"/>
          </w:tcPr>
          <w:p>
            <w:r/>
            <w:r>
              <w:rPr>
                <w:b/>
                <w:sz w:val="19"/>
              </w:rPr>
              <w:t>Item</w:t>
            </w:r>
          </w:p>
        </w:tc>
        <w:tc>
          <w:tcPr>
            <w:tcW w:type="dxa" w:w="3168"/>
            <w:shd w:val="clear" w:color="auto" w:fill="D9E2F3"/>
          </w:tcPr>
          <w:p>
            <w:r/>
            <w:r>
              <w:rPr>
                <w:b/>
                <w:sz w:val="19"/>
              </w:rPr>
              <w:t>Proposal</w:t>
            </w:r>
          </w:p>
        </w:tc>
        <w:tc>
          <w:tcPr>
            <w:tcW w:type="dxa" w:w="4176"/>
            <w:shd w:val="clear" w:color="auto" w:fill="D9E2F3"/>
          </w:tcPr>
          <w:p>
            <w:r/>
            <w:r>
              <w:rPr>
                <w:b/>
                <w:sz w:val="19"/>
              </w:rPr>
              <w:t>Other Source</w:t>
            </w:r>
          </w:p>
        </w:tc>
      </w:tr>
      <w:tr>
        <w:tc>
          <w:tcPr>
            <w:tcW w:type="dxa" w:w="2304"/>
          </w:tcPr>
          <w:p>
            <w:r/>
            <w:r>
              <w:rPr>
                <w:sz w:val="19"/>
              </w:rPr>
              <w:t>Yoon 2024 rate</w:t>
            </w:r>
          </w:p>
        </w:tc>
        <w:tc>
          <w:tcPr>
            <w:tcW w:type="dxa" w:w="3168"/>
          </w:tcPr>
          <w:p>
            <w:r/>
            <w:r>
              <w:rPr>
                <w:sz w:val="19"/>
              </w:rPr>
              <w:t>$415 (2.4%)</w:t>
            </w:r>
          </w:p>
        </w:tc>
        <w:tc>
          <w:tcPr>
            <w:tcW w:type="dxa" w:w="4176"/>
          </w:tcPr>
          <w:p>
            <w:r/>
            <w:r>
              <w:rPr>
                <w:sz w:val="19"/>
              </w:rPr>
              <w:t>$410 — rate notice and 2024 workbook (3.66%)</w:t>
            </w:r>
          </w:p>
        </w:tc>
      </w:tr>
      <w:tr>
        <w:tc>
          <w:tcPr>
            <w:tcW w:type="dxa" w:w="2304"/>
          </w:tcPr>
          <w:p>
            <w:r/>
            <w:r>
              <w:rPr>
                <w:sz w:val="19"/>
              </w:rPr>
              <w:t>Novak 2024 rate</w:t>
            </w:r>
          </w:p>
        </w:tc>
        <w:tc>
          <w:tcPr>
            <w:tcW w:type="dxa" w:w="3168"/>
          </w:tcPr>
          <w:p>
            <w:r/>
            <w:r>
              <w:rPr>
                <w:sz w:val="19"/>
              </w:rPr>
              <w:t>$365 (2.7%)</w:t>
            </w:r>
          </w:p>
        </w:tc>
        <w:tc>
          <w:tcPr>
            <w:tcW w:type="dxa" w:w="4176"/>
          </w:tcPr>
          <w:p>
            <w:r/>
            <w:r>
              <w:rPr>
                <w:sz w:val="19"/>
              </w:rPr>
              <w:t>$360 billed per 2024 workbook (4.17%)</w:t>
            </w:r>
          </w:p>
        </w:tc>
      </w:tr>
      <w:tr>
        <w:tc>
          <w:tcPr>
            <w:tcW w:type="dxa" w:w="2304"/>
          </w:tcPr>
          <w:p>
            <w:r/>
            <w:r>
              <w:rPr>
                <w:sz w:val="19"/>
              </w:rPr>
              <w:t>Paralegal name</w:t>
            </w:r>
          </w:p>
        </w:tc>
        <w:tc>
          <w:tcPr>
            <w:tcW w:type="dxa" w:w="3168"/>
          </w:tcPr>
          <w:p>
            <w:r/>
            <w:r>
              <w:rPr>
                <w:sz w:val="19"/>
              </w:rPr>
              <w:t>Margaret Hu</w:t>
            </w:r>
          </w:p>
        </w:tc>
        <w:tc>
          <w:tcPr>
            <w:tcW w:type="dxa" w:w="4176"/>
          </w:tcPr>
          <w:p>
            <w:r/>
            <w:r>
              <w:rPr>
                <w:sz w:val="19"/>
              </w:rPr>
              <w:t>"Margaret Hsu" — addition request (mixed) and workbook</w:t>
            </w:r>
          </w:p>
        </w:tc>
      </w:tr>
      <w:tr>
        <w:tc>
          <w:tcPr>
            <w:tcW w:type="dxa" w:w="2304"/>
          </w:tcPr>
          <w:p>
            <w:r/>
            <w:r>
              <w:rPr>
                <w:sz w:val="19"/>
              </w:rPr>
              <w:t>Hu prior rate</w:t>
            </w:r>
          </w:p>
        </w:tc>
        <w:tc>
          <w:tcPr>
            <w:tcW w:type="dxa" w:w="3168"/>
          </w:tcPr>
          <w:p>
            <w:r/>
            <w:r>
              <w:rPr>
                <w:sz w:val="19"/>
              </w:rPr>
              <w:t>$215 (2024)</w:t>
            </w:r>
          </w:p>
        </w:tc>
        <w:tc>
          <w:tcPr>
            <w:tcW w:type="dxa" w:w="4176"/>
          </w:tcPr>
          <w:p>
            <w:r/>
            <w:r>
              <w:rPr>
                <w:sz w:val="19"/>
              </w:rPr>
              <w:t>Not on matter in 2024; no paralegal per Dec. 15 notice</w:t>
            </w:r>
          </w:p>
        </w:tc>
      </w:tr>
      <w:tr>
        <w:tc>
          <w:tcPr>
            <w:tcW w:type="dxa" w:w="2304"/>
          </w:tcPr>
          <w:p>
            <w:r/>
            <w:r>
              <w:rPr>
                <w:sz w:val="19"/>
              </w:rPr>
              <w:t>Paralegal status Dec. 2024</w:t>
            </w:r>
          </w:p>
        </w:tc>
        <w:tc>
          <w:tcPr>
            <w:tcW w:type="dxa" w:w="3168"/>
          </w:tcPr>
          <w:p>
            <w:r/>
            <w:r>
              <w:rPr>
                <w:sz w:val="19"/>
              </w:rPr>
              <w:t>—</w:t>
            </w:r>
          </w:p>
        </w:tc>
        <w:tc>
          <w:tcPr>
            <w:tcW w:type="dxa" w:w="4176"/>
          </w:tcPr>
          <w:p>
            <w:r/>
            <w:r>
              <w:rPr>
                <w:sz w:val="19"/>
              </w:rPr>
              <w:t>Notice: none assigned; workbook: Ferrante billed through Dec. 2024</w:t>
            </w:r>
          </w:p>
        </w:tc>
      </w:tr>
      <w:tr>
        <w:tc>
          <w:tcPr>
            <w:tcW w:type="dxa" w:w="2304"/>
          </w:tcPr>
          <w:p>
            <w:r/>
            <w:r>
              <w:rPr>
                <w:sz w:val="19"/>
              </w:rPr>
              <w:t>Phase vs. staffing fees</w:t>
            </w:r>
          </w:p>
        </w:tc>
        <w:tc>
          <w:tcPr>
            <w:tcW w:type="dxa" w:w="3168"/>
          </w:tcPr>
          <w:p>
            <w:r/>
            <w:r>
              <w:rPr>
                <w:sz w:val="19"/>
              </w:rPr>
              <w:t>$1,708,950 (claimed to reconcile)</w:t>
            </w:r>
          </w:p>
        </w:tc>
        <w:tc>
          <w:tcPr>
            <w:tcW w:type="dxa" w:w="4176"/>
          </w:tcPr>
          <w:p>
            <w:r/>
            <w:r>
              <w:rPr>
                <w:sz w:val="19"/>
              </w:rPr>
              <w:t>$1,825,000 on the proposal's own hours × rates</w:t>
            </w:r>
          </w:p>
        </w:tc>
      </w:tr>
      <w:tr>
        <w:tc>
          <w:tcPr>
            <w:tcW w:type="dxa" w:w="2304"/>
          </w:tcPr>
          <w:p>
            <w:r/>
            <w:r>
              <w:rPr>
                <w:sz w:val="19"/>
              </w:rPr>
              <w:t>Firm address / phone</w:t>
            </w:r>
          </w:p>
        </w:tc>
        <w:tc>
          <w:tcPr>
            <w:tcW w:type="dxa" w:w="3168"/>
          </w:tcPr>
          <w:p>
            <w:r/>
            <w:r>
              <w:rPr>
                <w:sz w:val="19"/>
              </w:rPr>
              <w:t>200 S. Tryon; (704) 555-0173</w:t>
            </w:r>
          </w:p>
        </w:tc>
        <w:tc>
          <w:tcPr>
            <w:tcW w:type="dxa" w:w="4176"/>
          </w:tcPr>
          <w:p>
            <w:r/>
            <w:r>
              <w:rPr>
                <w:sz w:val="19"/>
              </w:rPr>
              <w:t>215 S. Tryon; (704) 555-8214 in emails</w:t>
            </w:r>
          </w:p>
        </w:tc>
      </w:tr>
    </w:tbl>
    <w:p/>
    <w:p>
      <w:pPr>
        <w:pStyle w:val="Heading1"/>
      </w:pPr>
      <w:r>
        <w:t>6. Recommended Actions</w:t>
      </w:r>
    </w:p>
    <w:p>
      <w:pPr>
        <w:pStyle w:val="ListNumber"/>
      </w:pPr>
      <w:r>
        <w:t>Return the budget for revision under §§5.2 and 5.4, listing Issues A-1–A-5, C-1, C-2 and D-5 as mandatory corrections.</w:t>
      </w:r>
    </w:p>
    <w:p>
      <w:pPr>
        <w:pStyle w:val="ListNumber"/>
      </w:pPr>
      <w:r>
        <w:t>Decide on the untimely 2025 rate request (§3.2(b)): deny it in full (Scenario B) or accept it only up to cap and 3% (Scenario A). Confirm the outcome in writing.</w:t>
      </w:r>
    </w:p>
    <w:p>
      <w:pPr>
        <w:pStyle w:val="ListNumber"/>
      </w:pPr>
      <w:r>
        <w:t>Direct Lexera to audit January 2025–present invoices for over-cap or unapproved rates and for time Hu billed before approval, and to recover overpayments.</w:t>
      </w:r>
    </w:p>
    <w:p>
      <w:pPr>
        <w:pStyle w:val="ListNumber"/>
      </w:pPr>
      <w:r>
        <w:t>Respond to the Hu request: approval is withheld until a compliant §4.3 notice is received at a rate of $200 or less. Require a §4.3 request, or removal from the budget, for Whitaker.</w:t>
      </w:r>
    </w:p>
    <w:p>
      <w:pPr>
        <w:pStyle w:val="ListNumber"/>
      </w:pPr>
      <w:r>
        <w:t>Treat the e-discovery ($285,000), expert ($175,000) and mock trial ($95,000) budgets as provisional until the §7.2, §7.3 and §7.7 packages arrive. Deny business-class airfare.</w:t>
      </w:r>
    </w:p>
    <w:p>
      <w:pPr>
        <w:pStyle w:val="ListNumber"/>
      </w:pPr>
      <w:r>
        <w:t>Require a §6.5 trial and deposition attendance plan. No more than two attorneys may attend trial without written approval.</w:t>
      </w:r>
    </w:p>
    <w:p>
      <w:pPr>
        <w:pStyle w:val="ListNumber"/>
      </w:pPr>
      <w:r>
        <w:t>Require the revised submission to correct the Section 8 billing terms, give an OCG-compliant conflicts certification, and restate the 2024 actuals on a gross basis with a phase reconciliation.</w:t>
      </w:r>
    </w:p>
    <w:p>
      <w:pPr>
        <w:pStyle w:val="ListNumber"/>
      </w:pPr>
      <w:r>
        <w:t>Set a deadline for the revised budget, e.g., 10 business days, and schedule a budget review call with the lead partner.</w:t>
      </w:r>
    </w:p>
    <w:p>
      <w:r>
        <w:rPr>
          <w:b w:val="0"/>
          <w:i/>
        </w:rPr>
        <w:t>Note: figures are calculated from the firm's submitted hours and the OCG v4.2 caps. The ranges depend on the GC's decisions on the rate request and the pending pre-approvals.</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