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jc w:val="center"/>
      </w:pPr>
      <w:r>
        <w:rPr>
          <w:rFonts w:ascii="Times New Roman" w:hAnsi="Times New Roman"/>
          <w:b/>
          <w:color w:val="800000"/>
          <w:sz w:val="18"/>
        </w:rPr>
        <w:t>ATTORNEY-CLIENT PRIVILEGED &amp; CONFIDENTIAL</w:t>
      </w:r>
    </w:p>
    <w:p>
      <w:pPr>
        <w:pStyle w:val="Title"/>
        <w:widowControl/>
        <w:jc w:val="center"/>
      </w:pPr>
      <w:r>
        <w:t>UCC WARRANTY ANALYSIS</w:t>
        <w:br/>
        <w:t>AquaPure Max 9000 Launch</w:t>
      </w:r>
    </w:p>
    <w:p>
      <w:pPr>
        <w:widowControl/>
        <w:spacing w:after="200"/>
        <w:jc w:val="center"/>
      </w:pPr>
      <w:r>
        <w:rPr>
          <w:b/>
          <w:sz w:val="22"/>
        </w:rPr>
        <w:t>Cascade Industrial Technologies, Inc.</w:t>
      </w:r>
    </w:p>
    <w:tbl>
      <w:tblPr>
        <w:tblStyle w:val="TableGrid"/>
        <w:tblW w:type="auto" w:w="0"/>
        <w:jc w:val="center"/>
        <w:tblLook w:firstColumn="1" w:firstRow="1" w:lastColumn="0" w:lastRow="0" w:noHBand="0" w:noVBand="1" w:val="04A0"/>
      </w:tblPr>
      <w:tblGrid>
        <w:gridCol w:w="4939"/>
        <w:gridCol w:w="4939"/>
      </w:tblGrid>
      <w:tr>
        <w:trPr>
          <w:cantSplit/>
          <w:tblHeader w:val="true"/>
        </w:trPr>
        <w:tc>
          <w:tcPr>
            <w:tcW w:type="dxa" w:w="4939"/>
            <w:vAlign w:val="center"/>
            <w:shd w:fill="D9EAF7"/>
          </w:tcPr>
          <w:p>
            <w:pPr>
              <w:spacing w:after="20" w:before="20"/>
            </w:pPr>
            <w:r/>
            <w:r>
              <w:rPr>
                <w:rFonts w:ascii="Times New Roman" w:hAnsi="Times New Roman"/>
                <w:b/>
                <w:color w:val="17365D"/>
                <w:sz w:val="18"/>
              </w:rPr>
              <w:t>TO</w:t>
            </w:r>
          </w:p>
        </w:tc>
        <w:tc>
          <w:tcPr>
            <w:tcW w:type="dxa" w:w="4939"/>
            <w:vAlign w:val="center"/>
          </w:tcPr>
          <w:p>
            <w:pPr>
              <w:spacing w:after="20" w:before="20"/>
            </w:pPr>
            <w:r/>
            <w:r>
              <w:rPr>
                <w:rFonts w:ascii="Times New Roman" w:hAnsi="Times New Roman"/>
                <w:b w:val="0"/>
                <w:sz w:val="18"/>
              </w:rPr>
              <w:t>Rachel Ogilvie, General Counsel</w:t>
            </w:r>
          </w:p>
        </w:tc>
      </w:tr>
      <w:tr>
        <w:trPr>
          <w:cantSplit/>
        </w:trPr>
        <w:tc>
          <w:tcPr>
            <w:tcW w:type="dxa" w:w="4939"/>
            <w:vAlign w:val="center"/>
            <w:shd w:fill="D9EAF7"/>
          </w:tcPr>
          <w:p>
            <w:pPr>
              <w:spacing w:after="20" w:before="20"/>
            </w:pPr>
            <w:r/>
            <w:r>
              <w:rPr>
                <w:rFonts w:ascii="Times New Roman" w:hAnsi="Times New Roman"/>
                <w:b/>
                <w:color w:val="17365D"/>
                <w:sz w:val="18"/>
              </w:rPr>
              <w:t>FROM</w:t>
            </w:r>
          </w:p>
        </w:tc>
        <w:tc>
          <w:tcPr>
            <w:tcW w:type="dxa" w:w="4939"/>
            <w:vAlign w:val="center"/>
          </w:tcPr>
          <w:p>
            <w:pPr>
              <w:spacing w:after="20" w:before="20"/>
            </w:pPr>
            <w:r/>
            <w:r>
              <w:rPr>
                <w:rFonts w:ascii="Times New Roman" w:hAnsi="Times New Roman"/>
                <w:b w:val="0"/>
                <w:sz w:val="18"/>
              </w:rPr>
              <w:t>Nathan Hsu, Senior In-House Counsel</w:t>
            </w:r>
          </w:p>
        </w:tc>
      </w:tr>
      <w:tr>
        <w:trPr>
          <w:cantSplit/>
        </w:trPr>
        <w:tc>
          <w:tcPr>
            <w:tcW w:type="dxa" w:w="4939"/>
            <w:vAlign w:val="center"/>
            <w:shd w:fill="D9EAF7"/>
          </w:tcPr>
          <w:p>
            <w:pPr>
              <w:spacing w:after="20" w:before="20"/>
            </w:pPr>
            <w:r/>
            <w:r>
              <w:rPr>
                <w:rFonts w:ascii="Times New Roman" w:hAnsi="Times New Roman"/>
                <w:b/>
                <w:color w:val="17365D"/>
                <w:sz w:val="18"/>
              </w:rPr>
              <w:t>DATE</w:t>
            </w:r>
          </w:p>
        </w:tc>
        <w:tc>
          <w:tcPr>
            <w:tcW w:type="dxa" w:w="4939"/>
            <w:vAlign w:val="center"/>
          </w:tcPr>
          <w:p>
            <w:pPr>
              <w:spacing w:after="20" w:before="20"/>
            </w:pPr>
            <w:r/>
            <w:r>
              <w:rPr>
                <w:rFonts w:ascii="Times New Roman" w:hAnsi="Times New Roman"/>
                <w:b w:val="0"/>
                <w:sz w:val="18"/>
              </w:rPr>
              <w:t>March 3, 2025</w:t>
            </w:r>
          </w:p>
        </w:tc>
      </w:tr>
      <w:tr>
        <w:trPr>
          <w:cantSplit/>
        </w:trPr>
        <w:tc>
          <w:tcPr>
            <w:tcW w:type="dxa" w:w="4939"/>
            <w:vAlign w:val="center"/>
            <w:shd w:fill="D9EAF7"/>
          </w:tcPr>
          <w:p>
            <w:pPr>
              <w:spacing w:after="20" w:before="20"/>
            </w:pPr>
            <w:r/>
            <w:r>
              <w:rPr>
                <w:rFonts w:ascii="Times New Roman" w:hAnsi="Times New Roman"/>
                <w:b/>
                <w:color w:val="17365D"/>
                <w:sz w:val="18"/>
              </w:rPr>
              <w:t>RE</w:t>
            </w:r>
          </w:p>
        </w:tc>
        <w:tc>
          <w:tcPr>
            <w:tcW w:type="dxa" w:w="4939"/>
            <w:vAlign w:val="center"/>
          </w:tcPr>
          <w:p>
            <w:pPr>
              <w:spacing w:after="20" w:before="20"/>
            </w:pPr>
            <w:r/>
            <w:r>
              <w:rPr>
                <w:rFonts w:ascii="Times New Roman" w:hAnsi="Times New Roman"/>
                <w:b w:val="0"/>
                <w:sz w:val="18"/>
              </w:rPr>
              <w:t>Article 2 warranty framework, launch representations, and priority transactions</w:t>
            </w:r>
          </w:p>
        </w:tc>
      </w:tr>
    </w:tbl>
    <w:p>
      <w:pPr>
        <w:widowControl/>
      </w:pPr>
    </w:p>
    <w:p>
      <w:pPr>
        <w:pStyle w:val="Heading1"/>
        <w:widowControl/>
      </w:pPr>
      <w:r>
        <w:t>Executive Summary</w:t>
      </w:r>
    </w:p>
    <w:p>
      <w:pPr>
        <w:widowControl/>
      </w:pPr>
      <w:r>
        <w:rPr>
          <w:i w:val="0"/>
        </w:rPr>
        <w:t>Bottom line: CIT should not launch the AquaPure Max 9000 under the present documents and sales instructions. The principal risk is not simply that the warranty disclaimer may be formatted inadequately. CIT is repeatedly promising specific, measurable results—99.97% contaminant removal, 98.5% uptime, regulatory compliance, and “make it right”/“make customers whole”—while withholding its limited warranty and liability terms until delivery. A buyer could plausibly treat those statements as express warranties under UCC § 2-313, and the current warranty cannot reliably erase a conflicting promise after the bargain has been made.</w:t>
      </w:r>
    </w:p>
    <w:p>
      <w:pPr>
        <w:widowControl/>
      </w:pPr>
      <w:r>
        <w:rPr>
          <w:i w:val="0"/>
        </w:rPr>
        <w:t>This is a fixable alignment problem, not a recommendation to abandon the product or automatically withdraw every performance statement. CIT must choose, for each material claim, either (1) to make a defined, testable contractual commitment and price/manage the risk of honoring it, or (2) to describe a substantiated engineering target with precise conditions and stop using “guarantee,” “will ensure,” “make it right,” “make whole,” and categorical regulatory-compliance assurances. A disclaimer cannot turn a definite performance promise into puffery after the fact.</w:t>
      </w:r>
    </w:p>
    <w:tbl>
      <w:tblPr>
        <w:tblStyle w:val="TableGrid"/>
        <w:tblW w:type="auto" w:w="0"/>
        <w:jc w:val="center"/>
        <w:tblLook w:firstColumn="1" w:firstRow="1" w:lastColumn="0" w:lastRow="0" w:noHBand="0" w:noVBand="1" w:val="04A0"/>
      </w:tblPr>
      <w:tblGrid>
        <w:gridCol w:w="3293"/>
        <w:gridCol w:w="3293"/>
        <w:gridCol w:w="3293"/>
      </w:tblGrid>
      <w:tr>
        <w:trPr>
          <w:cantSplit/>
          <w:tblHeader w:val="true"/>
        </w:trPr>
        <w:tc>
          <w:tcPr>
            <w:tcW w:type="dxa" w:w="2088"/>
            <w:vAlign w:val="center"/>
            <w:shd w:fill="17365D"/>
          </w:tcPr>
          <w:p>
            <w:pPr>
              <w:spacing w:after="20" w:before="20"/>
            </w:pPr>
            <w:r/>
            <w:r>
              <w:rPr>
                <w:rFonts w:ascii="Times New Roman" w:hAnsi="Times New Roman"/>
                <w:b/>
                <w:color w:val="FFFFFF"/>
                <w:sz w:val="18"/>
              </w:rPr>
              <w:t>Issue</w:t>
            </w:r>
          </w:p>
        </w:tc>
        <w:tc>
          <w:tcPr>
            <w:tcW w:type="dxa" w:w="2232"/>
            <w:vAlign w:val="center"/>
            <w:shd w:fill="17365D"/>
          </w:tcPr>
          <w:p>
            <w:pPr>
              <w:spacing w:after="20" w:before="20"/>
            </w:pPr>
            <w:r/>
            <w:r>
              <w:rPr>
                <w:rFonts w:ascii="Times New Roman" w:hAnsi="Times New Roman"/>
                <w:b/>
                <w:color w:val="FFFFFF"/>
                <w:sz w:val="18"/>
              </w:rPr>
              <w:t>Assessment</w:t>
            </w:r>
          </w:p>
        </w:tc>
        <w:tc>
          <w:tcPr>
            <w:tcW w:type="dxa" w:w="5760"/>
            <w:vAlign w:val="center"/>
            <w:shd w:fill="17365D"/>
          </w:tcPr>
          <w:p>
            <w:pPr>
              <w:spacing w:after="20" w:before="20"/>
            </w:pPr>
            <w:r/>
            <w:r>
              <w:rPr>
                <w:rFonts w:ascii="Times New Roman" w:hAnsi="Times New Roman"/>
                <w:b/>
                <w:color w:val="FFFFFF"/>
                <w:sz w:val="18"/>
              </w:rPr>
              <w:t>Why it matters / immediate response</w:t>
            </w:r>
          </w:p>
        </w:tc>
      </w:tr>
      <w:tr>
        <w:trPr>
          <w:cantSplit/>
        </w:trPr>
        <w:tc>
          <w:tcPr>
            <w:tcW w:type="dxa" w:w="2088"/>
            <w:vAlign w:val="center"/>
            <w:shd w:fill="F2F6FA"/>
          </w:tcPr>
          <w:p>
            <w:pPr>
              <w:spacing w:after="20" w:before="20"/>
            </w:pPr>
            <w:r/>
            <w:r>
              <w:rPr>
                <w:rFonts w:ascii="Times New Roman" w:hAnsi="Times New Roman"/>
                <w:b w:val="0"/>
                <w:sz w:val="17"/>
              </w:rPr>
              <w:t>Pre-sale assent to warranty</w:t>
            </w:r>
          </w:p>
        </w:tc>
        <w:tc>
          <w:tcPr>
            <w:tcW w:type="dxa" w:w="2232"/>
            <w:vAlign w:val="center"/>
            <w:shd w:fill="F2F6FA"/>
          </w:tcPr>
          <w:p>
            <w:pPr>
              <w:spacing w:after="20" w:before="20"/>
            </w:pPr>
            <w:r/>
            <w:r>
              <w:rPr>
                <w:rFonts w:ascii="Times New Roman" w:hAnsi="Times New Roman"/>
                <w:b w:val="0"/>
                <w:sz w:val="17"/>
              </w:rPr>
              <w:t>CRITICAL — current process is highly vulnerable.</w:t>
            </w:r>
          </w:p>
        </w:tc>
        <w:tc>
          <w:tcPr>
            <w:tcW w:type="dxa" w:w="5760"/>
            <w:vAlign w:val="center"/>
            <w:shd w:fill="F2F6FA"/>
          </w:tcPr>
          <w:p>
            <w:pPr>
              <w:spacing w:after="20" w:before="20"/>
            </w:pPr>
            <w:r/>
            <w:r>
              <w:rPr>
                <w:rFonts w:ascii="Times New Roman" w:hAnsi="Times New Roman"/>
                <w:b w:val="0"/>
                <w:sz w:val="17"/>
              </w:rPr>
              <w:t>The warranty says delivery constitutes acknowledgment; the quotation says full terms arrive with delivery; sales instructions expressly prohibit pre-sale delivery. Attach and obtain agreement to all material terms before order acceptance.</w:t>
            </w:r>
          </w:p>
        </w:tc>
      </w:tr>
      <w:tr>
        <w:trPr>
          <w:cantSplit/>
        </w:trPr>
        <w:tc>
          <w:tcPr>
            <w:tcW w:type="dxa" w:w="2088"/>
            <w:vAlign w:val="center"/>
          </w:tcPr>
          <w:p>
            <w:pPr>
              <w:spacing w:after="20" w:before="20"/>
            </w:pPr>
            <w:r/>
            <w:r>
              <w:rPr>
                <w:rFonts w:ascii="Times New Roman" w:hAnsi="Times New Roman"/>
                <w:b w:val="0"/>
                <w:sz w:val="17"/>
              </w:rPr>
              <w:t>Performance representations</w:t>
            </w:r>
          </w:p>
        </w:tc>
        <w:tc>
          <w:tcPr>
            <w:tcW w:type="dxa" w:w="2232"/>
            <w:vAlign w:val="center"/>
          </w:tcPr>
          <w:p>
            <w:pPr>
              <w:spacing w:after="20" w:before="20"/>
            </w:pPr>
            <w:r/>
            <w:r>
              <w:rPr>
                <w:rFonts w:ascii="Times New Roman" w:hAnsi="Times New Roman"/>
                <w:b w:val="0"/>
                <w:sz w:val="17"/>
              </w:rPr>
              <w:t>CRITICAL — strong express-warranty evidence.</w:t>
            </w:r>
          </w:p>
        </w:tc>
        <w:tc>
          <w:tcPr>
            <w:tcW w:type="dxa" w:w="5760"/>
            <w:vAlign w:val="center"/>
          </w:tcPr>
          <w:p>
            <w:pPr>
              <w:spacing w:after="20" w:before="20"/>
            </w:pPr>
            <w:r/>
            <w:r>
              <w:rPr>
                <w:rFonts w:ascii="Times New Roman" w:hAnsi="Times New Roman"/>
                <w:b w:val="0"/>
                <w:sz w:val="17"/>
              </w:rPr>
              <w:t>Brochure, deck, quote, and prescribed oral scripts repeat objective metrics and unconditional promises. Align a signed performance schedule with those representations or revise the claims before further customer use.</w:t>
            </w:r>
          </w:p>
        </w:tc>
      </w:tr>
      <w:tr>
        <w:trPr>
          <w:cantSplit/>
        </w:trPr>
        <w:tc>
          <w:tcPr>
            <w:tcW w:type="dxa" w:w="2088"/>
            <w:vAlign w:val="center"/>
            <w:shd w:fill="F2F6FA"/>
          </w:tcPr>
          <w:p>
            <w:pPr>
              <w:spacing w:after="20" w:before="20"/>
            </w:pPr>
            <w:r/>
            <w:r>
              <w:rPr>
                <w:rFonts w:ascii="Times New Roman" w:hAnsi="Times New Roman"/>
                <w:b w:val="0"/>
                <w:sz w:val="17"/>
              </w:rPr>
              <w:t>Disclaimer formatting</w:t>
            </w:r>
          </w:p>
        </w:tc>
        <w:tc>
          <w:tcPr>
            <w:tcW w:type="dxa" w:w="2232"/>
            <w:vAlign w:val="center"/>
            <w:shd w:fill="F2F6FA"/>
          </w:tcPr>
          <w:p>
            <w:pPr>
              <w:spacing w:after="20" w:before="20"/>
            </w:pPr>
            <w:r/>
            <w:r>
              <w:rPr>
                <w:rFonts w:ascii="Times New Roman" w:hAnsi="Times New Roman"/>
                <w:b w:val="0"/>
                <w:sz w:val="17"/>
              </w:rPr>
              <w:t>MATERIAL, but not the primary defect.</w:t>
            </w:r>
          </w:p>
        </w:tc>
        <w:tc>
          <w:tcPr>
            <w:tcW w:type="dxa" w:w="5760"/>
            <w:vAlign w:val="center"/>
            <w:shd w:fill="F2F6FA"/>
          </w:tcPr>
          <w:p>
            <w:pPr>
              <w:spacing w:after="20" w:before="20"/>
            </w:pPr>
            <w:r/>
            <w:r>
              <w:rPr>
                <w:rFonts w:ascii="Times New Roman" w:hAnsi="Times New Roman"/>
                <w:b w:val="0"/>
                <w:sz w:val="17"/>
              </w:rPr>
              <w:t>The operative disclaimer paragraphs are all caps but same 11-point Times New Roman as body text; the sections have separate bold 14-point headings. Uppercase and headings help, but bold/box/contrast and pre-sale presentation materially improve the record.</w:t>
            </w:r>
          </w:p>
        </w:tc>
      </w:tr>
      <w:tr>
        <w:trPr>
          <w:cantSplit/>
        </w:trPr>
        <w:tc>
          <w:tcPr>
            <w:tcW w:type="dxa" w:w="2088"/>
            <w:vAlign w:val="center"/>
          </w:tcPr>
          <w:p>
            <w:pPr>
              <w:spacing w:after="20" w:before="20"/>
            </w:pPr>
            <w:r/>
            <w:r>
              <w:rPr>
                <w:rFonts w:ascii="Times New Roman" w:hAnsi="Times New Roman"/>
                <w:b w:val="0"/>
                <w:sz w:val="17"/>
              </w:rPr>
              <w:t>AquaMonitor software</w:t>
            </w:r>
          </w:p>
        </w:tc>
        <w:tc>
          <w:tcPr>
            <w:tcW w:type="dxa" w:w="2232"/>
            <w:vAlign w:val="center"/>
          </w:tcPr>
          <w:p>
            <w:pPr>
              <w:spacing w:after="20" w:before="20"/>
            </w:pPr>
            <w:r/>
            <w:r>
              <w:rPr>
                <w:rFonts w:ascii="Times New Roman" w:hAnsi="Times New Roman"/>
                <w:b w:val="0"/>
                <w:sz w:val="17"/>
              </w:rPr>
              <w:t>CRITICAL product/document gap.</w:t>
            </w:r>
          </w:p>
        </w:tc>
        <w:tc>
          <w:tcPr>
            <w:tcW w:type="dxa" w:w="5760"/>
            <w:vAlign w:val="center"/>
          </w:tcPr>
          <w:p>
            <w:pPr>
              <w:spacing w:after="20" w:before="20"/>
            </w:pPr>
            <w:r/>
            <w:r>
              <w:rPr>
                <w:rFonts w:ascii="Times New Roman" w:hAnsi="Times New Roman"/>
                <w:b w:val="0"/>
                <w:sz w:val="17"/>
              </w:rPr>
              <w:t>Current “Product” definition is hardware-focused; AquaMonitor is marketed for accurate real-time water-quality data, compliance records, alerts, cloud access, and 21 C.F.R. Part 11 logging. No distinct software/SaaS warranty, EULA, security schedule, or service-level terms were provided.</w:t>
            </w:r>
          </w:p>
        </w:tc>
      </w:tr>
      <w:tr>
        <w:trPr>
          <w:cantSplit/>
        </w:trPr>
        <w:tc>
          <w:tcPr>
            <w:tcW w:type="dxa" w:w="2088"/>
            <w:vAlign w:val="center"/>
            <w:shd w:fill="F2F6FA"/>
          </w:tcPr>
          <w:p>
            <w:pPr>
              <w:spacing w:after="20" w:before="20"/>
            </w:pPr>
            <w:r/>
            <w:r>
              <w:rPr>
                <w:rFonts w:ascii="Times New Roman" w:hAnsi="Times New Roman"/>
                <w:b w:val="0"/>
                <w:sz w:val="17"/>
              </w:rPr>
              <w:t>Exclusive remedy / damages exclusion</w:t>
            </w:r>
          </w:p>
        </w:tc>
        <w:tc>
          <w:tcPr>
            <w:tcW w:type="dxa" w:w="2232"/>
            <w:vAlign w:val="center"/>
            <w:shd w:fill="F2F6FA"/>
          </w:tcPr>
          <w:p>
            <w:pPr>
              <w:spacing w:after="20" w:before="20"/>
            </w:pPr>
            <w:r/>
            <w:r>
              <w:rPr>
                <w:rFonts w:ascii="Times New Roman" w:hAnsi="Times New Roman"/>
                <w:b w:val="0"/>
                <w:sz w:val="17"/>
              </w:rPr>
              <w:t>HIGH and fact-sensitive.</w:t>
            </w:r>
          </w:p>
        </w:tc>
        <w:tc>
          <w:tcPr>
            <w:tcW w:type="dxa" w:w="5760"/>
            <w:vAlign w:val="center"/>
            <w:shd w:fill="F2F6FA"/>
          </w:tcPr>
          <w:p>
            <w:pPr>
              <w:spacing w:after="20" w:before="20"/>
            </w:pPr>
            <w:r/>
            <w:r>
              <w:rPr>
                <w:rFonts w:ascii="Times New Roman" w:hAnsi="Times New Roman"/>
                <w:b w:val="0"/>
                <w:sz w:val="17"/>
              </w:rPr>
              <w:t>A clear independent-survival clause helps CIT, but does not guarantee survival in every forum. No repair-completion deadline exists; historical repair times and settlements strengthen buyer arguments.</w:t>
            </w:r>
          </w:p>
        </w:tc>
      </w:tr>
      <w:tr>
        <w:trPr>
          <w:cantSplit/>
        </w:trPr>
        <w:tc>
          <w:tcPr>
            <w:tcW w:type="dxa" w:w="2088"/>
            <w:vAlign w:val="center"/>
          </w:tcPr>
          <w:p>
            <w:pPr>
              <w:spacing w:after="20" w:before="20"/>
            </w:pPr>
            <w:r/>
            <w:r>
              <w:rPr>
                <w:rFonts w:ascii="Times New Roman" w:hAnsi="Times New Roman"/>
                <w:b w:val="0"/>
                <w:sz w:val="17"/>
              </w:rPr>
              <w:t>Texas / California priority deals</w:t>
            </w:r>
          </w:p>
        </w:tc>
        <w:tc>
          <w:tcPr>
            <w:tcW w:type="dxa" w:w="2232"/>
            <w:vAlign w:val="center"/>
          </w:tcPr>
          <w:p>
            <w:pPr>
              <w:spacing w:after="20" w:before="20"/>
            </w:pPr>
            <w:r/>
            <w:r>
              <w:rPr>
                <w:rFonts w:ascii="Times New Roman" w:hAnsi="Times New Roman"/>
                <w:b w:val="0"/>
                <w:sz w:val="17"/>
              </w:rPr>
              <w:t>HIGH transaction-specific diligence.</w:t>
            </w:r>
          </w:p>
        </w:tc>
        <w:tc>
          <w:tcPr>
            <w:tcW w:type="dxa" w:w="5760"/>
            <w:vAlign w:val="center"/>
          </w:tcPr>
          <w:p>
            <w:pPr>
              <w:spacing w:after="20" w:before="20"/>
            </w:pPr>
            <w:r/>
            <w:r>
              <w:rPr>
                <w:rFonts w:ascii="Times New Roman" w:hAnsi="Times New Roman"/>
                <w:b w:val="0"/>
                <w:sz w:val="17"/>
              </w:rPr>
              <w:t>No blanket Texas rule has been identified that makes UCC warranty disclaimers unavailable to all local-government purchasers. Verify the authority’s enabling statute, procurement documents, approval, and contract remedies. California consumer statutes likely do not govern this commercial equipment sale, but use—not the co-op label alone—controls.</w:t>
            </w:r>
          </w:p>
        </w:tc>
      </w:tr>
      <w:tr>
        <w:trPr>
          <w:cantSplit/>
        </w:trPr>
        <w:tc>
          <w:tcPr>
            <w:tcW w:type="dxa" w:w="2088"/>
            <w:vAlign w:val="center"/>
            <w:shd w:fill="F2F6FA"/>
          </w:tcPr>
          <w:p>
            <w:pPr>
              <w:spacing w:after="20" w:before="20"/>
            </w:pPr>
            <w:r/>
            <w:r>
              <w:rPr>
                <w:rFonts w:ascii="Times New Roman" w:hAnsi="Times New Roman"/>
                <w:b w:val="0"/>
                <w:sz w:val="17"/>
              </w:rPr>
              <w:t>Insurance</w:t>
            </w:r>
          </w:p>
        </w:tc>
        <w:tc>
          <w:tcPr>
            <w:tcW w:type="dxa" w:w="2232"/>
            <w:vAlign w:val="center"/>
            <w:shd w:fill="F2F6FA"/>
          </w:tcPr>
          <w:p>
            <w:pPr>
              <w:spacing w:after="20" w:before="20"/>
            </w:pPr>
            <w:r/>
            <w:r>
              <w:rPr>
                <w:rFonts w:ascii="Times New Roman" w:hAnsi="Times New Roman"/>
                <w:b w:val="0"/>
                <w:sz w:val="17"/>
              </w:rPr>
              <w:t>HIGH coverage uncertainty.</w:t>
            </w:r>
          </w:p>
        </w:tc>
        <w:tc>
          <w:tcPr>
            <w:tcW w:type="dxa" w:w="5760"/>
            <w:vAlign w:val="center"/>
            <w:shd w:fill="F2F6FA"/>
          </w:tcPr>
          <w:p>
            <w:pPr>
              <w:spacing w:after="20" w:before="20"/>
            </w:pPr>
            <w:r/>
            <w:r>
              <w:rPr>
                <w:rFonts w:ascii="Times New Roman" w:hAnsi="Times New Roman"/>
                <w:b w:val="0"/>
                <w:sz w:val="17"/>
              </w:rPr>
              <w:t>Broker reports $154,000 annual premium increase without expanded contractual-liability coverage. Obtain the policy, written carrier position, and separate cyber/technology E&amp;O analysis; the broker letter is not a coverage determination.</w:t>
            </w:r>
          </w:p>
        </w:tc>
      </w:tr>
    </w:tbl>
    <w:p>
      <w:pPr>
        <w:widowControl/>
        <w:spacing w:after="0"/>
      </w:pPr>
    </w:p>
    <w:p>
      <w:pPr>
        <w:pStyle w:val="Heading2"/>
        <w:widowControl/>
      </w:pPr>
      <w:r>
        <w:t>Decisions requested</w:t>
      </w:r>
    </w:p>
    <w:p>
      <w:pPr>
        <w:pStyle w:val="ListNumber"/>
        <w:widowControl/>
        <w:spacing w:after="60"/>
      </w:pPr>
      <w:r>
        <w:t>Immediately suspend use of current “Total Performance Guarantee” scripts and unapproved customer-facing drafts; provide sales with a short interim script approved by Legal. Do not tell customers CIT will “make them whole” or that the terms will only be provided on delivery.</w:t>
      </w:r>
    </w:p>
    <w:p>
      <w:pPr>
        <w:pStyle w:val="ListNumber"/>
        <w:widowControl/>
        <w:spacing w:after="60"/>
      </w:pPr>
      <w:r>
        <w:t>Direct Product/Engineering to substantiate each claimed metric and identify test methods, operating envelope, source-water assumptions, contaminant list, measurement points, maintenance assumptions, software functions, and limitations. Do not publish or contract for claims that have not been validated for the actual Max 9000 configuration.</w:t>
      </w:r>
    </w:p>
    <w:p>
      <w:pPr>
        <w:pStyle w:val="ListNumber"/>
        <w:widowControl/>
        <w:spacing w:after="60"/>
      </w:pPr>
      <w:r>
        <w:t>Authorize a pre-sale master sale agreement and product-specific performance schedule, presented with the quotation and signed before order acceptance, plus a separate but coordinated AquaMonitor/cloud-services schedule.</w:t>
      </w:r>
    </w:p>
    <w:p>
      <w:pPr>
        <w:pStyle w:val="ListNumber"/>
        <w:widowControl/>
        <w:spacing w:after="60"/>
      </w:pPr>
      <w:r>
        <w:t>Require deal-specific review before committing to Triton, Great Lakes, or Harmon Valley, and obtain written insurance advice before fixing the final guarantee/remedy architecture.</w:t>
      </w:r>
    </w:p>
    <w:p>
      <w:pPr>
        <w:pStyle w:val="Heading1"/>
        <w:widowControl/>
      </w:pPr>
      <w:r>
        <w:t>1. Scope, Record Reviewed, and Important Qualifications</w:t>
      </w:r>
    </w:p>
    <w:p>
      <w:pPr>
        <w:widowControl/>
      </w:pPr>
      <w:r>
        <w:rPr>
          <w:i w:val="0"/>
        </w:rPr>
        <w:t>This memorandum reviews the documents supplied for the March 3, 2025 assignment: (i) CIT Standard Limited Warranty, AquaPure Series, Rev. March 15, 2021; (ii) draft Max 9000 “Total Performance Guarantee” brochure; (iii) January 2025 customer sales deck; (iv) January 2025 quotation-letter template; (v) Priya Dasgupta’s January 8, 2025 sales-instruction memo; (vi) Birchwood, Sato &amp; Klein LLP’s March 22, 2021 memo; (vii) the FY2022–FY2024 warranty-claims workbook; (viii) the January 22, 2025 Stoneridge Risk Advisors letter; and (ix) the assignment/management correspondence.</w:t>
      </w:r>
    </w:p>
    <w:p>
      <w:pPr>
        <w:widowControl/>
      </w:pPr>
      <w:r>
        <w:rPr>
          <w:i w:val="0"/>
        </w:rPr>
        <w:t>No separate AquaMonitor v3.2 product specification, architecture/security documentation, software license, SaaS terms, service-level agreement, validation report, or complete insurance policy was provided. The underlying email-campaign copy mentioned by Stoneridge was also not supplied; its coverage letter is not a substitute for reviewing the actual customer-facing email. The brochure and deck describe software functions, but do not establish their technical performance or safeguards. No underlying Triton procurement/RFP, Great Lakes LOI or purchase terms, Harmon Valley governing documents, customer purchase orders, final contracts, or Redmond pleadings/insurance reservation letters were provided. Transaction-specific and software conclusions therefore identify issues to verify, not facts assumed.</w:t>
      </w:r>
    </w:p>
    <w:p>
      <w:pPr>
        <w:widowControl/>
      </w:pPr>
      <w:r>
        <w:rPr>
          <w:i w:val="0"/>
        </w:rPr>
        <w:t>This is an internal legal analysis based on the stated record and the UCC as enacted in the identified states. It is not a formal opinion on a particular final contract, a coverage determination, or advice on the merits of the Missouri Redmond case. Because public procurement and consumer-law rules turn on the buyer’s legal identity and actual use, local counsel should confirm specific statutory provisions and procurement documents before signature. The UCC is state law, not one nationally identical code; the principal Article 2 provisions are substantially uniform, but governing-law, public-entity, and consumer overlays differ.</w:t>
      </w:r>
    </w:p>
    <w:p>
      <w:pPr>
        <w:pStyle w:val="Heading1"/>
        <w:widowControl/>
      </w:pPr>
      <w:r>
        <w:t>2. Material Facts and the Central Alignment Problem</w:t>
      </w:r>
    </w:p>
    <w:p>
      <w:pPr>
        <w:pStyle w:val="ListBullet"/>
        <w:widowControl/>
        <w:spacing w:after="40"/>
      </w:pPr>
      <w:r>
        <w:t>The 2021 warranty provides a three-year parts / one-year labor limited warranty for defects in materials and workmanship under “Normal Use.” It defines Product primarily as hardware, makes performance beyond published hardware specifications outside the warranty scope, and offers repair or replacement at CIT’s option. Its disclaimer, liability cap, and consequential-damages exclusion are broad.</w:t>
      </w:r>
    </w:p>
    <w:p>
      <w:pPr>
        <w:pStyle w:val="ListBullet"/>
        <w:widowControl/>
        <w:spacing w:after="40"/>
      </w:pPr>
      <w:r>
        <w:t>The warranty’s disclaimer is in uppercase 11-point Times New Roman; the operative disclaimer text is not bold or otherwise separately boxed. Section 5 and Section 6 headings are bold 14-point. Thus the disclaimer is not literally indistinguishable from all surrounding content, but its operative paragraphs are body-size text.</w:t>
      </w:r>
    </w:p>
    <w:p>
      <w:pPr>
        <w:pStyle w:val="ListBullet"/>
        <w:widowControl/>
        <w:spacing w:after="40"/>
      </w:pPr>
      <w:r>
        <w:t>The existing warranty includes Oregon governing-law and Multnomah County forum terms (§§ 7.1–7.2), and an entire-agreement clause (§ 7.3). Those clauses do not solve the more basic issue of whether the warranty was made part of the contract before or at formation; they also cannot reliably negate an inconsistent express warranty.</w:t>
      </w:r>
    </w:p>
    <w:p>
      <w:pPr>
        <w:pStyle w:val="ListBullet"/>
        <w:widowControl/>
        <w:spacing w:after="40"/>
      </w:pPr>
      <w:r>
        <w:t>The quote gives precise Max 9000 performance specifications and says that the product delivers water meeting or exceeding applicable standards. It describes AquaMonitor as providing continuous performance visibility and contaminant-rate reporting. Yet it says complete warranty terms are included with delivery and calls itself informational/nonbinding. Those labels do not eliminate the possibility that its descriptions become part of the basis of the bargain.</w:t>
      </w:r>
    </w:p>
    <w:p>
      <w:pPr>
        <w:pStyle w:val="ListBullet"/>
        <w:widowControl/>
        <w:spacing w:after="40"/>
      </w:pPr>
      <w:r>
        <w:t>The brochure and sales deck call the performance program a guarantee, promise 99.97% removal and 98.5% uptime, state that CIT will “make it right” or “make customers whole,” and claim compliance with EPA/state, FDA/USDA, USP, GMP, and (in the deck) 21 C.F.R. Part 11 requirements. The documents do not define sampling, validation, treatment boundaries, allowed feed-water ranges, exclusions, cure period, or what “make it right” means.</w:t>
      </w:r>
    </w:p>
    <w:p>
      <w:pPr>
        <w:pStyle w:val="ListBullet"/>
        <w:widowControl/>
        <w:spacing w:after="40"/>
      </w:pPr>
      <w:r>
        <w:t>The internal sales memo does more than encourage confidence: it directs reps to state the metrics are guaranteed, not estimates, to tailor customer-specific commitments, and not to provide the warranty before purchase. The memo itself is not ordinarily a customer-facing affirmation, but it is evidence of CIT’s intended sales practice, apparent authority, and the words likely to reach buyers.</w:t>
      </w:r>
    </w:p>
    <w:p>
      <w:pPr>
        <w:pStyle w:val="ListBullet"/>
        <w:widowControl/>
        <w:spacing w:after="40"/>
      </w:pPr>
      <w:r>
        <w:t>The launch pipeline is 25 units / approximately $12.3 million: Triton (12 base units / $5.7 million), Great Lakes (8 enhanced units / $4.2 million), and Harmon Valley (5 mixed units / $2.4 million). Prices are $475,000–$525,000 per unit. Enhanced units include AquaMonitor remote/cloud features.</w:t>
      </w:r>
    </w:p>
    <w:p>
      <w:pPr>
        <w:pStyle w:val="Heading1"/>
        <w:widowControl/>
      </w:pPr>
      <w:r>
        <w:t>3. Governing UCC Framework</w:t>
      </w:r>
    </w:p>
    <w:p>
      <w:pPr>
        <w:pStyle w:val="Heading2"/>
        <w:widowControl/>
      </w:pPr>
      <w:r>
        <w:t>3.1 Express warranties and the basis of the bargain — § 2-313</w:t>
      </w:r>
    </w:p>
    <w:p>
      <w:pPr>
        <w:widowControl/>
      </w:pPr>
      <w:r>
        <w:rPr>
          <w:i w:val="0"/>
        </w:rPr>
        <w:t>UCC § 2-313 provides that an affirmation of fact or promise relating to the goods, a description of the goods, or a sample/model that becomes part of the basis of the bargain creates an express warranty. No formal use of “warrant” is necessary. Objective, specific statements are more likely to be enforceable than generalized sales praise. Whether a particular statement became part of the bargain is fact-specific; a pre-sale brochure, sales deck, quotation, demonstration, or authorized salesperson’s statement may be important evidence. A “not binding offer” label is not by itself a defense: a representation can induce the transaction even if the document is not the final contract.</w:t>
      </w:r>
    </w:p>
    <w:p>
      <w:pPr>
        <w:widowControl/>
      </w:pPr>
      <w:r>
        <w:rPr>
          <w:i w:val="0"/>
        </w:rPr>
        <w:t>The metrics here are unusually concrete: contaminant removal percentages by contaminant class, gallons/day, uptime, 15-year design life, regulatory compliance, real-time accuracy, audit-ready reports, and automated alerts. The word “guarantee,” “verified,” the CEO’s endorsement, and the sales instruction that reps must call these commitments materially strengthen the buyer’s case. “Make it right” is less definite as to remedy, but supports the conclusion that CIT intended a performance commitment and invites disputes over what cure is owed.</w:t>
      </w:r>
    </w:p>
    <w:p>
      <w:pPr>
        <w:widowControl/>
      </w:pPr>
      <w:r>
        <w:rPr>
          <w:i w:val="0"/>
        </w:rPr>
        <w:t>UCC § 2-316(1) requires express warranties and disclaimer language to be read consistently where reasonable; a disclaimer is inoperative to the extent that construction is unreasonable. Thus a generic “no other warranties” paragraph cannot reliably erase a specific 99.97% promise. A merger/integration clause may help identify the final contract, but it does not automatically extinguish a specific representation that the parties treated as part of the bargain, nor cure fraud/misrepresentation issues or a failure to incorporate the warranty terms.</w:t>
      </w:r>
    </w:p>
    <w:p>
      <w:pPr>
        <w:pStyle w:val="Heading2"/>
        <w:widowControl/>
      </w:pPr>
      <w:r>
        <w:t>3.2 Implied warranties and disclaimer — §§ 2-314 to 2-316</w:t>
      </w:r>
    </w:p>
    <w:p>
      <w:pPr>
        <w:widowControl/>
      </w:pPr>
      <w:r>
        <w:rPr>
          <w:i w:val="0"/>
        </w:rPr>
        <w:t>Unless excluded or modified, a merchant seller generally gives an implied warranty of merchantability (§ 2-314): the goods must, among other things, pass without objection in the trade and be fit for the ordinary purposes for which such goods are used. An implied warranty of fitness for a particular purpose (§ 2-315) can arise when the seller has reason to know the buyer’s particular purpose and the buyer relies on the seller’s skill or judgment in selecting suitable goods. CIT’s own direction to tailor the pitch to the water quality, regulatory, and operational needs of municipalities, processors, farms, and pharmaceutical manufacturers can support a § 2-315 theory, depending on the sales dialogue and buyer’s actual reliance.</w:t>
      </w:r>
    </w:p>
    <w:p>
      <w:pPr>
        <w:widowControl/>
      </w:pPr>
      <w:r>
        <w:rPr>
          <w:i w:val="0"/>
        </w:rPr>
        <w:t>Under § 2-316(2), a written disclaimer of merchantability must mention “merchantability” and be conspicuous; a written disclaimer of fitness must be conspicuous. Conspicuousness under § 1-201(b)(10) asks whether a reasonable person against whom the term operates ought to have noticed it. Statutory examples include headings in capitals equal to or larger than surrounding text, contrasting type/font/color, larger body text, or text set off by symbols/marks. Whether a term is conspicuous is ultimately for the court. Satisfying font-format rules does not establish pre-sale assent; conversely, a conspicuous disclaimer may still fail if it is first supplied after formation.</w:t>
      </w:r>
    </w:p>
    <w:p>
      <w:pPr>
        <w:pStyle w:val="Heading2"/>
        <w:widowControl/>
      </w:pPr>
      <w:r>
        <w:t>3.3 Terms, timing, and assent — §§ 2-204, 2-207, 2-209</w:t>
      </w:r>
    </w:p>
    <w:p>
      <w:pPr>
        <w:widowControl/>
      </w:pPr>
      <w:r>
        <w:rPr>
          <w:i w:val="0"/>
        </w:rPr>
        <w:t>Terms ordinarily must be agreed as part of contract formation. A warranty insert delivered after shipment is not automatically incorporated merely because the buyer keeps or installs expensive equipment. Courts differ on so-called “shrinkwrap” or rolling-contract theories, but a negotiated $475,000–$525,000 industrial system, installation/integration costs, a deposit, and no practical return path make post-sale assent a weak position. UCC § 2-207 may treat late terms as additional terms or proposed modifications; between merchants, material additional terms do not automatically enter the contract, and express objection or conflicting forms further complicate the analysis. An online passive link is weaker than a required pre-order click-through; best practice is a signed purchase agreement with the warranty attached and a clear order of precedence.</w:t>
      </w:r>
    </w:p>
    <w:p>
      <w:pPr>
        <w:widowControl/>
      </w:pPr>
      <w:r>
        <w:rPr>
          <w:i w:val="0"/>
        </w:rPr>
        <w:t>The quotation’s statement that CIT sales are subject to “standard terms and conditions” does not cure the gap if those terms are not provided, identified, attached, or affirmatively accepted. The current warranty’s statement that taking delivery constitutes acknowledgment is particularly vulnerable where the same company directs sales staff to withhold it until delivery. Oregon choice-of-law, forum, and integration clauses are also vulnerable if the instrument containing them never became part of the deal. Resolve buyer purchase-order conflicts expressly in the signed contract rather than relying on a one-sided form.</w:t>
      </w:r>
    </w:p>
    <w:p>
      <w:pPr>
        <w:pStyle w:val="Heading2"/>
        <w:widowControl/>
      </w:pPr>
      <w:r>
        <w:t>3.4 Exclusive remedies and damages limits — § 2-719</w:t>
      </w:r>
    </w:p>
    <w:p>
      <w:pPr>
        <w:widowControl/>
      </w:pPr>
      <w:r>
        <w:rPr>
          <w:i w:val="0"/>
        </w:rPr>
        <w:t>Section 2-719 generally permits parties to substitute an exclusive remedy such as repair or replacement (§ 2-719(1)). Under § 2-719(2), if circumstances cause that remedy to fail of its essential purpose, the buyer may pursue UCC remedies. Repair/replacement is not automatically invalid, and a successful repair can support CIT’s position. But an exclusive remedy may fail if CIT cannot or does not repair/replace within a reasonable time, repeated attempts do not restore conformity, parts are unavailable, or repair does not address the loss caused during the period of nonconforming performance. The applicable test and consequences are fact- and jurisdiction-dependent.</w:t>
      </w:r>
    </w:p>
    <w:p>
      <w:pPr>
        <w:widowControl/>
      </w:pPr>
      <w:r>
        <w:rPr>
          <w:i w:val="0"/>
        </w:rPr>
        <w:t>Consequential damages may be excluded unless unconscionable (§ 2-719(3)); commercial-loss exclusions are not presumptively unconscionable under the UCC, unlike certain personal-injury limits for consumer goods. Courts differ on whether a separately drafted consequential-damages exclusion survives failure of the exclusive repair remedy. CIT’s Section 6 says its cap and consequential-damages exclusion are independent and survive failure of an exclusive remedy. That language is helpful, but not dispositive in every state or on every record. A court may still consider unconscionability, public policy, bargaining context, lack of assent, conflicting performance promises, or claims outside the contract. A liability cap does not necessarily bar bodily injury/property damage, fraud, statutory claims, or intentional misconduct; savings clauses and carefully tailored exclusions should be evaluated, not assumed.</w:t>
      </w:r>
    </w:p>
    <w:p>
      <w:pPr>
        <w:pStyle w:val="Heading1"/>
        <w:widowControl/>
      </w:pPr>
      <w:r>
        <w:t>4. Current Standard Limited Warranty: Compliance and Deficiencies</w:t>
      </w:r>
    </w:p>
    <w:p>
      <w:pPr>
        <w:pStyle w:val="Heading2"/>
        <w:widowControl/>
      </w:pPr>
      <w:r>
        <w:t>4.1 Disclaimer wording is substantively sound, but formatting is not risk-free</w:t>
      </w:r>
    </w:p>
    <w:p>
      <w:pPr>
        <w:widowControl/>
      </w:pPr>
      <w:r>
        <w:rPr>
          <w:i w:val="0"/>
        </w:rPr>
        <w:t>The warranty expressly names both “merchantability” and “fitness for a particular purpose,” uses written language, and clearly states an intent to disclaim implied warranties. On its face, that meets the core textual requirements of the generally enacted § 2-316(2). Uppercase text is a meaningful notice device. In the supplied document, however, the disclaimer paragraphs are 11-point Times New Roman—the same size as body text—and not bold; only the section headings are visually larger/bold. A court could find uppercase and the prominent Section 5 heading enough, but the absence of additional contrast leaves avoidable room to argue a long, dense warranty did not draw a reasonable buyer’s attention. It is not accurate to say the disclaimer is necessarily invalid; it is equally unsafe to treat the present formatting as litigation-proof.</w:t>
      </w:r>
    </w:p>
    <w:p>
      <w:pPr>
        <w:widowControl/>
      </w:pPr>
      <w:r>
        <w:rPr>
          <w:i w:val="0"/>
        </w:rPr>
        <w:t>Recommendation: retain explicit statutory names, but format the complete disclaimer and the liability limitations in bold, uppercase text inside a shaded or bordered box, preceded by an equally prominent “IMPORTANT: WARRANTY DISCLAIMER AND LIMITATION OF LIABILITY” heading. Use a short, plain-language summary on the signature page and a separate buyer acknowledgment. Apply the same treatment to remedy limits, caps, and consequential-damage exclusions. Conspicuous formatting is an aid—not a substitute for providing the terms before contract formation.</w:t>
      </w:r>
    </w:p>
    <w:p>
      <w:pPr>
        <w:pStyle w:val="Heading2"/>
        <w:widowControl/>
      </w:pPr>
      <w:r>
        <w:t>4.2 The most serious existing defect is pre-sale delivery and incorporation</w:t>
      </w:r>
    </w:p>
    <w:p>
      <w:pPr>
        <w:widowControl/>
      </w:pPr>
      <w:r>
        <w:rPr>
          <w:i w:val="0"/>
        </w:rPr>
        <w:t>The 2021 warranty says the buyer acknowledges its terms “by taking delivery.” The January 2025 quotation states complete warranty terms are included with delivery, and the sales memo affirmatively tells reps not to provide the document before purchase. This makes the BSK memo’s 2021 recommendation to disclose warranty terms before sale more urgent: the recommendation was not implemented and current materials confirm the opposite practice. On the present record, there is no reliable basis to say disclaimers, liability limits, Oregon forum/law terms, or the exclusive remedy were mutually agreed before the customer committed.</w:t>
      </w:r>
    </w:p>
    <w:p>
      <w:pPr>
        <w:widowControl/>
      </w:pPr>
      <w:r>
        <w:rPr>
          <w:i w:val="0"/>
        </w:rPr>
        <w:t>Corrective action: attach the full warranty and any software/performance schedules to every quote and definitive purchase agreement; identify each by version/date; summarize the disclaimer/remedy provisions in the agreement; require authorized buyer signature or affirmative pre-order acceptance; and ensure CIT countersigns/accepts the deal on the same terms. Provide order-of-precedence language resolving the quote, master agreement, product schedules, warranty, and customer PO. Preserve the in-box copy only as a duplicate.</w:t>
      </w:r>
    </w:p>
    <w:p>
      <w:pPr>
        <w:pStyle w:val="Heading2"/>
        <w:widowControl/>
      </w:pPr>
      <w:r>
        <w:t>4.3 Scope and conditions create additional friction</w:t>
      </w:r>
    </w:p>
    <w:p>
      <w:pPr>
        <w:widowControl/>
      </w:pPr>
      <w:r>
        <w:rPr>
          <w:i w:val="0"/>
        </w:rPr>
        <w:t>The warranty is for hardware defects in materials/workmanship under Normal Use and excludes broader performance, results, uninterrupted/error-free operation, and information accuracy. Its Product definition lists hardware and related mechanical/electrical parts, not software or cloud services. It also imposes certified-installer, maintenance, source-water, and 30-day written-notice conditions; excludes third-party components; limits coverage to the original purchaser; and leaves CIT sole discretion over repair versus replacement. These terms may be enforceable in a properly formed commercial contract, but the conditions must be made available with the quote, objectively described, and administered consistently. Broad conditions that void all coverage for an unrelated aftermarket part or minor departure may face challenges; make any exclusion causal—loss caused by the non-CIT part or noncompliance—and disclose input limits, maintenance intervals, and service requirements in advance.</w:t>
      </w:r>
    </w:p>
    <w:p>
      <w:pPr>
        <w:widowControl/>
      </w:pPr>
      <w:r>
        <w:rPr>
          <w:i w:val="0"/>
        </w:rPr>
        <w:t>A 30-day notice-from-discovery condition should be reviewed against the UCC’s reasonable-notice rule (§ 2-607(3)(a)) and applicable state law, especially for latent contamination or software errors not readily detected. The 15-business-day commitment is only for acknowledgment/initial response; the warranty sets no completion deadline. That is a significant practical weakness in the exclusive-remedy structure. Define an investigation and cure process, escalation, parts availability, interim mitigation, and a reasonable outside completion date, with a stated alternative if CIT misses it.</w:t>
      </w:r>
    </w:p>
    <w:p>
      <w:pPr>
        <w:pStyle w:val="Heading2"/>
        <w:widowControl/>
      </w:pPr>
      <w:r>
        <w:t>4.4 Prior counsel memo contains record inconsistencies</w:t>
      </w:r>
    </w:p>
    <w:p>
      <w:pPr>
        <w:widowControl/>
      </w:pPr>
      <w:r>
        <w:rPr>
          <w:i w:val="0"/>
        </w:rPr>
        <w:t>BSK’s March 22, 2021 memo correctly identified the risks of post-sale delivery and marketing-created warranties, but expressly said the 2021 warranty had no governing-law/forum clause and no integration clause. The supplied March 15, 2021 warranty includes Oregon governing law and Multnomah County forum provisions (§§ 7.1–7.2) and an entire-agreement provision (§ 7.3). Confirm whether BSK reviewed a different draft or version; do not rely on those specific factual statements without reconciliation. BSK’s principal warnings on conspicuousness, pre-sale notice, and marketing review remain sound. The missing 2021 marketing/state-specific analysis is now central, and generic integration language cannot cure the present sales inconsistency.</w:t>
      </w:r>
    </w:p>
    <w:p>
      <w:pPr>
        <w:pStyle w:val="Heading1"/>
        <w:widowControl/>
      </w:pPr>
      <w:r>
        <w:t>5. Express Warranties in the Launch Materials and Sales Conduct</w:t>
      </w:r>
    </w:p>
    <w:tbl>
      <w:tblPr>
        <w:tblStyle w:val="TableGrid"/>
        <w:tblW w:type="auto" w:w="0"/>
        <w:jc w:val="center"/>
        <w:tblLook w:firstColumn="1" w:firstRow="1" w:lastColumn="0" w:lastRow="0" w:noHBand="0" w:noVBand="1" w:val="04A0"/>
      </w:tblPr>
      <w:tblGrid>
        <w:gridCol w:w="3293"/>
        <w:gridCol w:w="3293"/>
        <w:gridCol w:w="3293"/>
      </w:tblGrid>
      <w:tr>
        <w:trPr>
          <w:cantSplit/>
          <w:tblHeader w:val="true"/>
        </w:trPr>
        <w:tc>
          <w:tcPr>
            <w:tcW w:type="dxa" w:w="1944"/>
            <w:vAlign w:val="center"/>
            <w:shd w:fill="17365D"/>
          </w:tcPr>
          <w:p>
            <w:pPr>
              <w:spacing w:after="20" w:before="20"/>
            </w:pPr>
            <w:r/>
            <w:r>
              <w:rPr>
                <w:rFonts w:ascii="Times New Roman" w:hAnsi="Times New Roman"/>
                <w:b/>
                <w:color w:val="FFFFFF"/>
                <w:sz w:val="18"/>
              </w:rPr>
              <w:t>Material / conduct</w:t>
            </w:r>
          </w:p>
        </w:tc>
        <w:tc>
          <w:tcPr>
            <w:tcW w:type="dxa" w:w="2376"/>
            <w:vAlign w:val="center"/>
            <w:shd w:fill="17365D"/>
          </w:tcPr>
          <w:p>
            <w:pPr>
              <w:spacing w:after="20" w:before="20"/>
            </w:pPr>
            <w:r/>
            <w:r>
              <w:rPr>
                <w:rFonts w:ascii="Times New Roman" w:hAnsi="Times New Roman"/>
                <w:b/>
                <w:color w:val="FFFFFF"/>
                <w:sz w:val="18"/>
              </w:rPr>
              <w:t>Assessment under § 2-313</w:t>
            </w:r>
          </w:p>
        </w:tc>
        <w:tc>
          <w:tcPr>
            <w:tcW w:type="dxa" w:w="5760"/>
            <w:vAlign w:val="center"/>
            <w:shd w:fill="17365D"/>
          </w:tcPr>
          <w:p>
            <w:pPr>
              <w:spacing w:after="20" w:before="20"/>
            </w:pPr>
            <w:r/>
            <w:r>
              <w:rPr>
                <w:rFonts w:ascii="Times New Roman" w:hAnsi="Times New Roman"/>
                <w:b/>
                <w:color w:val="FFFFFF"/>
                <w:sz w:val="18"/>
              </w:rPr>
              <w:t>Most exposed statements / observations</w:t>
            </w:r>
          </w:p>
        </w:tc>
      </w:tr>
      <w:tr>
        <w:trPr>
          <w:cantSplit/>
        </w:trPr>
        <w:tc>
          <w:tcPr>
            <w:tcW w:type="dxa" w:w="1944"/>
            <w:vAlign w:val="center"/>
            <w:shd w:fill="F2F6FA"/>
          </w:tcPr>
          <w:p>
            <w:pPr>
              <w:spacing w:after="20" w:before="20"/>
            </w:pPr>
            <w:r/>
            <w:r>
              <w:rPr>
                <w:rFonts w:ascii="Times New Roman" w:hAnsi="Times New Roman"/>
                <w:b w:val="0"/>
                <w:sz w:val="17"/>
              </w:rPr>
              <w:t>Brochure</w:t>
            </w:r>
          </w:p>
        </w:tc>
        <w:tc>
          <w:tcPr>
            <w:tcW w:type="dxa" w:w="2376"/>
            <w:vAlign w:val="center"/>
            <w:shd w:fill="F2F6FA"/>
          </w:tcPr>
          <w:p>
            <w:pPr>
              <w:spacing w:after="20" w:before="20"/>
            </w:pPr>
            <w:r/>
            <w:r>
              <w:rPr>
                <w:rFonts w:ascii="Times New Roman" w:hAnsi="Times New Roman"/>
                <w:b w:val="0"/>
                <w:sz w:val="17"/>
              </w:rPr>
              <w:t>Very high likelihood of express warranties.</w:t>
            </w:r>
          </w:p>
        </w:tc>
        <w:tc>
          <w:tcPr>
            <w:tcW w:type="dxa" w:w="5760"/>
            <w:vAlign w:val="center"/>
            <w:shd w:fill="F2F6FA"/>
          </w:tcPr>
          <w:p>
            <w:pPr>
              <w:spacing w:after="20" w:before="20"/>
            </w:pPr>
            <w:r/>
            <w:r>
              <w:rPr>
                <w:rFonts w:ascii="Times New Roman" w:hAnsi="Times New Roman"/>
                <w:b w:val="0"/>
                <w:sz w:val="17"/>
              </w:rPr>
              <w:t>“We guarantee” 99.97% removal “or we’ll make it right”; 98.5% uptime “our commitment”; “verified” performance; 500,000 gallons/day “every day”; water “will meet or exceed” EPA/state standards; software accuracy/reliability and compliance reports.</w:t>
            </w:r>
          </w:p>
        </w:tc>
      </w:tr>
      <w:tr>
        <w:trPr>
          <w:cantSplit/>
        </w:trPr>
        <w:tc>
          <w:tcPr>
            <w:tcW w:type="dxa" w:w="1944"/>
            <w:vAlign w:val="center"/>
          </w:tcPr>
          <w:p>
            <w:pPr>
              <w:spacing w:after="20" w:before="20"/>
            </w:pPr>
            <w:r/>
            <w:r>
              <w:rPr>
                <w:rFonts w:ascii="Times New Roman" w:hAnsi="Times New Roman"/>
                <w:b w:val="0"/>
                <w:sz w:val="17"/>
              </w:rPr>
              <w:t>Sales presentation deck</w:t>
            </w:r>
          </w:p>
        </w:tc>
        <w:tc>
          <w:tcPr>
            <w:tcW w:type="dxa" w:w="2376"/>
            <w:vAlign w:val="center"/>
          </w:tcPr>
          <w:p>
            <w:pPr>
              <w:spacing w:after="20" w:before="20"/>
            </w:pPr>
            <w:r/>
            <w:r>
              <w:rPr>
                <w:rFonts w:ascii="Times New Roman" w:hAnsi="Times New Roman"/>
                <w:b w:val="0"/>
                <w:sz w:val="17"/>
              </w:rPr>
              <w:t>Very high likelihood; direct customer-facing evidence.</w:t>
            </w:r>
          </w:p>
        </w:tc>
        <w:tc>
          <w:tcPr>
            <w:tcW w:type="dxa" w:w="5760"/>
            <w:vAlign w:val="center"/>
          </w:tcPr>
          <w:p>
            <w:pPr>
              <w:spacing w:after="20" w:before="20"/>
            </w:pPr>
            <w:r/>
            <w:r>
              <w:rPr>
                <w:rFonts w:ascii="Times New Roman" w:hAnsi="Times New Roman"/>
                <w:b w:val="0"/>
                <w:sz w:val="17"/>
              </w:rPr>
              <w:t>Slide 7 expressly guarantees removal and uptime and says CIT will “make customers whole.” Application slides say meets EPA standards, ensures FDA/USDA compliance, supports USP/WFI and GMP, and claims 21 C.F.R. Part 11 compliant logging. Claims are not just general praise.</w:t>
            </w:r>
          </w:p>
        </w:tc>
      </w:tr>
      <w:tr>
        <w:trPr>
          <w:cantSplit/>
        </w:trPr>
        <w:tc>
          <w:tcPr>
            <w:tcW w:type="dxa" w:w="1944"/>
            <w:vAlign w:val="center"/>
            <w:shd w:fill="F2F6FA"/>
          </w:tcPr>
          <w:p>
            <w:pPr>
              <w:spacing w:after="20" w:before="20"/>
            </w:pPr>
            <w:r/>
            <w:r>
              <w:rPr>
                <w:rFonts w:ascii="Times New Roman" w:hAnsi="Times New Roman"/>
                <w:b w:val="0"/>
                <w:sz w:val="17"/>
              </w:rPr>
              <w:t>Quotation template</w:t>
            </w:r>
          </w:p>
        </w:tc>
        <w:tc>
          <w:tcPr>
            <w:tcW w:type="dxa" w:w="2376"/>
            <w:vAlign w:val="center"/>
            <w:shd w:fill="F2F6FA"/>
          </w:tcPr>
          <w:p>
            <w:pPr>
              <w:spacing w:after="20" w:before="20"/>
            </w:pPr>
            <w:r/>
            <w:r>
              <w:rPr>
                <w:rFonts w:ascii="Times New Roman" w:hAnsi="Times New Roman"/>
                <w:b w:val="0"/>
                <w:sz w:val="17"/>
              </w:rPr>
              <w:t>High likelihood despite “nonbinding” label.</w:t>
            </w:r>
          </w:p>
        </w:tc>
        <w:tc>
          <w:tcPr>
            <w:tcW w:type="dxa" w:w="5760"/>
            <w:vAlign w:val="center"/>
            <w:shd w:fill="F2F6FA"/>
          </w:tcPr>
          <w:p>
            <w:pPr>
              <w:spacing w:after="20" w:before="20"/>
            </w:pPr>
            <w:r/>
            <w:r>
              <w:rPr>
                <w:rFonts w:ascii="Times New Roman" w:hAnsi="Times New Roman"/>
                <w:b w:val="0"/>
                <w:sz w:val="17"/>
              </w:rPr>
              <w:t>Formal pre-contract proposal states 99.97%, 98.5%, 500,000 gallons/day, 15-year design life, regulatory conformity, and continuous AquaMonitor analytics. “Designed to achieve” softens one sentence but is surrounded by categorical claims. Its warranty terms are deferred until delivery.</w:t>
            </w:r>
          </w:p>
        </w:tc>
      </w:tr>
      <w:tr>
        <w:trPr>
          <w:cantSplit/>
        </w:trPr>
        <w:tc>
          <w:tcPr>
            <w:tcW w:type="dxa" w:w="1944"/>
            <w:vAlign w:val="center"/>
          </w:tcPr>
          <w:p>
            <w:pPr>
              <w:spacing w:after="20" w:before="20"/>
            </w:pPr>
            <w:r/>
            <w:r>
              <w:rPr>
                <w:rFonts w:ascii="Times New Roman" w:hAnsi="Times New Roman"/>
                <w:b w:val="0"/>
                <w:sz w:val="17"/>
              </w:rPr>
              <w:t>Sales instructions / oral statements</w:t>
            </w:r>
          </w:p>
        </w:tc>
        <w:tc>
          <w:tcPr>
            <w:tcW w:type="dxa" w:w="2376"/>
            <w:vAlign w:val="center"/>
          </w:tcPr>
          <w:p>
            <w:pPr>
              <w:spacing w:after="20" w:before="20"/>
            </w:pPr>
            <w:r/>
            <w:r>
              <w:rPr>
                <w:rFonts w:ascii="Times New Roman" w:hAnsi="Times New Roman"/>
                <w:b w:val="0"/>
                <w:sz w:val="17"/>
              </w:rPr>
              <w:t>High risk for statements actually made; memo is probative evidence.</w:t>
            </w:r>
          </w:p>
        </w:tc>
        <w:tc>
          <w:tcPr>
            <w:tcW w:type="dxa" w:w="5760"/>
            <w:vAlign w:val="center"/>
          </w:tcPr>
          <w:p>
            <w:pPr>
              <w:spacing w:after="20" w:before="20"/>
            </w:pPr>
            <w:r/>
            <w:r>
              <w:rPr>
                <w:rFonts w:ascii="Times New Roman" w:hAnsi="Times New Roman"/>
                <w:b w:val="0"/>
                <w:sz w:val="17"/>
              </w:rPr>
              <w:t>Tells reps to call metrics guarantees, not estimates; tailor promises to the buyer’s use; say CIT makes customers whole; and withhold the warranty. Statements by authorized sales agents may bind CIT even if not written.</w:t>
            </w:r>
          </w:p>
        </w:tc>
      </w:tr>
      <w:tr>
        <w:trPr>
          <w:cantSplit/>
        </w:trPr>
        <w:tc>
          <w:tcPr>
            <w:tcW w:type="dxa" w:w="1944"/>
            <w:vAlign w:val="center"/>
            <w:shd w:fill="F2F6FA"/>
          </w:tcPr>
          <w:p>
            <w:pPr>
              <w:spacing w:after="20" w:before="20"/>
            </w:pPr>
            <w:r/>
            <w:r>
              <w:rPr>
                <w:rFonts w:ascii="Times New Roman" w:hAnsi="Times New Roman"/>
                <w:b w:val="0"/>
                <w:sz w:val="17"/>
              </w:rPr>
              <w:t>Combined program</w:t>
            </w:r>
          </w:p>
        </w:tc>
        <w:tc>
          <w:tcPr>
            <w:tcW w:type="dxa" w:w="2376"/>
            <w:vAlign w:val="center"/>
            <w:shd w:fill="F2F6FA"/>
          </w:tcPr>
          <w:p>
            <w:pPr>
              <w:spacing w:after="20" w:before="20"/>
            </w:pPr>
            <w:r/>
            <w:r>
              <w:rPr>
                <w:rFonts w:ascii="Times New Roman" w:hAnsi="Times New Roman"/>
                <w:b w:val="0"/>
                <w:sz w:val="17"/>
              </w:rPr>
              <w:t>Highest overall exposure.</w:t>
            </w:r>
          </w:p>
        </w:tc>
        <w:tc>
          <w:tcPr>
            <w:tcW w:type="dxa" w:w="5760"/>
            <w:vAlign w:val="center"/>
            <w:shd w:fill="F2F6FA"/>
          </w:tcPr>
          <w:p>
            <w:pPr>
              <w:spacing w:after="20" w:before="20"/>
            </w:pPr>
            <w:r/>
            <w:r>
              <w:rPr>
                <w:rFonts w:ascii="Times New Roman" w:hAnsi="Times New Roman"/>
                <w:b w:val="0"/>
                <w:sz w:val="17"/>
              </w:rPr>
              <w:t>Repeated, consistent and executive-endorsed claims make it difficult to argue customers did not hear or rely on them. The narrow hardware warranty is in tension with these commitments; generic integration and disclaimer language does not resolve that conflict.</w:t>
            </w:r>
          </w:p>
        </w:tc>
      </w:tr>
    </w:tbl>
    <w:p>
      <w:pPr>
        <w:widowControl/>
        <w:spacing w:after="0"/>
      </w:pPr>
    </w:p>
    <w:p>
      <w:pPr>
        <w:pStyle w:val="Heading2"/>
        <w:widowControl/>
      </w:pPr>
      <w:r>
        <w:t>5.1 Claims that need objective definition or removal</w:t>
      </w:r>
    </w:p>
    <w:p>
      <w:pPr>
        <w:widowControl/>
      </w:pPr>
      <w:r>
        <w:rPr>
          <w:i w:val="0"/>
        </w:rPr>
        <w:t>Before any representation is used, define the measurable promise. “99.97% contaminant removal” is incomplete without a list of contaminants, influent range, concentration and flow conditions, test methods, detection limits, sample location, averaging period, startup/maintenance state, treatment-train boundaries, independent verification, and treatment of measurement uncertainty. “98.5% annual uptime” needs an availability formula, excluded planned maintenance, force majeure/network/power/source-water downtime, remedy, and whether AquaMonitor connectivity counts. “500,000 gallons per day” needs influent, quality, temperature, pressure, and continuous-versus-peak qualifications. “15-year design life” must not imply a 15-year warranty or guaranteed maintenance-free operation.</w:t>
      </w:r>
    </w:p>
    <w:p>
      <w:pPr>
        <w:widowControl/>
      </w:pPr>
      <w:r>
        <w:rPr>
          <w:i w:val="0"/>
        </w:rPr>
        <w:t>Regulatory statements deserve special care. “Meets all EPA/state standards,” “ensures FDA compliance,” “USP purified water,” “WFI,” and “21 C.F.R. Part 11 compliant” are objective, application-specific claims, not harmless slogans. Regulations and acceptance criteria can depend on source water, installation, downstream distribution, validation, sampling, and the customer’s process. A system supplier’s equipment alone cannot guarantee a customer’s full regulatory compliance. Validate each claim with regulatory and engineering personnel and state the precise scope. Correct the deck inconsistency: Slide 16 lists on-unit AquaMonitor with the base configuration while the brochure/quote place remote/cloud features in enhanced; the warranty/service and software scope must match the purchased configuration.</w:t>
      </w:r>
    </w:p>
    <w:p>
      <w:pPr>
        <w:pStyle w:val="Heading2"/>
        <w:widowControl/>
      </w:pPr>
      <w:r>
        <w:t>5.2 Implied fitness and sales-specific reliance</w:t>
      </w:r>
    </w:p>
    <w:p>
      <w:pPr>
        <w:widowControl/>
      </w:pPr>
      <w:r>
        <w:rPr>
          <w:i w:val="0"/>
        </w:rPr>
        <w:t>The sales memo instructs reps to solicit customer needs and say the Max 9000 is right for the particular operation. The brochure and deck target municipal drinking water, food processing, pharmaceutical manufacturing, and agricultural uses. If CIT knows the specific purpose and the buyer relies on CIT to select/configure the system, § 2-315 may supplement express-warranty claims. A conspicuous fitness disclaimer can help only if timely incorporated and not contradicted by CIT’s tailored assurances. For Great Lakes, explicit food-safety/FDA statements and customer reliance on process water can enlarge the bargain; for Triton, water-quality mandates and community supply; for Harmon Valley, varied farm uses and source water make performance assumptions and the actual purchaser’s role important.</w:t>
      </w:r>
    </w:p>
    <w:p>
      <w:pPr>
        <w:pStyle w:val="Heading1"/>
        <w:widowControl/>
      </w:pPr>
      <w:r>
        <w:t>6. Priority Jurisdictions and Launch Markets</w:t>
      </w:r>
    </w:p>
    <w:p>
      <w:pPr>
        <w:pStyle w:val="Heading2"/>
        <w:widowControl/>
      </w:pPr>
      <w:r>
        <w:t>6.1 Texas — Triton Municipal Water Authority ($5.7 million)</w:t>
      </w:r>
    </w:p>
    <w:p>
      <w:pPr>
        <w:widowControl/>
      </w:pPr>
      <w:r>
        <w:rPr>
          <w:i w:val="0"/>
        </w:rPr>
        <w:t>Texas has adopted Article 2 in the Texas Business &amp; Commerce Code. Sections 2.313, 2.316, and 2.719 generally follow the uniform framework: a specific promise may create an express warranty; a written disclaimer must mention merchantability and be conspicuous to disclaim merchantability, and the fitness disclaimer must also be conspicuous; remedy and commercial consequential-damage limits are governed by § 2.719 and unconscionability/failure-of-essential-purpose principles. The current all-caps disclaimer is not a safe substitute for pre-sale assent or for reconciling the 99.97% and compliance promises.</w:t>
      </w:r>
    </w:p>
    <w:p>
      <w:pPr>
        <w:widowControl/>
      </w:pPr>
      <w:r>
        <w:rPr>
          <w:i w:val="0"/>
        </w:rPr>
        <w:t>No general Texas statute has been identified that makes every UCC disclaimer or commercial warranty limitation ineffective solely because a buyer is a local governmental entity. Do not conflate state-agency procurement statutes with a municipal or special-district purchase: Texas Government Code Chapter 2260 concerns claims against state agencies and generally is not the governing claims mechanism for a municipal water authority. Texas Local Government Code Chapter 271 can provide a limited waiver of immunity for qualifying written contracts with local governmental entities for goods/services and restricts the remedies recoverable against the public entity; Chapter 252 and the buyer’s enabling statute/charter may govern procurement. Those provisions do not themselves create a blanket nonwaivable manufacturer warranty, but the authority’s identity, contracting power, required approvals, RFP/specifications, public bid terms, installation scope, and negotiated remedy clauses matter.</w:t>
      </w:r>
    </w:p>
    <w:p>
      <w:pPr>
        <w:widowControl/>
      </w:pPr>
      <w:r>
        <w:rPr>
          <w:i w:val="0"/>
        </w:rPr>
        <w:t>For Triton, obtain the exact legal name and enabling statute, procurement/RFP and bid specifications, board approval/delegation, draft PO/contract, and any Texas-local-law clauses before signing. A public buyer’s specification incorporated into the contract, or a performance representation in CIT’s bid response, may itself be an express warranty. Confirm which documents control and whether CIT’s Oregon-law/forum clause is accepted; a boilerplate warranty first delivered after shipment is especially weak. Address public-health/alternate-water costs and regulatory commitments expressly rather than relying on a generic cap. Have Texas public-contract counsel confirm any procurement-specific or immunity issue for this entity and transaction.</w:t>
      </w:r>
    </w:p>
    <w:p>
      <w:pPr>
        <w:pStyle w:val="Heading2"/>
        <w:widowControl/>
      </w:pPr>
      <w:r>
        <w:t>6.2 California — Harmon Valley Agricultural Cooperative ($2.4 million)</w:t>
      </w:r>
    </w:p>
    <w:p>
      <w:pPr>
        <w:widowControl/>
      </w:pPr>
      <w:r>
        <w:rPr>
          <w:i w:val="0"/>
        </w:rPr>
        <w:t>California Commercial Code §§ 2313, 2316, and 2719 substantially follow the Article 2 framework. A cooperative is not automatically a consumer because its member farms ultimately use water. California’s Song-Beverly Consumer Warranty Act (Civil Code §§ 1790 et seq.) generally concerns “consumer goods” normally used for personal, family, or household purposes and a consumer purchase; Magnuson-Moss uses a similar consumer-product concept. The Max 9000 is designed and marketed for industrial/commercial treatment, and the stated irrigation, agricultural processing, and cooperative deployment are commercial uses. On the facts given, Song-Beverly and MMWA applicability appears low, not zero.</w:t>
      </w:r>
    </w:p>
    <w:p>
      <w:pPr>
        <w:widowControl/>
      </w:pPr>
      <w:r>
        <w:rPr>
          <w:i w:val="0"/>
        </w:rPr>
        <w:t>The important question is the product’s normal use and the transaction/use—not merely whether the buyer is a cooperative or whether individual farms benefit. Confirm the cooperative, not individual households, is the purchaser; document the business/agricultural purpose and deployment sites. If individual members directly buy units or a unit is used primarily for household water, reassess consumer status. California’s consumer statutes cannot be avoided by a choice-of-law clause if they otherwise apply. Separately, California’s UCL/CLRA and other consumer-protection theories are less likely in a negotiated commercial sale but should not be treated as categorically unavailable for deceptive market-wide claims or a consumer-facing transaction.</w:t>
      </w:r>
    </w:p>
    <w:p>
      <w:pPr>
        <w:widowControl/>
      </w:pPr>
      <w:r>
        <w:rPr>
          <w:i w:val="0"/>
        </w:rPr>
        <w:t>Commercially, Harmon Valley’s multiple sites, mixed configurations, and volume discount make the exact buyer, configuration, source-water assumptions, warranty beneficiaries, cartridge responsibilities, and whether member farms have any direct rights important. Provide a single site/configuration schedule for each unit. Do not say the system guarantees crop yields, all contaminant removal, or compliance for each member farm absent defined conditions and validation.</w:t>
      </w:r>
    </w:p>
    <w:p>
      <w:pPr>
        <w:pStyle w:val="Heading2"/>
        <w:widowControl/>
      </w:pPr>
      <w:r>
        <w:t>6.3 Illinois — Great Lakes Processing Corp. ($4.2 million)</w:t>
      </w:r>
    </w:p>
    <w:p>
      <w:pPr>
        <w:widowControl/>
      </w:pPr>
      <w:r>
        <w:rPr>
          <w:i w:val="0"/>
        </w:rPr>
        <w:t>Illinois has adopted the standard Article 2 rules at 810 ILCS 5/2-313, 2-316, and 2-719. No special general rule for this commercial equipment sale appears to displace those requirements. The strong risk is factual: the deck/quote link claimed purity, continuous production and automated records to FDA compliance. Great Lakes’s signed LOI and any specifications, audit requirements, customer protocols, or FDA representations should be reviewed. “FDA compliant” is not a generic feature that can safely be promised without identifying the applicable process requirement and validating the customer’s whole system.</w:t>
      </w:r>
    </w:p>
    <w:p>
      <w:pPr>
        <w:widowControl/>
      </w:pPr>
      <w:r>
        <w:rPr>
          <w:i w:val="0"/>
        </w:rPr>
        <w:t>The enhanced configuration makes software, remote telemetry, audit trails, uptime and data accuracy part of the commercial value. Define what the unit does and does not certify; distinguish product-water testing from software-reported values; specify responsibility for independent validation, records, and customer sampling. Any performance specification actually accepted in the LOI or order documents must be reconciled with the warranty and damages framework before conversion to a definitive agreement.</w:t>
      </w:r>
    </w:p>
    <w:p>
      <w:pPr>
        <w:pStyle w:val="Heading2"/>
        <w:widowControl/>
      </w:pPr>
      <w:r>
        <w:t>6.4 New York and Massachusetts</w:t>
      </w:r>
    </w:p>
    <w:p>
      <w:pPr>
        <w:widowControl/>
      </w:pPr>
      <w:r>
        <w:rPr>
          <w:i w:val="0"/>
        </w:rPr>
        <w:t>New York and Massachusetts apply Article 2’s express-warranty, disclaimer, and remedy framework (New York UCC §§ 2-313, 2-316, 2-719; Massachusetts General Laws ch. 106 §§ 2-313, 2-316, 2-719). No general rule has been identified that bars a conspicuous disclaimer in a negotiated commercial equipment sale. Nevertheless, New York municipal procurement and Massachusetts pharmaceutical/regulated-customer requirements can impose separate bid, approval, testing, documentation, and contract obligations. New York GBL § 349 and Massachusetts G.L. c. 93A can reach some commercial conduct, but a purely private contract dispute is not automatically a consumer-protection claim; market-facing deception, broader consumer impact, or an eligible business plaintiff’s statutory claim requires separate analysis. For a New York commercial agreement of this value, General Obligations Law §§ 5-1401 and 5-1402 may support a negotiated New York-law/forum selection if their conditions are met; they do not cure a clause that was never accepted or override otherwise applicable nonwaivable law. Confirm local procurement forms and never promise compliance with USP, WFI, GMP, or electronic-record rules without a defined, verified scope.</w:t>
      </w:r>
    </w:p>
    <w:p>
      <w:pPr>
        <w:pStyle w:val="Heading2"/>
        <w:widowControl/>
      </w:pPr>
      <w:r>
        <w:t>6.5 Federal consumer-warranty overlay (Magnuson-Moss)</w:t>
      </w:r>
    </w:p>
    <w:p>
      <w:pPr>
        <w:widowControl/>
      </w:pPr>
      <w:r>
        <w:rPr>
          <w:i w:val="0"/>
        </w:rPr>
        <w:t>The Magnuson-Moss Warranty Act (15 U.S.C. §§ 2301, 2308) applies to written warranties on “consumer products”—tangible personal property normally used for personal, family, or household purposes. The Max 9000 is engineered, advertised, and priced for municipal, industrial, food-processing, pharmaceutical, and agricultural operations. A commercial buyer or agricultural cooperative does not, by itself, make this type of industrial equipment a consumer product. On the current record, MMWA exposure is low. Reassess if CIT sells a configuration normally used in households or a unit is marketed and sold primarily for personal/family/household use. If MMWA applies, a supplier giving a written warranty generally may not disclaim implied warranties entirely (it may in limited circumstances limit their duration); warranty terms must meet the Act’s disclosure rules and be available before sale, and branded-parts/service conditions require separate review. A savings clause may help administration but does not cure a substantive violation.</w:t>
      </w:r>
    </w:p>
    <w:p>
      <w:pPr>
        <w:pStyle w:val="Heading1"/>
        <w:widowControl/>
      </w:pPr>
      <w:r>
        <w:t>7. AquaMonitor v3.2: Software, Data, and Cyber Warranty Gap</w:t>
      </w:r>
    </w:p>
    <w:p>
      <w:pPr>
        <w:widowControl/>
      </w:pPr>
      <w:r>
        <w:rPr>
          <w:i w:val="0"/>
        </w:rPr>
        <w:t>The software risk is substantial and under-documented. The warranty’s Product definition enumerates hardware; Section 3 warrants materials/workmanship defects; Section 5 disclaims accuracy/reliability of information and error-free operation. But customer-facing materials affirmatively promise “real-time” contaminant monitoring, accurate data customers can rely on for compliance, automated compliance documentation, predictive alerts, remote/mobile access, cloud analytics, historical trends, OTA updates, and (in the sales deck) 21 C.F.R. Part 11 compliant data logging. A software package may be treated as goods under Article 2 when embedded or integral to a goods sale; cloud hosting, subscription analytics, support, and updates may be treated as services or a mixed transaction. Courts differ. A separate EULA alone will not avoid express promises already made in the overall product sale.</w:t>
      </w:r>
    </w:p>
    <w:p>
      <w:pPr>
        <w:widowControl/>
      </w:pPr>
      <w:r>
        <w:rPr>
          <w:i w:val="0"/>
        </w:rPr>
        <w:t>Important distinction: a warranty that the equipment’s water output meets an objectively defined specification is different from a promise that a software display accurately measures, reports, records, or alerts on that output. False “all clear” data can cause a customer to rely on contaminated water, miss a corrective action, submit an inaccurate regulatory record, or lose production. These may generate contract, negligence/product-liability, regulatory, privacy, cybersecurity, and bodily-injury/property-damage claims. A disclaimer of information accuracy may not neutralize an affirmative accuracy/compliance promise and cannot be assumed to protect against third-party injury or regulatory duties.</w:t>
      </w:r>
    </w:p>
    <w:p>
      <w:pPr>
        <w:widowControl/>
      </w:pPr>
      <w:r>
        <w:rPr>
          <w:i w:val="0"/>
        </w:rPr>
        <w:t>The legacy claims support treating this as a real product risk, not a hypothetical: the claims workbook includes false pH/turbidity/chlorine readings, incorrect time stamps, lost alarm history, failed alert emails, inaccurate volume totals, lost remote connectivity, a software crash during cleaning, and sensor false negatives. The FY2024 Summit Ridge claim involves inconsistent sensors and a customer using backup supply pending diagnosis. These are close analogues to the advertised AquaMonitor use case, although not proof of Max 9000 failure.</w:t>
      </w:r>
    </w:p>
    <w:p>
      <w:pPr>
        <w:widowControl/>
      </w:pPr>
      <w:r>
        <w:rPr>
          <w:i w:val="0"/>
        </w:rPr>
        <w:t>Before launch, develop a coordinated software schedule/EULA and service-level schedule, signed or affirmatively accepted before order placement, covering: supported functions and measurement accuracy; sensor/software distinction; validation and calibration; alert latency and delivery limitations; availability/uptime; cloud and internet dependencies; maintenance/update obligations; change management and rollback; data ownership, retention, export, backup, correction and audit trail; access controls, encryption, vulnerability handling, incident notice and response; third-party services; support/escalation; permitted uses and customer verification responsibilities; regulatory claims and validation boundaries; remedies for material software defects/service interruption; and carefully aligned damage limits/carve-outs. Specify what happens on uncertain readings—e.g., fail-safe alert, independent test, and no representation that software substitutes for required laboratory testing—only if Engineering can support that behavior.</w:t>
      </w:r>
    </w:p>
    <w:p>
      <w:pPr>
        <w:widowControl/>
      </w:pPr>
      <w:r>
        <w:rPr>
          <w:i w:val="0"/>
        </w:rPr>
        <w:t>The record lacks a standalone software warranty or security documentation. Obtain the system architecture, data flow, hosting/subprocessor list, penetration-test and vulnerability process, update policy, software bill of materials if available, incident history, validation evidence, and cyber/technology E&amp;O policy. Do not assert “secure,” “accurate,” “compliant,” or “continuous” beyond the technical evidence and agreed service level.</w:t>
      </w:r>
    </w:p>
    <w:p>
      <w:pPr>
        <w:pStyle w:val="Heading1"/>
        <w:widowControl/>
      </w:pPr>
      <w:r>
        <w:t>8. Warranty Claims, Redmond, and Remedy Durability</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cantSplit/>
          <w:tblHeader w:val="true"/>
        </w:trPr>
        <w:tc>
          <w:tcPr>
            <w:tcW w:type="dxa" w:w="1008"/>
            <w:vAlign w:val="center"/>
            <w:shd w:fill="17365D"/>
          </w:tcPr>
          <w:p>
            <w:pPr>
              <w:spacing w:after="20" w:before="20"/>
            </w:pPr>
            <w:r/>
            <w:r>
              <w:rPr>
                <w:rFonts w:ascii="Times New Roman" w:hAnsi="Times New Roman"/>
                <w:b/>
                <w:color w:val="FFFFFF"/>
                <w:sz w:val="18"/>
              </w:rPr>
              <w:t>FY</w:t>
            </w:r>
          </w:p>
        </w:tc>
        <w:tc>
          <w:tcPr>
            <w:tcW w:type="dxa" w:w="1440"/>
            <w:vAlign w:val="center"/>
            <w:shd w:fill="17365D"/>
          </w:tcPr>
          <w:p>
            <w:pPr>
              <w:spacing w:after="20" w:before="20"/>
            </w:pPr>
            <w:r/>
            <w:r>
              <w:rPr>
                <w:rFonts w:ascii="Times New Roman" w:hAnsi="Times New Roman"/>
                <w:b/>
                <w:color w:val="FFFFFF"/>
                <w:sz w:val="18"/>
              </w:rPr>
              <w:t>Claims filed</w:t>
            </w:r>
          </w:p>
        </w:tc>
        <w:tc>
          <w:tcPr>
            <w:tcW w:type="dxa" w:w="2232"/>
            <w:vAlign w:val="center"/>
            <w:shd w:fill="17365D"/>
          </w:tcPr>
          <w:p>
            <w:pPr>
              <w:spacing w:after="20" w:before="20"/>
            </w:pPr>
            <w:r/>
            <w:r>
              <w:rPr>
                <w:rFonts w:ascii="Times New Roman" w:hAnsi="Times New Roman"/>
                <w:b/>
                <w:color w:val="FFFFFF"/>
                <w:sz w:val="18"/>
              </w:rPr>
              <w:t>Repair/replacement costs</w:t>
            </w:r>
          </w:p>
        </w:tc>
        <w:tc>
          <w:tcPr>
            <w:tcW w:type="dxa" w:w="2232"/>
            <w:vAlign w:val="center"/>
            <w:shd w:fill="17365D"/>
          </w:tcPr>
          <w:p>
            <w:pPr>
              <w:spacing w:after="20" w:before="20"/>
            </w:pPr>
            <w:r/>
            <w:r>
              <w:rPr>
                <w:rFonts w:ascii="Times New Roman" w:hAnsi="Times New Roman"/>
                <w:b/>
                <w:color w:val="FFFFFF"/>
                <w:sz w:val="18"/>
              </w:rPr>
              <w:t>Consequential settlements</w:t>
            </w:r>
          </w:p>
        </w:tc>
        <w:tc>
          <w:tcPr>
            <w:tcW w:type="dxa" w:w="3168"/>
            <w:vAlign w:val="center"/>
            <w:shd w:fill="17365D"/>
          </w:tcPr>
          <w:p>
            <w:pPr>
              <w:spacing w:after="20" w:before="20"/>
            </w:pPr>
            <w:r/>
            <w:r>
              <w:rPr>
                <w:rFonts w:ascii="Times New Roman" w:hAnsi="Times New Roman"/>
                <w:b/>
                <w:color w:val="FFFFFF"/>
                <w:sz w:val="18"/>
              </w:rPr>
              <w:t>Key trend</w:t>
            </w:r>
          </w:p>
        </w:tc>
      </w:tr>
      <w:tr>
        <w:trPr>
          <w:cantSplit/>
        </w:trPr>
        <w:tc>
          <w:tcPr>
            <w:tcW w:type="dxa" w:w="1008"/>
            <w:vAlign w:val="center"/>
            <w:shd w:fill="F2F6FA"/>
          </w:tcPr>
          <w:p>
            <w:pPr>
              <w:spacing w:after="20" w:before="20"/>
            </w:pPr>
            <w:r/>
            <w:r>
              <w:rPr>
                <w:rFonts w:ascii="Times New Roman" w:hAnsi="Times New Roman"/>
                <w:b w:val="0"/>
                <w:sz w:val="17"/>
              </w:rPr>
              <w:t>2022</w:t>
            </w:r>
          </w:p>
        </w:tc>
        <w:tc>
          <w:tcPr>
            <w:tcW w:type="dxa" w:w="1440"/>
            <w:vAlign w:val="center"/>
            <w:shd w:fill="F2F6FA"/>
          </w:tcPr>
          <w:p>
            <w:pPr>
              <w:spacing w:after="20" w:before="20"/>
            </w:pPr>
            <w:r/>
            <w:r>
              <w:rPr>
                <w:rFonts w:ascii="Times New Roman" w:hAnsi="Times New Roman"/>
                <w:b w:val="0"/>
                <w:sz w:val="17"/>
              </w:rPr>
              <w:t>47</w:t>
            </w:r>
          </w:p>
        </w:tc>
        <w:tc>
          <w:tcPr>
            <w:tcW w:type="dxa" w:w="2232"/>
            <w:vAlign w:val="center"/>
            <w:shd w:fill="F2F6FA"/>
          </w:tcPr>
          <w:p>
            <w:pPr>
              <w:spacing w:after="20" w:before="20"/>
            </w:pPr>
            <w:r/>
            <w:r>
              <w:rPr>
                <w:rFonts w:ascii="Times New Roman" w:hAnsi="Times New Roman"/>
                <w:b w:val="0"/>
                <w:sz w:val="17"/>
              </w:rPr>
              <w:t>$1.34M</w:t>
            </w:r>
          </w:p>
        </w:tc>
        <w:tc>
          <w:tcPr>
            <w:tcW w:type="dxa" w:w="2232"/>
            <w:vAlign w:val="center"/>
            <w:shd w:fill="F2F6FA"/>
          </w:tcPr>
          <w:p>
            <w:pPr>
              <w:spacing w:after="20" w:before="20"/>
            </w:pPr>
            <w:r/>
            <w:r>
              <w:rPr>
                <w:rFonts w:ascii="Times New Roman" w:hAnsi="Times New Roman"/>
                <w:b w:val="0"/>
                <w:sz w:val="17"/>
              </w:rPr>
              <w:t>$0</w:t>
            </w:r>
          </w:p>
        </w:tc>
        <w:tc>
          <w:tcPr>
            <w:tcW w:type="dxa" w:w="3168"/>
            <w:vAlign w:val="center"/>
            <w:shd w:fill="F2F6FA"/>
          </w:tcPr>
          <w:p>
            <w:pPr>
              <w:spacing w:after="20" w:before="20"/>
            </w:pPr>
            <w:r/>
            <w:r>
              <w:rPr>
                <w:rFonts w:ascii="Times New Roman" w:hAnsi="Times New Roman"/>
                <w:b w:val="0"/>
                <w:sz w:val="17"/>
              </w:rPr>
              <w:t>Baseline</w:t>
            </w:r>
          </w:p>
        </w:tc>
      </w:tr>
      <w:tr>
        <w:trPr>
          <w:cantSplit/>
        </w:trPr>
        <w:tc>
          <w:tcPr>
            <w:tcW w:type="dxa" w:w="1008"/>
            <w:vAlign w:val="center"/>
          </w:tcPr>
          <w:p>
            <w:pPr>
              <w:spacing w:after="20" w:before="20"/>
            </w:pPr>
            <w:r/>
            <w:r>
              <w:rPr>
                <w:rFonts w:ascii="Times New Roman" w:hAnsi="Times New Roman"/>
                <w:b w:val="0"/>
                <w:sz w:val="17"/>
              </w:rPr>
              <w:t>2023</w:t>
            </w:r>
          </w:p>
        </w:tc>
        <w:tc>
          <w:tcPr>
            <w:tcW w:type="dxa" w:w="1440"/>
            <w:vAlign w:val="center"/>
          </w:tcPr>
          <w:p>
            <w:pPr>
              <w:spacing w:after="20" w:before="20"/>
            </w:pPr>
            <w:r/>
            <w:r>
              <w:rPr>
                <w:rFonts w:ascii="Times New Roman" w:hAnsi="Times New Roman"/>
                <w:b w:val="0"/>
                <w:sz w:val="17"/>
              </w:rPr>
              <w:t>62</w:t>
            </w:r>
          </w:p>
        </w:tc>
        <w:tc>
          <w:tcPr>
            <w:tcW w:type="dxa" w:w="2232"/>
            <w:vAlign w:val="center"/>
          </w:tcPr>
          <w:p>
            <w:pPr>
              <w:spacing w:after="20" w:before="20"/>
            </w:pPr>
            <w:r/>
            <w:r>
              <w:rPr>
                <w:rFonts w:ascii="Times New Roman" w:hAnsi="Times New Roman"/>
                <w:b w:val="0"/>
                <w:sz w:val="17"/>
              </w:rPr>
              <w:t>$1.87M</w:t>
            </w:r>
          </w:p>
        </w:tc>
        <w:tc>
          <w:tcPr>
            <w:tcW w:type="dxa" w:w="2232"/>
            <w:vAlign w:val="center"/>
          </w:tcPr>
          <w:p>
            <w:pPr>
              <w:spacing w:after="20" w:before="20"/>
            </w:pPr>
            <w:r/>
            <w:r>
              <w:rPr>
                <w:rFonts w:ascii="Times New Roman" w:hAnsi="Times New Roman"/>
                <w:b w:val="0"/>
                <w:sz w:val="17"/>
              </w:rPr>
              <w:t>$0</w:t>
            </w:r>
          </w:p>
        </w:tc>
        <w:tc>
          <w:tcPr>
            <w:tcW w:type="dxa" w:w="3168"/>
            <w:vAlign w:val="center"/>
          </w:tcPr>
          <w:p>
            <w:pPr>
              <w:spacing w:after="20" w:before="20"/>
            </w:pPr>
            <w:r/>
            <w:r>
              <w:rPr>
                <w:rFonts w:ascii="Times New Roman" w:hAnsi="Times New Roman"/>
                <w:b w:val="0"/>
                <w:sz w:val="17"/>
              </w:rPr>
              <w:t>Claims +31.9%; repair cost +39.6%</w:t>
            </w:r>
          </w:p>
        </w:tc>
      </w:tr>
      <w:tr>
        <w:trPr>
          <w:cantSplit/>
        </w:trPr>
        <w:tc>
          <w:tcPr>
            <w:tcW w:type="dxa" w:w="1008"/>
            <w:vAlign w:val="center"/>
            <w:shd w:fill="F2F6FA"/>
          </w:tcPr>
          <w:p>
            <w:pPr>
              <w:spacing w:after="20" w:before="20"/>
            </w:pPr>
            <w:r/>
            <w:r>
              <w:rPr>
                <w:rFonts w:ascii="Times New Roman" w:hAnsi="Times New Roman"/>
                <w:b w:val="0"/>
                <w:sz w:val="17"/>
              </w:rPr>
              <w:t>2024</w:t>
            </w:r>
          </w:p>
        </w:tc>
        <w:tc>
          <w:tcPr>
            <w:tcW w:type="dxa" w:w="1440"/>
            <w:vAlign w:val="center"/>
            <w:shd w:fill="F2F6FA"/>
          </w:tcPr>
          <w:p>
            <w:pPr>
              <w:spacing w:after="20" w:before="20"/>
            </w:pPr>
            <w:r/>
            <w:r>
              <w:rPr>
                <w:rFonts w:ascii="Times New Roman" w:hAnsi="Times New Roman"/>
                <w:b w:val="0"/>
                <w:sz w:val="17"/>
              </w:rPr>
              <w:t>71</w:t>
            </w:r>
          </w:p>
        </w:tc>
        <w:tc>
          <w:tcPr>
            <w:tcW w:type="dxa" w:w="2232"/>
            <w:vAlign w:val="center"/>
            <w:shd w:fill="F2F6FA"/>
          </w:tcPr>
          <w:p>
            <w:pPr>
              <w:spacing w:after="20" w:before="20"/>
            </w:pPr>
            <w:r/>
            <w:r>
              <w:rPr>
                <w:rFonts w:ascii="Times New Roman" w:hAnsi="Times New Roman"/>
                <w:b w:val="0"/>
                <w:sz w:val="17"/>
              </w:rPr>
              <w:t>$2.21M</w:t>
            </w:r>
          </w:p>
        </w:tc>
        <w:tc>
          <w:tcPr>
            <w:tcW w:type="dxa" w:w="2232"/>
            <w:vAlign w:val="center"/>
            <w:shd w:fill="F2F6FA"/>
          </w:tcPr>
          <w:p>
            <w:pPr>
              <w:spacing w:after="20" w:before="20"/>
            </w:pPr>
            <w:r/>
            <w:r>
              <w:rPr>
                <w:rFonts w:ascii="Times New Roman" w:hAnsi="Times New Roman"/>
                <w:b w:val="0"/>
                <w:sz w:val="17"/>
              </w:rPr>
              <w:t>$0.68M</w:t>
            </w:r>
          </w:p>
        </w:tc>
        <w:tc>
          <w:tcPr>
            <w:tcW w:type="dxa" w:w="3168"/>
            <w:vAlign w:val="center"/>
            <w:shd w:fill="F2F6FA"/>
          </w:tcPr>
          <w:p>
            <w:pPr>
              <w:spacing w:after="20" w:before="20"/>
            </w:pPr>
            <w:r/>
            <w:r>
              <w:rPr>
                <w:rFonts w:ascii="Times New Roman" w:hAnsi="Times New Roman"/>
                <w:b w:val="0"/>
                <w:sz w:val="17"/>
              </w:rPr>
              <w:t>Claims +14.5%; repair cost +18.2%; total incl. settlements $2.89M</w:t>
            </w:r>
          </w:p>
        </w:tc>
      </w:tr>
      <w:tr>
        <w:trPr>
          <w:cantSplit/>
        </w:trPr>
        <w:tc>
          <w:tcPr>
            <w:tcW w:type="dxa" w:w="1008"/>
            <w:vAlign w:val="center"/>
          </w:tcPr>
          <w:p>
            <w:pPr>
              <w:spacing w:after="20" w:before="20"/>
            </w:pPr>
            <w:r/>
            <w:r>
              <w:rPr>
                <w:rFonts w:ascii="Times New Roman" w:hAnsi="Times New Roman"/>
                <w:b w:val="0"/>
                <w:sz w:val="17"/>
              </w:rPr>
              <w:t>3-year total</w:t>
            </w:r>
          </w:p>
        </w:tc>
        <w:tc>
          <w:tcPr>
            <w:tcW w:type="dxa" w:w="1440"/>
            <w:vAlign w:val="center"/>
          </w:tcPr>
          <w:p>
            <w:pPr>
              <w:spacing w:after="20" w:before="20"/>
            </w:pPr>
            <w:r/>
            <w:r>
              <w:rPr>
                <w:rFonts w:ascii="Times New Roman" w:hAnsi="Times New Roman"/>
                <w:b w:val="0"/>
                <w:sz w:val="17"/>
              </w:rPr>
              <w:t>180</w:t>
            </w:r>
          </w:p>
        </w:tc>
        <w:tc>
          <w:tcPr>
            <w:tcW w:type="dxa" w:w="2232"/>
            <w:vAlign w:val="center"/>
          </w:tcPr>
          <w:p>
            <w:pPr>
              <w:spacing w:after="20" w:before="20"/>
            </w:pPr>
            <w:r/>
            <w:r>
              <w:rPr>
                <w:rFonts w:ascii="Times New Roman" w:hAnsi="Times New Roman"/>
                <w:b w:val="0"/>
                <w:sz w:val="17"/>
              </w:rPr>
              <w:t>$5.42M</w:t>
            </w:r>
          </w:p>
        </w:tc>
        <w:tc>
          <w:tcPr>
            <w:tcW w:type="dxa" w:w="2232"/>
            <w:vAlign w:val="center"/>
          </w:tcPr>
          <w:p>
            <w:pPr>
              <w:spacing w:after="20" w:before="20"/>
            </w:pPr>
            <w:r/>
            <w:r>
              <w:rPr>
                <w:rFonts w:ascii="Times New Roman" w:hAnsi="Times New Roman"/>
                <w:b w:val="0"/>
                <w:sz w:val="17"/>
              </w:rPr>
              <w:t>$0.68M</w:t>
            </w:r>
          </w:p>
        </w:tc>
        <w:tc>
          <w:tcPr>
            <w:tcW w:type="dxa" w:w="3168"/>
            <w:vAlign w:val="center"/>
          </w:tcPr>
          <w:p>
            <w:pPr>
              <w:spacing w:after="20" w:before="20"/>
            </w:pPr>
            <w:r/>
            <w:r>
              <w:rPr>
                <w:rFonts w:ascii="Times New Roman" w:hAnsi="Times New Roman"/>
                <w:b w:val="0"/>
                <w:sz w:val="17"/>
              </w:rPr>
              <w:t>$6.10M historical expense; Redmond’s $1.20M claim is pending separately</w:t>
            </w:r>
          </w:p>
        </w:tc>
      </w:tr>
    </w:tbl>
    <w:p>
      <w:pPr>
        <w:widowControl/>
        <w:spacing w:after="0"/>
      </w:pPr>
    </w:p>
    <w:p>
      <w:pPr>
        <w:widowControl/>
      </w:pPr>
      <w:r>
        <w:rPr>
          <w:i w:val="0"/>
        </w:rPr>
        <w:t>The workbook reports a 51.1% increase in claim count and 64.9% increase in repair/replacement cost from FY2022 to FY2024. FY2024 had three claims involving consequential damages (two negotiated settlements totaling $680,000 and Redmond pending); all were AquaPure 7000 matters, the closest legacy analog. AquaPure 7000 claims doubled from 18 to 36 over the three years. The workbook also reports average resolution time increasing from approximately 28 to 47 days, full-unit replacements from 2 to 8, and performance-specification disputes rising from 1 (about 2% of claims) in FY2022 to 8 (about 11%) in FY2024. Those facts are relevant to remedy performance and severity, although one three-year data set does not establish causation or a statistically reliable Max 9000 forecast.</w:t>
      </w:r>
    </w:p>
    <w:p>
      <w:pPr>
        <w:widowControl/>
      </w:pPr>
      <w:r>
        <w:rPr>
          <w:i w:val="0"/>
        </w:rPr>
        <w:t>The workbook’s $1.2 million Redmond demand would bring historical-plus-pending exposure to $7.3 million if paid in full; it is a claim, not an adjudicated loss. Internal projections for Max 9000 rely on a 25-unit pipeline, a historical claim rate, escalation assumptions, and estimated consequential amounts. They are scenario indicators only—not actuarial estimates. Treat the per-incident $500,000–$2 million and three-year $5–$7.5 million figures as unvalidated planning sensitivities, not expected losses.</w:t>
      </w:r>
    </w:p>
    <w:p>
      <w:pPr>
        <w:pStyle w:val="Heading2"/>
        <w:widowControl/>
      </w:pPr>
      <w:r>
        <w:t>8.1 Redmond is a live test of the exact legal theory</w:t>
      </w:r>
    </w:p>
    <w:p>
      <w:pPr>
        <w:widowControl/>
      </w:pPr>
      <w:r>
        <w:rPr>
          <w:i w:val="0"/>
        </w:rPr>
        <w:t>Redmond alleges its AquaPure 7000 achieved 96.8% removal versus 99.5% in a CIT sales presentation, asserts $1.2 million for spoiled product, lost revenue and remediation, and argues the sales specification was an express warranty, repair/replacement failed of its essential purpose, and the consequential exclusion fell with it. CIT’s positions—that the statement was an estimate, the repair restored the unit, and Section 6 independently survives—are legally plausible arguments, but the case is pending and no outcome should be assumed. A successful repair may help CIT, while a jury could still find that the buyer’s losses occurred during an uncompensated period of nonconformance. The new Max 9000 program uses more categorical words, a higher metric, more channels, and higher-stakes customers than the material at issue in Redmond.</w:t>
      </w:r>
    </w:p>
    <w:p>
      <w:pPr>
        <w:widowControl/>
      </w:pPr>
      <w:r>
        <w:rPr>
          <w:i w:val="0"/>
        </w:rPr>
        <w:t>Current Section 6 is stronger than a clause that merely excludes consequential damages: it expressly states the cap and exclusion apply even if a remedy fails and are independent. This improves the defense under § 2-719(3), but does not guarantee success. Contract formation, express-warranty inconsistency, applicable state law, unconscionability, alleged personal injury/property damage, and fact-specific public-policy defenses remain. Most importantly, if warranty terms are not incorporated, the clause may not apply at all.</w:t>
      </w:r>
    </w:p>
    <w:p>
      <w:pPr>
        <w:pStyle w:val="Heading2"/>
        <w:widowControl/>
      </w:pPr>
      <w:r>
        <w:t>8.2 Remedy design and operations</w:t>
      </w:r>
    </w:p>
    <w:p>
      <w:pPr>
        <w:widowControl/>
      </w:pPr>
      <w:r>
        <w:rPr>
          <w:i w:val="0"/>
        </w:rPr>
        <w:t>CIT’s 2021 warranty gives CIT sole choice of repair or replacement, allows remanufactured parts, and promises only a 15-business-day initial response—not a repair completion date. Claim records include long service intervals (e.g., 78- and 85-day full-unit replacement claims) and an eight-week parts backorder. A remedy that leaves a process-critical system below promised purity or throughput while CIT investigates is more vulnerable than a remedy with prompt triage, loaner/temporary water, bypass or alternate-source plan, defined repair milestones, and a commercially meaningful fallback. A defined cure period helps only if it is achievable and actually honored; a paper deadline without parts/service capacity worsens the record.</w:t>
      </w:r>
    </w:p>
    <w:p>
      <w:pPr>
        <w:widowControl/>
      </w:pPr>
      <w:r>
        <w:rPr>
          <w:i w:val="0"/>
        </w:rPr>
        <w:t>For Max 9000, operational commitments must match the business promise: maintain critical spares, trained field service, remote diagnostics, escalation owners, validated temporary operation procedures, and regional response capacity. Add an objective replacement/refund/credit or termination fallback for an uncured material failure, carefully quantify any performance remedy, and specify whether that remedy is exclusive. The independent consequential-damages exclusion can remain separately stated, subject to jurisdiction-specific review and negotiated exceptions (e.g., third-party bodily injury/property damage, confidentiality/data/security, IP, fraud/willful misconduct). Consider the commercial allocation deliberately: broad “make whole” language is incompatible with a low unit-price cap and a broad loss exclusion.</w:t>
      </w:r>
    </w:p>
    <w:p>
      <w:pPr>
        <w:pStyle w:val="Heading1"/>
        <w:widowControl/>
      </w:pPr>
      <w:r>
        <w:t>9. Insurance Implications</w:t>
      </w:r>
    </w:p>
    <w:p>
      <w:pPr>
        <w:widowControl/>
      </w:pPr>
      <w:r>
        <w:rPr>
          <w:i w:val="0"/>
        </w:rPr>
        <w:t>Stoneridge reports a $5 million per-occurrence / $15 million aggregate CGL-product liability program, $700,000 current annual premium, and a proposed 22% increase to approximately $854,000 ($154,000 more) if the guarantee launches unchanged. Stoneridge says the increase would not remove the contractual-liability exclusion, and warranty/performance-guarantee coverage is difficult or prohibitively expensive to obtain. This is the broker’s preliminary assessment, not the carrier’s binding coverage determination. The premium increase is a useful underwriter risk signal, not proof that a claim is uncovered or a legal measure of damages.</w:t>
      </w:r>
    </w:p>
    <w:p>
      <w:pPr>
        <w:widowControl/>
      </w:pPr>
      <w:r>
        <w:rPr>
          <w:i w:val="0"/>
        </w:rPr>
        <w:t>Generally, pure economic loss for failure to meet a voluntarily assumed contract specification is materially different from bodily injury/property damage caused by a product defect; standard CGL forms may exclude assumed contractual liability, subject to policy wording and exceptions. A product event causing third-party injury/property damage may present a different coverage question. The policy may also have exclusions for professional/technology services, electronic data, cyber incidents, pollution/contamination, or regulatory costs. Nothing in the supplied letter establishes coverage for AquaMonitor software errors, data loss, cyberattack, regulatory fines, remediation, or contractual service-level credits. Conversely, do not assume every express-warranty suit is automatically excluded: read the actual insuring agreement, exclusions, endorsements, and any “insured contract” exception.</w:t>
      </w:r>
    </w:p>
    <w:p>
      <w:pPr>
        <w:widowControl/>
      </w:pPr>
      <w:r>
        <w:rPr>
          <w:i w:val="0"/>
        </w:rPr>
        <w:t>Before finalizing the launch, obtain the complete policy and endorsements, request a written coverage analysis from the carrier/broker for (i) performance-warranty economic loss, (ii) bodily injury/property damage from deficient treatment or false readings, (iii) software/data/cyber events, (iv) regulatory/compliance costs, and (v) contractual indemnities. Request options and pricing for technology E&amp;O, cyber, product recall/contamination, excess/umbrella and any warranty/performance policy. Compare limits to plausible single-customer and multi-claim exposure; the $5 million per-occurrence and $15 million aggregate limits can be consumed by more than one event, and coverage may not respond to the central pure-contract claim.</w:t>
      </w:r>
    </w:p>
    <w:p>
      <w:pPr>
        <w:pStyle w:val="Heading1"/>
        <w:widowControl/>
      </w:pPr>
      <w:r>
        <w:t>10. Recommended Workplan Before March 17</w:t>
      </w:r>
    </w:p>
    <w:tbl>
      <w:tblPr>
        <w:tblStyle w:val="TableGrid"/>
        <w:tblW w:type="auto" w:w="0"/>
        <w:jc w:val="center"/>
        <w:tblLook w:firstColumn="1" w:firstRow="1" w:lastColumn="0" w:lastRow="0" w:noHBand="0" w:noVBand="1" w:val="04A0"/>
      </w:tblPr>
      <w:tblGrid>
        <w:gridCol w:w="3293"/>
        <w:gridCol w:w="3293"/>
        <w:gridCol w:w="3293"/>
      </w:tblGrid>
      <w:tr>
        <w:trPr>
          <w:cantSplit/>
          <w:tblHeader w:val="true"/>
        </w:trPr>
        <w:tc>
          <w:tcPr>
            <w:tcW w:type="dxa" w:w="1944"/>
            <w:vAlign w:val="center"/>
            <w:shd w:fill="17365D"/>
          </w:tcPr>
          <w:p>
            <w:pPr>
              <w:spacing w:after="20" w:before="20"/>
            </w:pPr>
            <w:r/>
            <w:r>
              <w:rPr>
                <w:rFonts w:ascii="Times New Roman" w:hAnsi="Times New Roman"/>
                <w:b/>
                <w:color w:val="FFFFFF"/>
                <w:sz w:val="18"/>
              </w:rPr>
              <w:t>Timing / owner</w:t>
            </w:r>
          </w:p>
        </w:tc>
        <w:tc>
          <w:tcPr>
            <w:tcW w:type="dxa" w:w="4608"/>
            <w:vAlign w:val="center"/>
            <w:shd w:fill="17365D"/>
          </w:tcPr>
          <w:p>
            <w:pPr>
              <w:spacing w:after="20" w:before="20"/>
            </w:pPr>
            <w:r/>
            <w:r>
              <w:rPr>
                <w:rFonts w:ascii="Times New Roman" w:hAnsi="Times New Roman"/>
                <w:b/>
                <w:color w:val="FFFFFF"/>
                <w:sz w:val="18"/>
              </w:rPr>
              <w:t>Required work product</w:t>
            </w:r>
          </w:p>
        </w:tc>
        <w:tc>
          <w:tcPr>
            <w:tcW w:type="dxa" w:w="3528"/>
            <w:vAlign w:val="center"/>
            <w:shd w:fill="17365D"/>
          </w:tcPr>
          <w:p>
            <w:pPr>
              <w:spacing w:after="20" w:before="20"/>
            </w:pPr>
            <w:r/>
            <w:r>
              <w:rPr>
                <w:rFonts w:ascii="Times New Roman" w:hAnsi="Times New Roman"/>
                <w:b/>
                <w:color w:val="FFFFFF"/>
                <w:sz w:val="18"/>
              </w:rPr>
              <w:t>Purpose</w:t>
            </w:r>
          </w:p>
        </w:tc>
      </w:tr>
      <w:tr>
        <w:trPr>
          <w:cantSplit/>
        </w:trPr>
        <w:tc>
          <w:tcPr>
            <w:tcW w:type="dxa" w:w="1944"/>
            <w:vAlign w:val="center"/>
            <w:shd w:fill="F2F6FA"/>
          </w:tcPr>
          <w:p>
            <w:pPr>
              <w:spacing w:after="20" w:before="20"/>
            </w:pPr>
            <w:r/>
            <w:r>
              <w:rPr>
                <w:rFonts w:ascii="Times New Roman" w:hAnsi="Times New Roman"/>
                <w:b w:val="0"/>
                <w:sz w:val="17"/>
              </w:rPr>
              <w:t>Immediately — Legal + Sales</w:t>
            </w:r>
          </w:p>
        </w:tc>
        <w:tc>
          <w:tcPr>
            <w:tcW w:type="dxa" w:w="4608"/>
            <w:vAlign w:val="center"/>
            <w:shd w:fill="F2F6FA"/>
          </w:tcPr>
          <w:p>
            <w:pPr>
              <w:spacing w:after="20" w:before="20"/>
            </w:pPr>
            <w:r/>
            <w:r>
              <w:rPr>
                <w:rFonts w:ascii="Times New Roman" w:hAnsi="Times New Roman"/>
                <w:b w:val="0"/>
                <w:sz w:val="17"/>
              </w:rPr>
              <w:t>Stop current “guaranteed / make whole” script and pre-sale withholding practice; issue controlled interim language and preserve prior versions/customer communications.</w:t>
            </w:r>
          </w:p>
        </w:tc>
        <w:tc>
          <w:tcPr>
            <w:tcW w:type="dxa" w:w="3528"/>
            <w:vAlign w:val="center"/>
            <w:shd w:fill="F2F6FA"/>
          </w:tcPr>
          <w:p>
            <w:pPr>
              <w:spacing w:after="20" w:before="20"/>
            </w:pPr>
            <w:r/>
            <w:r>
              <w:rPr>
                <w:rFonts w:ascii="Times New Roman" w:hAnsi="Times New Roman"/>
                <w:b w:val="0"/>
                <w:sz w:val="17"/>
              </w:rPr>
              <w:t>Prevent new inconsistent commitments while keeping active prospects informed.</w:t>
            </w:r>
          </w:p>
        </w:tc>
      </w:tr>
      <w:tr>
        <w:trPr>
          <w:cantSplit/>
        </w:trPr>
        <w:tc>
          <w:tcPr>
            <w:tcW w:type="dxa" w:w="1944"/>
            <w:vAlign w:val="center"/>
          </w:tcPr>
          <w:p>
            <w:pPr>
              <w:spacing w:after="20" w:before="20"/>
            </w:pPr>
            <w:r/>
            <w:r>
              <w:rPr>
                <w:rFonts w:ascii="Times New Roman" w:hAnsi="Times New Roman"/>
                <w:b w:val="0"/>
                <w:sz w:val="17"/>
              </w:rPr>
              <w:t>By Mar. 7 — Product / Engineering / Quality</w:t>
            </w:r>
          </w:p>
        </w:tc>
        <w:tc>
          <w:tcPr>
            <w:tcW w:type="dxa" w:w="4608"/>
            <w:vAlign w:val="center"/>
          </w:tcPr>
          <w:p>
            <w:pPr>
              <w:spacing w:after="20" w:before="20"/>
            </w:pPr>
            <w:r/>
            <w:r>
              <w:rPr>
                <w:rFonts w:ascii="Times New Roman" w:hAnsi="Times New Roman"/>
                <w:b w:val="0"/>
                <w:sz w:val="17"/>
              </w:rPr>
              <w:t>Signed-off Max 9000 performance validation dossier: metrics, contaminants, conditions, test protocol, uncertainty, configurations, software functions and known limitations.</w:t>
            </w:r>
          </w:p>
        </w:tc>
        <w:tc>
          <w:tcPr>
            <w:tcW w:type="dxa" w:w="3528"/>
            <w:vAlign w:val="center"/>
          </w:tcPr>
          <w:p>
            <w:pPr>
              <w:spacing w:after="20" w:before="20"/>
            </w:pPr>
            <w:r/>
            <w:r>
              <w:rPr>
                <w:rFonts w:ascii="Times New Roman" w:hAnsi="Times New Roman"/>
                <w:b w:val="0"/>
                <w:sz w:val="17"/>
              </w:rPr>
              <w:t>Distinguish provable product facts from contractual guarantees.</w:t>
            </w:r>
          </w:p>
        </w:tc>
      </w:tr>
      <w:tr>
        <w:trPr>
          <w:cantSplit/>
        </w:trPr>
        <w:tc>
          <w:tcPr>
            <w:tcW w:type="dxa" w:w="1944"/>
            <w:vAlign w:val="center"/>
            <w:shd w:fill="F2F6FA"/>
          </w:tcPr>
          <w:p>
            <w:pPr>
              <w:spacing w:after="20" w:before="20"/>
            </w:pPr>
            <w:r/>
            <w:r>
              <w:rPr>
                <w:rFonts w:ascii="Times New Roman" w:hAnsi="Times New Roman"/>
                <w:b w:val="0"/>
                <w:sz w:val="17"/>
              </w:rPr>
              <w:t>By Mar. 10 — Legal + Commercial leadership</w:t>
            </w:r>
          </w:p>
        </w:tc>
        <w:tc>
          <w:tcPr>
            <w:tcW w:type="dxa" w:w="4608"/>
            <w:vAlign w:val="center"/>
            <w:shd w:fill="F2F6FA"/>
          </w:tcPr>
          <w:p>
            <w:pPr>
              <w:spacing w:after="20" w:before="20"/>
            </w:pPr>
            <w:r/>
            <w:r>
              <w:rPr>
                <w:rFonts w:ascii="Times New Roman" w:hAnsi="Times New Roman"/>
                <w:b w:val="0"/>
                <w:sz w:val="17"/>
              </w:rPr>
              <w:t>Choose for each metric whether it is a binding warranty or a qualified design specification; approve what remedy, duration, exclusions and cap the business is willing to support.</w:t>
            </w:r>
          </w:p>
        </w:tc>
        <w:tc>
          <w:tcPr>
            <w:tcW w:type="dxa" w:w="3528"/>
            <w:vAlign w:val="center"/>
            <w:shd w:fill="F2F6FA"/>
          </w:tcPr>
          <w:p>
            <w:pPr>
              <w:spacing w:after="20" w:before="20"/>
            </w:pPr>
            <w:r/>
            <w:r>
              <w:rPr>
                <w:rFonts w:ascii="Times New Roman" w:hAnsi="Times New Roman"/>
                <w:b w:val="0"/>
                <w:sz w:val="17"/>
              </w:rPr>
              <w:t>Avoid a “guarantee” with no measurable scope or remedy.</w:t>
            </w:r>
          </w:p>
        </w:tc>
      </w:tr>
      <w:tr>
        <w:trPr>
          <w:cantSplit/>
        </w:trPr>
        <w:tc>
          <w:tcPr>
            <w:tcW w:type="dxa" w:w="1944"/>
            <w:vAlign w:val="center"/>
          </w:tcPr>
          <w:p>
            <w:pPr>
              <w:spacing w:after="20" w:before="20"/>
            </w:pPr>
            <w:r/>
            <w:r>
              <w:rPr>
                <w:rFonts w:ascii="Times New Roman" w:hAnsi="Times New Roman"/>
                <w:b w:val="0"/>
                <w:sz w:val="17"/>
              </w:rPr>
              <w:t>By Mar. 12 — Legal + Contracts</w:t>
            </w:r>
          </w:p>
        </w:tc>
        <w:tc>
          <w:tcPr>
            <w:tcW w:type="dxa" w:w="4608"/>
            <w:vAlign w:val="center"/>
          </w:tcPr>
          <w:p>
            <w:pPr>
              <w:spacing w:after="20" w:before="20"/>
            </w:pPr>
            <w:r/>
            <w:r>
              <w:rPr>
                <w:rFonts w:ascii="Times New Roman" w:hAnsi="Times New Roman"/>
                <w:b w:val="0"/>
                <w:sz w:val="17"/>
              </w:rPr>
              <w:t>Draft master sale agreement and attached schedules: express performance warranty (if selected), limited hardware warranty, conspicuous disclaimers, independent damages limits, repair/cure escalation, site-specific assumptions, order of precedence, acceptance, governing law/forum, and signatures before order acceptance.</w:t>
            </w:r>
          </w:p>
        </w:tc>
        <w:tc>
          <w:tcPr>
            <w:tcW w:type="dxa" w:w="3528"/>
            <w:vAlign w:val="center"/>
          </w:tcPr>
          <w:p>
            <w:pPr>
              <w:spacing w:after="20" w:before="20"/>
            </w:pPr>
            <w:r/>
            <w:r>
              <w:rPr>
                <w:rFonts w:ascii="Times New Roman" w:hAnsi="Times New Roman"/>
                <w:b w:val="0"/>
                <w:sz w:val="17"/>
              </w:rPr>
              <w:t>Create one coherent contract before the buyer commits; resolve buyer forms and state addenda.</w:t>
            </w:r>
          </w:p>
        </w:tc>
      </w:tr>
      <w:tr>
        <w:trPr>
          <w:cantSplit/>
        </w:trPr>
        <w:tc>
          <w:tcPr>
            <w:tcW w:type="dxa" w:w="1944"/>
            <w:vAlign w:val="center"/>
            <w:shd w:fill="F2F6FA"/>
          </w:tcPr>
          <w:p>
            <w:pPr>
              <w:spacing w:after="20" w:before="20"/>
            </w:pPr>
            <w:r/>
            <w:r>
              <w:rPr>
                <w:rFonts w:ascii="Times New Roman" w:hAnsi="Times New Roman"/>
                <w:b w:val="0"/>
                <w:sz w:val="17"/>
              </w:rPr>
              <w:t>By Mar. 12 — Software / Security / Legal</w:t>
            </w:r>
          </w:p>
        </w:tc>
        <w:tc>
          <w:tcPr>
            <w:tcW w:type="dxa" w:w="4608"/>
            <w:vAlign w:val="center"/>
            <w:shd w:fill="F2F6FA"/>
          </w:tcPr>
          <w:p>
            <w:pPr>
              <w:spacing w:after="20" w:before="20"/>
            </w:pPr>
            <w:r/>
            <w:r>
              <w:rPr>
                <w:rFonts w:ascii="Times New Roman" w:hAnsi="Times New Roman"/>
                <w:b w:val="0"/>
                <w:sz w:val="17"/>
              </w:rPr>
              <w:t>Draft coordinated software license/SaaS, service-level, data-security and support terms; complete security and regulatory-claims review.</w:t>
            </w:r>
          </w:p>
        </w:tc>
        <w:tc>
          <w:tcPr>
            <w:tcW w:type="dxa" w:w="3528"/>
            <w:vAlign w:val="center"/>
            <w:shd w:fill="F2F6FA"/>
          </w:tcPr>
          <w:p>
            <w:pPr>
              <w:spacing w:after="20" w:before="20"/>
            </w:pPr>
            <w:r/>
            <w:r>
              <w:rPr>
                <w:rFonts w:ascii="Times New Roman" w:hAnsi="Times New Roman"/>
                <w:b w:val="0"/>
                <w:sz w:val="17"/>
              </w:rPr>
              <w:t>Close software and cloud-service gap without contradicting product sales claims.</w:t>
            </w:r>
          </w:p>
        </w:tc>
      </w:tr>
      <w:tr>
        <w:trPr>
          <w:cantSplit/>
        </w:trPr>
        <w:tc>
          <w:tcPr>
            <w:tcW w:type="dxa" w:w="1944"/>
            <w:vAlign w:val="center"/>
          </w:tcPr>
          <w:p>
            <w:pPr>
              <w:spacing w:after="20" w:before="20"/>
            </w:pPr>
            <w:r/>
            <w:r>
              <w:rPr>
                <w:rFonts w:ascii="Times New Roman" w:hAnsi="Times New Roman"/>
                <w:b w:val="0"/>
                <w:sz w:val="17"/>
              </w:rPr>
              <w:t>By Mar. 14 — Texas/California local counsel + deal teams</w:t>
            </w:r>
          </w:p>
        </w:tc>
        <w:tc>
          <w:tcPr>
            <w:tcW w:type="dxa" w:w="4608"/>
            <w:vAlign w:val="center"/>
          </w:tcPr>
          <w:p>
            <w:pPr>
              <w:spacing w:after="20" w:before="20"/>
            </w:pPr>
            <w:r/>
            <w:r>
              <w:rPr>
                <w:rFonts w:ascii="Times New Roman" w:hAnsi="Times New Roman"/>
                <w:b w:val="0"/>
                <w:sz w:val="17"/>
              </w:rPr>
              <w:t>Review Triton’s entity/procurement file; Harmon Valley purchaser/use and member rights; Great Lakes LOI/FDA quality requirements; New York/Massachusetts prospect forms.</w:t>
            </w:r>
          </w:p>
        </w:tc>
        <w:tc>
          <w:tcPr>
            <w:tcW w:type="dxa" w:w="3528"/>
            <w:vAlign w:val="center"/>
          </w:tcPr>
          <w:p>
            <w:pPr>
              <w:spacing w:after="20" w:before="20"/>
            </w:pPr>
            <w:r/>
            <w:r>
              <w:rPr>
                <w:rFonts w:ascii="Times New Roman" w:hAnsi="Times New Roman"/>
                <w:b w:val="0"/>
                <w:sz w:val="17"/>
              </w:rPr>
              <w:t>Catch public procurement, consumer, authority, and customer-specific issues.</w:t>
            </w:r>
          </w:p>
        </w:tc>
      </w:tr>
      <w:tr>
        <w:trPr>
          <w:cantSplit/>
        </w:trPr>
        <w:tc>
          <w:tcPr>
            <w:tcW w:type="dxa" w:w="1944"/>
            <w:vAlign w:val="center"/>
            <w:shd w:fill="F2F6FA"/>
          </w:tcPr>
          <w:p>
            <w:pPr>
              <w:spacing w:after="20" w:before="20"/>
            </w:pPr>
            <w:r/>
            <w:r>
              <w:rPr>
                <w:rFonts w:ascii="Times New Roman" w:hAnsi="Times New Roman"/>
                <w:b w:val="0"/>
                <w:sz w:val="17"/>
              </w:rPr>
              <w:t>By Mar. 14 — Operations + Finance + Risk</w:t>
            </w:r>
          </w:p>
        </w:tc>
        <w:tc>
          <w:tcPr>
            <w:tcW w:type="dxa" w:w="4608"/>
            <w:vAlign w:val="center"/>
            <w:shd w:fill="F2F6FA"/>
          </w:tcPr>
          <w:p>
            <w:pPr>
              <w:spacing w:after="20" w:before="20"/>
            </w:pPr>
            <w:r/>
            <w:r>
              <w:rPr>
                <w:rFonts w:ascii="Times New Roman" w:hAnsi="Times New Roman"/>
                <w:b w:val="0"/>
                <w:sz w:val="17"/>
              </w:rPr>
              <w:t>Repair/replacement capacity plan, critical spares, service targets, reserve/sensitivity analysis, approved claims process; written insurer coverage response and policy gap review.</w:t>
            </w:r>
          </w:p>
        </w:tc>
        <w:tc>
          <w:tcPr>
            <w:tcW w:type="dxa" w:w="3528"/>
            <w:vAlign w:val="center"/>
            <w:shd w:fill="F2F6FA"/>
          </w:tcPr>
          <w:p>
            <w:pPr>
              <w:spacing w:after="20" w:before="20"/>
            </w:pPr>
            <w:r/>
            <w:r>
              <w:rPr>
                <w:rFonts w:ascii="Times New Roman" w:hAnsi="Times New Roman"/>
                <w:b w:val="0"/>
                <w:sz w:val="17"/>
              </w:rPr>
              <w:t>Make the exclusive remedy operationally credible and understand uninsured risk.</w:t>
            </w:r>
          </w:p>
        </w:tc>
      </w:tr>
      <w:tr>
        <w:trPr>
          <w:cantSplit/>
        </w:trPr>
        <w:tc>
          <w:tcPr>
            <w:tcW w:type="dxa" w:w="1944"/>
            <w:vAlign w:val="center"/>
          </w:tcPr>
          <w:p>
            <w:pPr>
              <w:spacing w:after="20" w:before="20"/>
            </w:pPr>
            <w:r/>
            <w:r>
              <w:rPr>
                <w:rFonts w:ascii="Times New Roman" w:hAnsi="Times New Roman"/>
                <w:b w:val="0"/>
                <w:sz w:val="17"/>
              </w:rPr>
              <w:t>By Mar. 17 — Legal + Marketing</w:t>
            </w:r>
          </w:p>
        </w:tc>
        <w:tc>
          <w:tcPr>
            <w:tcW w:type="dxa" w:w="4608"/>
            <w:vAlign w:val="center"/>
          </w:tcPr>
          <w:p>
            <w:pPr>
              <w:spacing w:after="20" w:before="20"/>
            </w:pPr>
            <w:r/>
            <w:r>
              <w:rPr>
                <w:rFonts w:ascii="Times New Roman" w:hAnsi="Times New Roman"/>
                <w:b w:val="0"/>
                <w:sz w:val="17"/>
              </w:rPr>
              <w:t>Final approved brochure/deck/quote/scripts; version control, pre-sale document delivery/acknowledgment, rep training and approval workflow.</w:t>
            </w:r>
          </w:p>
        </w:tc>
        <w:tc>
          <w:tcPr>
            <w:tcW w:type="dxa" w:w="3528"/>
            <w:vAlign w:val="center"/>
          </w:tcPr>
          <w:p>
            <w:pPr>
              <w:spacing w:after="20" w:before="20"/>
            </w:pPr>
            <w:r/>
            <w:r>
              <w:rPr>
                <w:rFonts w:ascii="Times New Roman" w:hAnsi="Times New Roman"/>
                <w:b w:val="0"/>
                <w:sz w:val="17"/>
              </w:rPr>
              <w:t>Ensure every channel tells the same substantiated story and warranty terms are accepted in time.</w:t>
            </w:r>
          </w:p>
        </w:tc>
      </w:tr>
    </w:tbl>
    <w:p>
      <w:pPr>
        <w:widowControl/>
        <w:spacing w:after="0"/>
      </w:pPr>
    </w:p>
    <w:p>
      <w:pPr>
        <w:pStyle w:val="Heading1"/>
        <w:widowControl/>
      </w:pPr>
      <w:r>
        <w:t>11. Recommended Contract and Communication Architecture</w:t>
      </w:r>
    </w:p>
    <w:p>
      <w:pPr>
        <w:pStyle w:val="ListBullet"/>
        <w:widowControl/>
        <w:spacing w:after="40"/>
      </w:pPr>
      <w:r>
        <w:t>One signed master purchase agreement, with an identified product/configuration/performance schedule and the warranty attached before order acceptance. Include the complete disclaimer and liability terms in conspicuous formatting; obtain buyer acknowledgment. The sales quote, customer PO, technical proposal, and warranty must have an express order of precedence and no undisclosed later terms.</w:t>
      </w:r>
    </w:p>
    <w:p>
      <w:pPr>
        <w:pStyle w:val="ListBullet"/>
        <w:widowControl/>
        <w:spacing w:after="40"/>
      </w:pPr>
      <w:r>
        <w:t>A performance schedule for every retained commitment: precise threshold, defined contaminants/measurement method, source-water/operating envelope, commissioning and acceptance test, ongoing test frequency, tolerance/uncertainty, maintenance duties, remedy, and deadline. Regulatory claims must state exactly what equipment is validated to do and what remains the customer’s system-level responsibility.</w:t>
      </w:r>
    </w:p>
    <w:p>
      <w:pPr>
        <w:pStyle w:val="ListBullet"/>
        <w:widowControl/>
        <w:spacing w:after="40"/>
      </w:pPr>
      <w:r>
        <w:t>A hardware warranty that identifies covered hardware and software, warranty periods, covered labor/travel, repair/replacement choice, replacement quality, shipping, diagnosis, response and completion milestones, repeat-failure escalation, and a fallback when cure does not occur. Avoid defining “defect” solely by a specification that marketing changes without controlled revision.</w:t>
      </w:r>
    </w:p>
    <w:p>
      <w:pPr>
        <w:pStyle w:val="ListBullet"/>
        <w:widowControl/>
        <w:spacing w:after="40"/>
      </w:pPr>
      <w:r>
        <w:t>An independent, conspicuous damages clause: per-unit and aggregate cap; exclusion of defined consequential/special/indirect losses; explicit relation to any exclusive remedy; and deliberate exceptions for nonwaivable liability. Evaluate caps separately for product injury/physical damage, privacy/security, IP, fraud and statutory claims. Do not pair “make customers whole” with a broad damages exclusion.</w:t>
      </w:r>
    </w:p>
    <w:p>
      <w:pPr>
        <w:pStyle w:val="ListBullet"/>
        <w:widowControl/>
        <w:spacing w:after="40"/>
      </w:pPr>
      <w:r>
        <w:t>AquaMonitor terms integrated with the hardware agreement, not delivered after shipment: define software functionality, subscription term, update/support obligations, data rights, security commitments, availability, limits, customer validation duties and service remedies. Do not state that software “ensures” compliance or supplies reliable readings unless test evidence and service design support the promise.</w:t>
      </w:r>
    </w:p>
    <w:p>
      <w:pPr>
        <w:pStyle w:val="ListBullet"/>
        <w:widowControl/>
        <w:spacing w:after="40"/>
      </w:pPr>
      <w:r>
        <w:t>A written sales-control policy: only approved versions, no improvising guarantees or customer-specific regulatory commitments, no statements that warranty terms will arrive later, mandatory escalation to Legal for deviations, and retention of sent materials and approvals. Sales compensation and launch KPIs should not reward unapproved commitments.</w:t>
      </w:r>
    </w:p>
    <w:p>
      <w:pPr>
        <w:pStyle w:val="Heading1"/>
        <w:widowControl/>
      </w:pPr>
      <w:r>
        <w:t>Conclusion</w:t>
      </w:r>
    </w:p>
    <w:p>
      <w:pPr>
        <w:widowControl/>
      </w:pPr>
      <w:r>
        <w:rPr>
          <w:i w:val="0"/>
        </w:rPr>
        <w:t>CIT’s existing Article 2 text is not facially devoid of a valid implied-warranty disclaimer: it names the protected warranties, uses uppercase, and contains an independent consequential-damages provision. The major weakness is the way those terms are delivered and contradicted. A narrow, post-sale hardware warranty cannot reliably coexist with a pre-sale program that promises precise water-quality outcomes, uptime, regulatory compliance, software accuracy, and making customers whole. The escalating claims record and pending Redmond dispute make this a present risk, not a theoretical drafting exercise.</w:t>
      </w:r>
    </w:p>
    <w:p>
      <w:pPr>
        <w:widowControl/>
      </w:pPr>
      <w:r>
        <w:rPr>
          <w:i w:val="0"/>
        </w:rPr>
        <w:t>The commercially workable path is to align promise, proof, remedy, contract formation, service capacity, and insurance. CIT can preserve a credible performance-led launch, but only by defining the promise and accepting that a retained promise is an express warranty—or by revising the claims into accurate, substantiated, qualified descriptions and training sales to follow them. The March 17 launch deadline is achievable only if the company treats pre-sale warranty delivery, software terms, and the three active deals as release gates rather than later clean-up.</w:t>
      </w:r>
    </w:p>
    <w:p>
      <w:pPr>
        <w:pStyle w:val="Heading2"/>
        <w:widowControl/>
      </w:pPr>
      <w:r>
        <w:t>Principal statutory authorities</w:t>
      </w:r>
    </w:p>
    <w:p>
      <w:pPr>
        <w:widowControl/>
      </w:pPr>
      <w:r>
        <w:rPr>
          <w:i w:val="0"/>
        </w:rPr>
        <w:t>Uniform Commercial Code §§ 1-201(b)(10), 2-102, 2-105, 2-202, 2-204, 2-207, 2-209, 2-302, 2-313, 2-314, 2-315, 2-316, 2-607, 2-714, 2-715, 2-719, and 2-725; Texas Business &amp; Commerce Code ch. 2 and Local Government Code chs. 252 and 271; California Commercial Code §§ 2313, 2316, 2719 and Civil Code §§ 1790 et seq.; Illinois 810 ILCS 5/2-313, 2-316, 2-719; New York UCC §§ 2-313, 2-316, 2-719; Massachusetts General Laws ch. 106 §§ 2-313, 2-316, 2-719 and ch. 93A; Magnuson-Moss Warranty Act, 15 U.S.C. §§ 2301, 2308; 16 C.F.R. § 702.3. Confirm current enacted text and application to each executed transaction.</w:t>
      </w:r>
    </w:p>
    <w:sectPr w:rsidR="00FC693F" w:rsidRPr="0006063C" w:rsidSect="00034616">
      <w:headerReference w:type="default" r:id="rId9"/>
      <w:footerReference w:type="default" r:id="rId10"/>
      <w:pgSz w:w="12240" w:h="15840"/>
      <w:pgMar w:top="1037" w:right="1181" w:bottom="1008"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06060"/>
        <w:sz w:val="16"/>
      </w:rPr>
      <w:t xml:space="preserve">Cascade Industrial Technologies, Inc.  •  AquaPure Max 9000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606060"/>
        <w:sz w:val="16"/>
      </w:rPr>
      <w:t>PRIVILEGED &amp; CONFIDENTIAL  |  INTERNAL LEGAL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